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Pregunta con solicitud de respuesta escrita E-003495/2019</w:t>
      </w:r>
    </w:p>
    <w:p>
      <w:pPr>
        <w:pStyle w:val="Arial10"/>
      </w:pPr>
      <w:r>
        <w:rPr>
          <w:rStyle w:val="Bold"/>
        </w:rPr>
        <w:t>a la Comisión</w:t>
      </w:r>
    </w:p>
    <w:p>
      <w:pPr>
        <w:pStyle w:val="Arial10"/>
      </w:pPr>
      <w:r>
        <w:t>Artículo 138 del Reglamento interno</w:t>
      </w:r>
    </w:p>
    <w:p>
      <w:pPr>
        <w:pStyle w:val="Arial10After10"/>
      </w:pPr>
      <w:r>
        <w:rPr>
          <w:rStyle w:val="Bold"/>
        </w:rPr>
        <w:t>Christophe Grudler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Pascal Durand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Sylvie Brunet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Laurence Farreng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Martin Horwood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Sirpa Pietikäinen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Theodoros Zagorakis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José Gusmão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Olivier Chastel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Marie-Pierre Vedrenne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Klemen Grošelj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Frédérique Ries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Emil Radev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Romana Tomc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Susana Solís Pérez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Valérie Hayer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Alexandra Geese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Rasmus Andresen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Martina Dlabajová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Andrus Ansip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Stefan Berger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Petras Auštrevičius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Dominique Riquet</w:t>
      </w:r>
      <w:r>
        <w:t xml:space="preserve"> (</w:t>
      </w:r>
      <w:r>
        <w:t>Renew</w:t>
      </w:r>
      <w:r>
        <w:t>)</w:t>
      </w:r>
    </w:p>
    <w:p>
      <w:pPr>
        <w:pStyle w:val="Subject"/>
      </w:pPr>
      <w:r>
        <w:t>Asunto</w:t>
      </w:r>
      <w:r>
        <w:t>:</w:t>
      </w:r>
      <w:r>
        <w:tab/>
      </w:r>
      <w:r>
        <w:t>Los posibles riesgos del proyecto Libra</w:t>
      </w:r>
    </w:p>
    <w:p>
      <w:pPr>
        <w:pStyle w:val="Body"/>
      </w:pPr>
      <w:r>
        <w:t>Se espera que Libra, un proyecto de criptomoneda creado por Facebook, proporcione a partir de 2020 un nuevo método de pago al margen de los canales bancarios tradicionales, con lo que la compra de bienes o el envío de dinero resultará tan fácil como el envío de un mensaje instantáneo. A diferencia de otras criptomonedas, Libra pretende crear también una reserva monetaria para garantizar su estabilidad.</w:t>
      </w:r>
    </w:p>
    <w:p>
      <w:pPr>
        <w:pStyle w:val="Body"/>
      </w:pPr>
      <w:r>
        <w:t>Esta nueva moneda es motivo de preocupación, ya que podría perturbar el sistema financiero mundial y dificultar el ejercicio de las funciones de los bancos centrales. También suscita preocupación debido a la mala reputación de Facebook por lo que respecta a la protección de los datos personales así como a su enorme número de usuarios: casi 2 700 millones de personas.</w:t>
      </w:r>
    </w:p>
    <w:p>
      <w:pPr>
        <w:pStyle w:val="Body"/>
      </w:pPr>
      <w:r>
        <w:t>La Comisión ha iniciado una investigación sobre las prácticas potencialmente contrarias a la competencia y enviado una carta a Facebook y a la asociación Libra para determinar los posibles riesgos.</w:t>
      </w:r>
    </w:p>
    <w:p>
      <w:pPr>
        <w:pStyle w:val="itemList"/>
      </w:pPr>
      <w:r>
        <w:t>1.</w:t>
      </w:r>
      <w:r>
        <w:tab/>
      </w:r>
      <w:r>
        <w:t>¿Qué opina la Comisión sobre el desarrollo de Libra en esta fase? ¿Constituye una amenaza real para las monedas emitidas por los bancos centrales y para el sistema financiero? ¿Habrá garantías suficientes por lo que respecta a la legislación europea contra el blanqueo de dinero?</w:t>
      </w:r>
    </w:p>
    <w:p>
      <w:pPr>
        <w:pStyle w:val="itemList"/>
      </w:pPr>
      <w:r>
        <w:t>2.</w:t>
      </w:r>
      <w:r>
        <w:tab/>
      </w:r>
      <w:r>
        <w:t>¿Tiene intención la Comisión de proponer medidas legislativas para regular esta criptomoneda o simplemente prohibirá totalmente la Libra en la Unión?</w:t>
      </w:r>
    </w:p>
    <w:p>
      <w:pPr>
        <w:pStyle w:val="Body"/>
      </w:pP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PE642.566v01-00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PE642.566v01-00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PE642.566v01-00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 con solicitud de respuesta escrita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20210127-073709-097209-822845</vt:lpwstr>
  </property>
</Properties>
</file>