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Question for written answer E-003612/2019</w:t>
      </w:r>
    </w:p>
    <w:p>
      <w:pPr>
        <w:pStyle w:val="Arial10"/>
      </w:pPr>
      <w:r>
        <w:rPr>
          <w:rStyle w:val="Bold"/>
        </w:rPr>
        <w:t>to the Commission</w:t>
      </w:r>
    </w:p>
    <w:p>
      <w:pPr>
        <w:pStyle w:val="Arial10"/>
      </w:pPr>
      <w:r>
        <w:t>Rule 138</w:t>
      </w:r>
    </w:p>
    <w:p>
      <w:pPr>
        <w:pStyle w:val="Arial10After10"/>
      </w:pPr>
      <w:r>
        <w:rPr>
          <w:rStyle w:val="Bold"/>
        </w:rPr>
        <w:t>Roberta Metsola</w:t>
      </w:r>
    </w:p>
    <w:p>
      <w:pPr>
        <w:pStyle w:val="Subject"/>
      </w:pPr>
      <w:r>
        <w:t>Subject</w:t>
      </w:r>
      <w:r>
        <w:t>:</w:t>
      </w:r>
      <w:r>
        <w:tab/>
      </w:r>
      <w:r>
        <w:t>Investing in cycling in the European Union</w:t>
      </w:r>
    </w:p>
    <w:p>
      <w:pPr>
        <w:pStyle w:val="Body"/>
      </w:pPr>
      <w:r>
        <w:t>As popular consciousness about the importance of clean transport grows, cycling is a mode of transport that many citizens are turning to. There are still disparities in the uptake of cycling among Member States, not least because the design of cycling infrastructure is prioritised differently by national and local authorities. This contributed to an estimated 2 000 cyclist fatalities in 2016 - 8 per cent of the total number of road accident deaths, with 28 per cent of those deaths occurring at busy junctions.</w:t>
      </w:r>
    </w:p>
    <w:p>
      <w:pPr>
        <w:pStyle w:val="Body"/>
      </w:pPr>
      <w:r>
        <w:t>The Trans-European Transport Network (TEN-T) policy is meant to cover the construction of new physical infrastructure but also to support the implementation of solutions for all modes of transport. ‘The objective is improved use of infrastructure, reduced environmental impact of transport, enhanced energy efficiency and increased safety’. Despite this, bicycles and cycling are only referred to three times in Regulation (EU) No 1315/2013.</w:t>
      </w:r>
    </w:p>
    <w:p>
      <w:pPr>
        <w:pStyle w:val="itemList"/>
      </w:pPr>
      <w:r>
        <w:t>1</w:t>
      </w:r>
      <w:r>
        <w:tab/>
      </w:r>
      <w:r>
        <w:t>How is the Commission actively encouraging the improvement of cycling infrastructure?</w:t>
      </w:r>
    </w:p>
    <w:p>
      <w:pPr>
        <w:pStyle w:val="itemList"/>
      </w:pPr>
      <w:r>
        <w:t>2</w:t>
      </w:r>
      <w:r>
        <w:tab/>
      </w:r>
      <w:r>
        <w:t>What targets has it set to ensure that cycling becomes a primary mode of transport across the European Union?</w:t>
      </w:r>
    </w:p>
    <w:p>
      <w:pPr>
        <w:pStyle w:val="itemList"/>
      </w:pPr>
      <w:r>
        <w:t>3</w:t>
      </w:r>
      <w:r>
        <w:tab/>
      </w:r>
      <w:r>
        <w:t>What country-specific recommendations has it issued over the past year with a view to improving cycling infrastructure and encouraging the uptake of cycling and what financial commitments are envisioned for this sector as part of the next Multiannual Financial Framework?</w:t>
      </w:r>
    </w:p>
    <w:sectPr>
      <w:footerReference w:type="even" r:id="rId4"/>
      <w:footerReference w:type="default" r:id="rId5"/>
      <w:footerReference w:type="first" r:id="rId6"/>
      <w:pgSz w:w="11906" w:h="16838"/>
      <w:pgMar w:top="1440" w:right="1440" w:bottom="2000" w:left="1440" w:header="568" w:footer="568" w:gutter="0"/>
      <w:cols w:num="1"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PE642.712v01-00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PE642.712v01-00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PE642.712v01-00</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answer</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20201105-150851-012748-698573</vt:lpwstr>
  </property>
</Properties>
</file>