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E-000377/2020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Peter Lundgren</w:t>
      </w:r>
      <w:r>
        <w:t xml:space="preserve"> (</w:t>
      </w:r>
      <w:r>
        <w:t>ECR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Turkey</w:t>
      </w:r>
    </w:p>
    <w:p>
      <w:pPr>
        <w:pStyle w:val="Body"/>
      </w:pPr>
      <w:r>
        <w:t>The EU currently has a migration deal with Turkey that has been in place for three years. The deal will soon be coming to an end, and the final EUR 3 billion will be allocated. </w:t>
      </w:r>
      <w:r>
        <w:rPr>
          <w:rStyle w:val="FootnoteReference"/>
        </w:rPr>
        <w:footnoteReference w:id="0"/>
      </w:r>
      <w:r>
        <w:t xml:space="preserve"> What does the Commission plan to do once that money has gone?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PE647.731v01-00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PE647.731v01-00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PE647.731v01-00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https://www.ft.com/content/7abb5212-1c2b-11ea-97df-cc63de1d73f4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20200925-110627-026931-308807</vt:lpwstr>
  </property>
</Properties>
</file>