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7D0CE5" w:rsidTr="00487BC1">
        <w:trPr>
          <w:trHeight w:hRule="exact" w:val="1418"/>
        </w:trPr>
        <w:tc>
          <w:tcPr>
            <w:tcW w:w="6804" w:type="dxa"/>
            <w:shd w:val="clear" w:color="auto" w:fill="auto"/>
            <w:vAlign w:val="center"/>
          </w:tcPr>
          <w:p w:rsidR="004C4A0B" w:rsidRPr="007D0CE5" w:rsidRDefault="00BC7C6B" w:rsidP="00487BC1">
            <w:pPr>
              <w:pStyle w:val="EPName"/>
            </w:pPr>
            <w:bookmarkStart w:id="0" w:name="_GoBack"/>
            <w:bookmarkEnd w:id="0"/>
            <w:r w:rsidRPr="007D0CE5">
              <w:t>Parlamento Europeo</w:t>
            </w:r>
          </w:p>
          <w:p w:rsidR="004C4A0B" w:rsidRPr="007D0CE5" w:rsidRDefault="00D53947" w:rsidP="00D53947">
            <w:pPr>
              <w:pStyle w:val="EPTerm"/>
              <w:rPr>
                <w:rStyle w:val="HideTWBExt"/>
                <w:noProof w:val="0"/>
                <w:vanish w:val="0"/>
                <w:color w:val="auto"/>
              </w:rPr>
            </w:pPr>
            <w:r w:rsidRPr="007D0CE5">
              <w:t>2019-2024</w:t>
            </w:r>
          </w:p>
        </w:tc>
        <w:tc>
          <w:tcPr>
            <w:tcW w:w="2268" w:type="dxa"/>
            <w:shd w:val="clear" w:color="auto" w:fill="auto"/>
          </w:tcPr>
          <w:p w:rsidR="004C4A0B" w:rsidRPr="007D0CE5" w:rsidRDefault="00E45E53" w:rsidP="00487BC1">
            <w:pPr>
              <w:pStyle w:val="EPLogo"/>
            </w:pPr>
            <w:r w:rsidRPr="007D0CE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7D0CE5" w:rsidRDefault="00C71A3C" w:rsidP="00C71A3C">
      <w:pPr>
        <w:pStyle w:val="LineTop"/>
      </w:pPr>
    </w:p>
    <w:p w:rsidR="00C71A3C" w:rsidRPr="007D0CE5" w:rsidRDefault="00C71A3C" w:rsidP="00C71A3C">
      <w:pPr>
        <w:pStyle w:val="EPBody"/>
      </w:pPr>
      <w:r w:rsidRPr="007D0CE5">
        <w:rPr>
          <w:rStyle w:val="HideTWBExt"/>
          <w:noProof w:val="0"/>
        </w:rPr>
        <w:t>&lt;</w:t>
      </w:r>
      <w:r w:rsidRPr="007D0CE5">
        <w:rPr>
          <w:rStyle w:val="HideTWBExt"/>
          <w:i w:val="0"/>
          <w:noProof w:val="0"/>
        </w:rPr>
        <w:t>Commission</w:t>
      </w:r>
      <w:r w:rsidRPr="007D0CE5">
        <w:rPr>
          <w:rStyle w:val="HideTWBExt"/>
          <w:noProof w:val="0"/>
        </w:rPr>
        <w:t>&gt;</w:t>
      </w:r>
      <w:r w:rsidRPr="007D0CE5">
        <w:rPr>
          <w:rStyle w:val="HideTWBInt"/>
        </w:rPr>
        <w:t>{ECON}</w:t>
      </w:r>
      <w:r w:rsidRPr="007D0CE5">
        <w:t>Comisión de Asuntos Económicos y Monetarios</w:t>
      </w:r>
      <w:r w:rsidRPr="007D0CE5">
        <w:rPr>
          <w:rStyle w:val="HideTWBExt"/>
          <w:noProof w:val="0"/>
        </w:rPr>
        <w:t>&lt;/</w:t>
      </w:r>
      <w:r w:rsidRPr="007D0CE5">
        <w:rPr>
          <w:rStyle w:val="HideTWBExt"/>
          <w:i w:val="0"/>
          <w:noProof w:val="0"/>
        </w:rPr>
        <w:t>Commission</w:t>
      </w:r>
      <w:r w:rsidRPr="007D0CE5">
        <w:rPr>
          <w:rStyle w:val="HideTWBExt"/>
          <w:noProof w:val="0"/>
        </w:rPr>
        <w:t>&gt;</w:t>
      </w:r>
    </w:p>
    <w:p w:rsidR="00C71A3C" w:rsidRPr="007D0CE5" w:rsidRDefault="00C71A3C" w:rsidP="00C71A3C">
      <w:pPr>
        <w:pStyle w:val="LineBottom"/>
      </w:pPr>
    </w:p>
    <w:p w:rsidR="00ED0821" w:rsidRPr="007D0CE5" w:rsidRDefault="00ED0821">
      <w:pPr>
        <w:pStyle w:val="CoverReference"/>
      </w:pPr>
      <w:r w:rsidRPr="007D0CE5">
        <w:rPr>
          <w:rStyle w:val="HideTWBExt"/>
          <w:b w:val="0"/>
          <w:noProof w:val="0"/>
        </w:rPr>
        <w:t>&lt;RefProc&gt;</w:t>
      </w:r>
      <w:r w:rsidRPr="007D0CE5">
        <w:t>2018/0006</w:t>
      </w:r>
      <w:r w:rsidRPr="007D0CE5">
        <w:rPr>
          <w:rStyle w:val="HideTWBExt"/>
          <w:b w:val="0"/>
          <w:noProof w:val="0"/>
        </w:rPr>
        <w:t>&lt;/RefProc&gt;&lt;RefTypeProc&gt;</w:t>
      </w:r>
      <w:r w:rsidRPr="007D0CE5">
        <w:t>(CNS)</w:t>
      </w:r>
      <w:r w:rsidRPr="007D0CE5">
        <w:rPr>
          <w:rStyle w:val="HideTWBExt"/>
          <w:b w:val="0"/>
          <w:noProof w:val="0"/>
        </w:rPr>
        <w:t>&lt;/RefTypeProc&gt;</w:t>
      </w:r>
    </w:p>
    <w:p w:rsidR="00ED0821" w:rsidRPr="007D0CE5" w:rsidRDefault="00ED0821">
      <w:pPr>
        <w:pStyle w:val="CoverDate"/>
      </w:pPr>
      <w:r w:rsidRPr="007D0CE5">
        <w:rPr>
          <w:rStyle w:val="HideTWBExt"/>
          <w:noProof w:val="0"/>
        </w:rPr>
        <w:t>&lt;Date&gt;</w:t>
      </w:r>
      <w:r w:rsidRPr="007D0CE5">
        <w:rPr>
          <w:rStyle w:val="HideTWBInt"/>
        </w:rPr>
        <w:t>{26/11/2019}</w:t>
      </w:r>
      <w:r w:rsidRPr="007D0CE5">
        <w:t>26.11.2019</w:t>
      </w:r>
      <w:r w:rsidRPr="007D0CE5">
        <w:rPr>
          <w:rStyle w:val="HideTWBExt"/>
          <w:noProof w:val="0"/>
        </w:rPr>
        <w:t>&lt;/Date&gt;</w:t>
      </w:r>
    </w:p>
    <w:p w:rsidR="00ED0821" w:rsidRPr="007D0CE5" w:rsidRDefault="00ED0821">
      <w:pPr>
        <w:pStyle w:val="CoverDocType"/>
      </w:pPr>
      <w:r w:rsidRPr="007D0CE5">
        <w:rPr>
          <w:rStyle w:val="HideTWBExt"/>
          <w:b w:val="0"/>
          <w:noProof w:val="0"/>
        </w:rPr>
        <w:t>&lt;RefProcLect&gt;</w:t>
      </w:r>
      <w:r w:rsidRPr="007D0CE5">
        <w:t>*</w:t>
      </w:r>
      <w:r w:rsidRPr="007D0CE5">
        <w:rPr>
          <w:rStyle w:val="HideTWBExt"/>
          <w:b w:val="0"/>
          <w:noProof w:val="0"/>
        </w:rPr>
        <w:t>&lt;/RefProcLect&gt;</w:t>
      </w:r>
    </w:p>
    <w:p w:rsidR="00ED0821" w:rsidRPr="007D0CE5" w:rsidRDefault="00ED0821">
      <w:pPr>
        <w:pStyle w:val="CoverDocType24a"/>
      </w:pPr>
      <w:r w:rsidRPr="007D0CE5">
        <w:rPr>
          <w:rStyle w:val="HideTWBExt"/>
          <w:b w:val="0"/>
          <w:noProof w:val="0"/>
        </w:rPr>
        <w:t>&lt;TitreType&gt;</w:t>
      </w:r>
      <w:r w:rsidRPr="007D0CE5">
        <w:t>PROYECTO DE INFORME</w:t>
      </w:r>
      <w:r w:rsidRPr="007D0CE5">
        <w:rPr>
          <w:rStyle w:val="HideTWBExt"/>
          <w:b w:val="0"/>
          <w:noProof w:val="0"/>
        </w:rPr>
        <w:t>&lt;/TitreType&gt;</w:t>
      </w:r>
    </w:p>
    <w:p w:rsidR="00ED0821" w:rsidRPr="007D0CE5" w:rsidRDefault="00ED0821">
      <w:pPr>
        <w:pStyle w:val="CoverNormal"/>
      </w:pPr>
      <w:r w:rsidRPr="007D0CE5">
        <w:rPr>
          <w:rStyle w:val="HideTWBExt"/>
          <w:noProof w:val="0"/>
        </w:rPr>
        <w:t>&lt;Titre&gt;</w:t>
      </w:r>
      <w:r w:rsidRPr="007D0CE5">
        <w:t>sobre el proyecto de Directiva del Consejo por la que se modifica la Directiva 2006/112/CE, relativa al sistema común del impuesto sobre el valor añadido, en lo que respecta al régimen especial de las pequeñas empresas, y el Reglamento (UE) n.º 904/2010 del Consejo, en lo que respecta a la cooperación administrativa y al intercambio de información a efectos de vigilancia de la correcta aplicación del régimen especial de las pequeñas empresas</w:t>
      </w:r>
      <w:r w:rsidRPr="007D0CE5">
        <w:rPr>
          <w:rStyle w:val="HideTWBExt"/>
          <w:noProof w:val="0"/>
        </w:rPr>
        <w:t>&lt;/Titre&gt;</w:t>
      </w:r>
    </w:p>
    <w:p w:rsidR="00ED0821" w:rsidRPr="007D0CE5" w:rsidRDefault="00ED0821">
      <w:pPr>
        <w:pStyle w:val="CoverNormal24a"/>
      </w:pPr>
      <w:r w:rsidRPr="007D0CE5">
        <w:rPr>
          <w:rStyle w:val="HideTWBExt"/>
          <w:noProof w:val="0"/>
        </w:rPr>
        <w:t>&lt;DocRef&gt;</w:t>
      </w:r>
      <w:r w:rsidRPr="007D0CE5">
        <w:t>(13952/2019 – C9</w:t>
      </w:r>
      <w:r w:rsidRPr="007D0CE5">
        <w:noBreakHyphen/>
        <w:t>0166/2019 – 2018/0006(CNS))</w:t>
      </w:r>
      <w:r w:rsidRPr="007D0CE5">
        <w:rPr>
          <w:rStyle w:val="HideTWBExt"/>
          <w:noProof w:val="0"/>
        </w:rPr>
        <w:t>&lt;/DocRef&gt;</w:t>
      </w:r>
    </w:p>
    <w:p w:rsidR="00ED0821" w:rsidRPr="007D0CE5" w:rsidRDefault="00ED0821">
      <w:pPr>
        <w:pStyle w:val="CoverNormal24a"/>
      </w:pPr>
      <w:r w:rsidRPr="007D0CE5">
        <w:rPr>
          <w:rStyle w:val="HideTWBExt"/>
          <w:noProof w:val="0"/>
        </w:rPr>
        <w:t>&lt;Commission&gt;</w:t>
      </w:r>
      <w:r w:rsidRPr="007D0CE5">
        <w:rPr>
          <w:rStyle w:val="HideTWBInt"/>
        </w:rPr>
        <w:t>{ECON}</w:t>
      </w:r>
      <w:r w:rsidRPr="007D0CE5">
        <w:t>Comisión de Asuntos Económicos y Monetarios</w:t>
      </w:r>
      <w:r w:rsidRPr="007D0CE5">
        <w:rPr>
          <w:rStyle w:val="HideTWBExt"/>
          <w:noProof w:val="0"/>
        </w:rPr>
        <w:t>&lt;/Commission&gt;</w:t>
      </w:r>
    </w:p>
    <w:p w:rsidR="00ED0821" w:rsidRPr="007D0CE5" w:rsidRDefault="00BC7C6B">
      <w:pPr>
        <w:pStyle w:val="CoverNormal24a"/>
      </w:pPr>
      <w:r w:rsidRPr="007D0CE5">
        <w:t xml:space="preserve">Ponente: </w:t>
      </w:r>
      <w:r w:rsidRPr="007D0CE5">
        <w:rPr>
          <w:rStyle w:val="HideTWBExt"/>
          <w:noProof w:val="0"/>
        </w:rPr>
        <w:t>&lt;Depute&gt;</w:t>
      </w:r>
      <w:r w:rsidRPr="007D0CE5">
        <w:t>Inese Vaidere</w:t>
      </w:r>
      <w:r w:rsidRPr="007D0CE5">
        <w:rPr>
          <w:rStyle w:val="HideTWBExt"/>
          <w:noProof w:val="0"/>
        </w:rPr>
        <w:t>&lt;/Depute&gt;</w:t>
      </w:r>
    </w:p>
    <w:p w:rsidR="00BE4EC7" w:rsidRPr="007D0CE5" w:rsidRDefault="00BE4EC7" w:rsidP="00BE4EC7">
      <w:pPr>
        <w:pStyle w:val="CoverNormal"/>
      </w:pPr>
    </w:p>
    <w:p w:rsidR="00424D72" w:rsidRPr="007D0CE5" w:rsidRDefault="00424D72" w:rsidP="00BE4EC7">
      <w:pPr>
        <w:pStyle w:val="CoverNormal"/>
      </w:pPr>
    </w:p>
    <w:p w:rsidR="00424D72" w:rsidRPr="007D0CE5" w:rsidRDefault="00424D72" w:rsidP="00BE4EC7">
      <w:pPr>
        <w:pStyle w:val="CoverNormal"/>
      </w:pPr>
    </w:p>
    <w:p w:rsidR="00424D72" w:rsidRPr="007D0CE5" w:rsidRDefault="00424D72" w:rsidP="00BE4EC7">
      <w:pPr>
        <w:pStyle w:val="CoverNormal"/>
      </w:pPr>
      <w:r w:rsidRPr="007D0CE5">
        <w:t>(Nueva consulta – artículo 84 del Reglamento interno)</w:t>
      </w:r>
    </w:p>
    <w:p w:rsidR="00CA15EC" w:rsidRPr="007D0CE5" w:rsidRDefault="00ED0821" w:rsidP="00894923">
      <w:r w:rsidRPr="007D0CE5">
        <w:br w:type="page"/>
      </w:r>
      <w:r w:rsidR="00556337" w:rsidRPr="007D0CE5">
        <w:lastRenderedPageBreak/>
        <w:fldChar w:fldCharType="begin"/>
      </w:r>
      <w:r w:rsidR="00556337" w:rsidRPr="007D0CE5">
        <w:instrText xml:space="preserve"> TITLE  \* MERGEFORMAT </w:instrText>
      </w:r>
      <w:r w:rsidR="00556337" w:rsidRPr="007D0CE5">
        <w:fldChar w:fldCharType="separate"/>
      </w:r>
      <w:r w:rsidR="00556337">
        <w:t>PR_CNS_LegAct_app</w:t>
      </w:r>
      <w:r w:rsidR="00556337" w:rsidRPr="007D0CE5">
        <w:fldChar w:fldCharType="end"/>
      </w:r>
    </w:p>
    <w:p w:rsidR="00CA15EC" w:rsidRPr="007D0CE5" w:rsidRDefault="00CA15EC" w:rsidP="00894923"/>
    <w:p w:rsidR="00CA15EC" w:rsidRPr="007D0CE5" w:rsidRDefault="00CA15EC"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A15EC" w:rsidRPr="007D0CE5">
        <w:tc>
          <w:tcPr>
            <w:tcW w:w="5811" w:type="dxa"/>
          </w:tcPr>
          <w:p w:rsidR="00CA15EC" w:rsidRPr="007D0CE5" w:rsidRDefault="00CA15EC" w:rsidP="00894923">
            <w:pPr>
              <w:pStyle w:val="Lgendetitre"/>
            </w:pPr>
            <w:r w:rsidRPr="007D0CE5">
              <w:t>Explicación de los signos utilizados</w:t>
            </w:r>
          </w:p>
        </w:tc>
      </w:tr>
      <w:tr w:rsidR="00CA15EC" w:rsidRPr="007D0CE5" w:rsidTr="007452CB">
        <w:trPr>
          <w:cantSplit/>
          <w:trHeight w:val="1807"/>
        </w:trPr>
        <w:tc>
          <w:tcPr>
            <w:tcW w:w="5811" w:type="dxa"/>
            <w:tcBorders>
              <w:bottom w:val="single" w:sz="4" w:space="0" w:color="auto"/>
            </w:tcBorders>
          </w:tcPr>
          <w:p w:rsidR="00CA15EC" w:rsidRPr="007D0CE5" w:rsidRDefault="00CA15EC" w:rsidP="003506ED">
            <w:pPr>
              <w:pStyle w:val="Lgendesigne"/>
            </w:pPr>
            <w:r w:rsidRPr="007D0CE5">
              <w:tab/>
              <w:t>*</w:t>
            </w:r>
            <w:r w:rsidRPr="007D0CE5">
              <w:tab/>
              <w:t>Procedimiento de consulta</w:t>
            </w:r>
          </w:p>
          <w:p w:rsidR="00CA15EC" w:rsidRPr="007D0CE5" w:rsidRDefault="00CA15EC" w:rsidP="003506ED">
            <w:pPr>
              <w:pStyle w:val="Lgendesigne"/>
            </w:pPr>
            <w:r w:rsidRPr="007D0CE5">
              <w:tab/>
              <w:t>***</w:t>
            </w:r>
            <w:r w:rsidRPr="007D0CE5">
              <w:tab/>
              <w:t>Procedimiento de aprobación</w:t>
            </w:r>
          </w:p>
          <w:p w:rsidR="00CA15EC" w:rsidRPr="007D0CE5" w:rsidRDefault="00CA15EC" w:rsidP="003506ED">
            <w:pPr>
              <w:pStyle w:val="Lgendesigne"/>
            </w:pPr>
            <w:r w:rsidRPr="007D0CE5">
              <w:tab/>
              <w:t>***I</w:t>
            </w:r>
            <w:r w:rsidRPr="007D0CE5">
              <w:tab/>
              <w:t>Procedimiento legislativo ordinario (primera lectura)</w:t>
            </w:r>
          </w:p>
          <w:p w:rsidR="00CA15EC" w:rsidRPr="007D0CE5" w:rsidRDefault="00CA15EC" w:rsidP="003506ED">
            <w:pPr>
              <w:pStyle w:val="Lgendesigne"/>
            </w:pPr>
            <w:r w:rsidRPr="007D0CE5">
              <w:tab/>
              <w:t>***II</w:t>
            </w:r>
            <w:r w:rsidRPr="007D0CE5">
              <w:tab/>
              <w:t>Procedimiento legislativo ordinario (segunda lectura)</w:t>
            </w:r>
          </w:p>
          <w:p w:rsidR="00CA15EC" w:rsidRPr="007D0CE5" w:rsidRDefault="00CA15EC" w:rsidP="003506ED">
            <w:pPr>
              <w:pStyle w:val="Lgendesigne"/>
            </w:pPr>
            <w:r w:rsidRPr="007D0CE5">
              <w:tab/>
              <w:t>***III</w:t>
            </w:r>
            <w:r w:rsidRPr="007D0CE5">
              <w:tab/>
              <w:t>Procedimiento legislativo ordinario (tercera lectura)</w:t>
            </w:r>
          </w:p>
          <w:p w:rsidR="00CA15EC" w:rsidRPr="007D0CE5" w:rsidRDefault="00CA15EC" w:rsidP="003506ED">
            <w:pPr>
              <w:pStyle w:val="Lgendestandard"/>
            </w:pPr>
          </w:p>
          <w:p w:rsidR="00CA15EC" w:rsidRPr="007D0CE5" w:rsidRDefault="00CA15EC" w:rsidP="003506ED">
            <w:pPr>
              <w:pStyle w:val="Lgendestandard"/>
            </w:pPr>
            <w:r w:rsidRPr="007D0CE5">
              <w:t>(El procedimiento indicado se sustenta en la base jurídica propuesta en el proyecto de acto).</w:t>
            </w:r>
          </w:p>
          <w:p w:rsidR="00CA15EC" w:rsidRPr="007D0CE5" w:rsidRDefault="00CA15EC" w:rsidP="00B54EAF">
            <w:pPr>
              <w:pStyle w:val="Lgendestandard"/>
            </w:pPr>
          </w:p>
        </w:tc>
      </w:tr>
    </w:tbl>
    <w:p w:rsidR="00CA15EC" w:rsidRPr="007D0CE5" w:rsidRDefault="00CA15EC" w:rsidP="00894923"/>
    <w:p w:rsidR="00CA15EC" w:rsidRPr="007D0CE5" w:rsidRDefault="00CA15EC" w:rsidP="00894923"/>
    <w:p w:rsidR="00CA15EC" w:rsidRPr="007D0CE5" w:rsidRDefault="00CA15EC" w:rsidP="00894923"/>
    <w:p w:rsidR="00CA15EC" w:rsidRPr="007D0CE5" w:rsidRDefault="00CA15EC"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A15EC" w:rsidRPr="007D0CE5">
        <w:tc>
          <w:tcPr>
            <w:tcW w:w="5811" w:type="dxa"/>
          </w:tcPr>
          <w:p w:rsidR="00CA15EC" w:rsidRPr="007D0CE5" w:rsidRDefault="00CA15EC" w:rsidP="00894923">
            <w:pPr>
              <w:pStyle w:val="Lgendetitre"/>
            </w:pPr>
            <w:r w:rsidRPr="007D0CE5">
              <w:t>Enmiendas a un proyecto de acto</w:t>
            </w:r>
          </w:p>
        </w:tc>
      </w:tr>
      <w:tr w:rsidR="00CA15EC" w:rsidRPr="007D0CE5" w:rsidTr="00554250">
        <w:trPr>
          <w:trHeight w:val="4496"/>
        </w:trPr>
        <w:tc>
          <w:tcPr>
            <w:tcW w:w="5811" w:type="dxa"/>
          </w:tcPr>
          <w:p w:rsidR="00CA15EC" w:rsidRPr="007D0CE5" w:rsidRDefault="00CA15EC" w:rsidP="003506ED">
            <w:pPr>
              <w:pStyle w:val="Lgendestandard"/>
              <w:rPr>
                <w:szCs w:val="24"/>
              </w:rPr>
            </w:pPr>
            <w:r w:rsidRPr="007D0CE5">
              <w:rPr>
                <w:b/>
                <w:szCs w:val="24"/>
              </w:rPr>
              <w:t>Enmiendas del Parlamento presentadas en dos columnas</w:t>
            </w:r>
          </w:p>
          <w:p w:rsidR="00CA15EC" w:rsidRPr="007D0CE5" w:rsidRDefault="00CA15EC" w:rsidP="003506ED">
            <w:pPr>
              <w:pStyle w:val="Lgendestandard"/>
              <w:rPr>
                <w:szCs w:val="24"/>
              </w:rPr>
            </w:pPr>
          </w:p>
          <w:p w:rsidR="00CA15EC" w:rsidRPr="007D0CE5" w:rsidRDefault="00CA15EC" w:rsidP="003506ED">
            <w:pPr>
              <w:pStyle w:val="Lgendestandard"/>
              <w:rPr>
                <w:szCs w:val="24"/>
              </w:rPr>
            </w:pPr>
            <w:r w:rsidRPr="007D0CE5">
              <w:t xml:space="preserve">Las supresiones se señalan en </w:t>
            </w:r>
            <w:r w:rsidRPr="007D0CE5">
              <w:rPr>
                <w:b/>
                <w:i/>
                <w:szCs w:val="24"/>
              </w:rPr>
              <w:t>cursiva y negrita</w:t>
            </w:r>
            <w:r w:rsidRPr="007D0CE5">
              <w:t xml:space="preserve"> en la columna izquierda. Las sustituciones se señalan en </w:t>
            </w:r>
            <w:r w:rsidRPr="007D0CE5">
              <w:rPr>
                <w:b/>
                <w:i/>
                <w:szCs w:val="24"/>
              </w:rPr>
              <w:t>cursiva y negrita</w:t>
            </w:r>
            <w:r w:rsidRPr="007D0CE5">
              <w:t xml:space="preserve"> en ambas columnas. El texto nuevo se señala en </w:t>
            </w:r>
            <w:r w:rsidRPr="007D0CE5">
              <w:rPr>
                <w:b/>
                <w:i/>
                <w:szCs w:val="24"/>
              </w:rPr>
              <w:t>cursiva y negrita</w:t>
            </w:r>
            <w:r w:rsidRPr="007D0CE5">
              <w:t xml:space="preserve"> en la columna derecha.</w:t>
            </w:r>
          </w:p>
          <w:p w:rsidR="00CA15EC" w:rsidRPr="007D0CE5" w:rsidRDefault="00CA15EC" w:rsidP="003506ED">
            <w:pPr>
              <w:pStyle w:val="Lgendestandard"/>
              <w:rPr>
                <w:szCs w:val="24"/>
              </w:rPr>
            </w:pPr>
          </w:p>
          <w:p w:rsidR="00CA15EC" w:rsidRPr="007D0CE5" w:rsidRDefault="00CA15EC" w:rsidP="003506ED">
            <w:pPr>
              <w:pStyle w:val="Lgendestandard"/>
              <w:rPr>
                <w:szCs w:val="24"/>
              </w:rPr>
            </w:pPr>
            <w:r w:rsidRPr="007D0CE5">
              <w:t>En las dos primeras líneas del encabezamiento de cada enmienda se indica el pasaje del proyecto de acto examinado que es objeto de la enmienda. Si una enmienda se refiere a un acto existente que se quiere modificar con el proyecto de acto, su encabezamiento contiene además una tercera y cuarta líneas en las que se indican, respectivamente, el acto existente y la disposición de que se trate.</w:t>
            </w:r>
          </w:p>
          <w:p w:rsidR="00CA15EC" w:rsidRPr="007D0CE5" w:rsidRDefault="00CA15EC" w:rsidP="003506ED">
            <w:pPr>
              <w:pStyle w:val="Lgendestandard"/>
              <w:rPr>
                <w:szCs w:val="24"/>
              </w:rPr>
            </w:pPr>
          </w:p>
          <w:p w:rsidR="00CA15EC" w:rsidRPr="007D0CE5" w:rsidRDefault="00CA15EC" w:rsidP="003506ED">
            <w:pPr>
              <w:pStyle w:val="Lgendestandard"/>
              <w:rPr>
                <w:b/>
                <w:szCs w:val="24"/>
              </w:rPr>
            </w:pPr>
            <w:r w:rsidRPr="007D0CE5">
              <w:rPr>
                <w:b/>
                <w:szCs w:val="24"/>
              </w:rPr>
              <w:t>Enmiendas del Parlamento en forma de texto consolidado</w:t>
            </w:r>
          </w:p>
          <w:p w:rsidR="00CA15EC" w:rsidRPr="007D0CE5" w:rsidRDefault="00CA15EC" w:rsidP="003506ED">
            <w:pPr>
              <w:pStyle w:val="Lgendestandard"/>
              <w:rPr>
                <w:szCs w:val="24"/>
              </w:rPr>
            </w:pPr>
          </w:p>
          <w:p w:rsidR="00CA15EC" w:rsidRPr="007D0CE5" w:rsidRDefault="00CA15EC" w:rsidP="003506ED">
            <w:pPr>
              <w:pStyle w:val="Lgendestandard"/>
              <w:rPr>
                <w:szCs w:val="24"/>
              </w:rPr>
            </w:pPr>
            <w:r w:rsidRPr="007D0CE5">
              <w:t xml:space="preserve">Las partes de texto nuevas se indican en </w:t>
            </w:r>
            <w:r w:rsidRPr="007D0CE5">
              <w:rPr>
                <w:b/>
                <w:i/>
                <w:szCs w:val="24"/>
              </w:rPr>
              <w:t>cursiva y negrita</w:t>
            </w:r>
            <w:r w:rsidRPr="007D0CE5">
              <w:t xml:space="preserve">. Las partes de texto suprimidas se indican mediante el símbolo ▌o se tachan. Las sustituciones se indican señalando el texto nuevo en </w:t>
            </w:r>
            <w:r w:rsidRPr="007D0CE5">
              <w:rPr>
                <w:b/>
                <w:i/>
                <w:szCs w:val="24"/>
              </w:rPr>
              <w:t>cursiva y negrita</w:t>
            </w:r>
            <w:r w:rsidRPr="007D0CE5">
              <w:t xml:space="preserve"> y suprimiendo o tachando el texto sustituido. </w:t>
            </w:r>
          </w:p>
          <w:p w:rsidR="00CA15EC" w:rsidRPr="007D0CE5" w:rsidRDefault="00CA15EC" w:rsidP="003506ED">
            <w:pPr>
              <w:pStyle w:val="Lgendestandard"/>
            </w:pPr>
            <w:r w:rsidRPr="007D0CE5">
              <w:t>Como excepción, no se marcan las modificaciones de carácter estrictamente técnico introducidas por los servicios para la elaboración del texto final.</w:t>
            </w:r>
          </w:p>
          <w:p w:rsidR="00CA15EC" w:rsidRPr="007D0CE5" w:rsidRDefault="00CA15EC" w:rsidP="0069092A">
            <w:pPr>
              <w:pStyle w:val="Lgendestandard"/>
            </w:pPr>
          </w:p>
        </w:tc>
      </w:tr>
    </w:tbl>
    <w:p w:rsidR="00CA15EC" w:rsidRPr="007D0CE5" w:rsidRDefault="00CA15EC" w:rsidP="00894923"/>
    <w:p w:rsidR="00ED0821" w:rsidRPr="007D0CE5" w:rsidRDefault="00ED0821" w:rsidP="004C4A0B">
      <w:pPr>
        <w:widowControl/>
        <w:tabs>
          <w:tab w:val="center" w:pos="4677"/>
        </w:tabs>
      </w:pPr>
    </w:p>
    <w:p w:rsidR="00ED0821" w:rsidRPr="007D0CE5" w:rsidRDefault="00ED0821">
      <w:pPr>
        <w:pStyle w:val="TOCHeading"/>
      </w:pPr>
      <w:r w:rsidRPr="007D0CE5">
        <w:br w:type="page"/>
      </w:r>
      <w:r w:rsidRPr="007D0CE5">
        <w:lastRenderedPageBreak/>
        <w:t>ÍNDICE</w:t>
      </w:r>
    </w:p>
    <w:p w:rsidR="00ED0821" w:rsidRPr="007D0CE5" w:rsidRDefault="00BC7C6B">
      <w:pPr>
        <w:pStyle w:val="TOCPage"/>
      </w:pPr>
      <w:r w:rsidRPr="007D0CE5">
        <w:t>Página</w:t>
      </w:r>
    </w:p>
    <w:p w:rsidR="00556337" w:rsidRDefault="004C4A0B">
      <w:pPr>
        <w:pStyle w:val="TOC1"/>
        <w:tabs>
          <w:tab w:val="right" w:leader="dot" w:pos="9060"/>
        </w:tabs>
        <w:rPr>
          <w:rFonts w:asciiTheme="minorHAnsi" w:eastAsiaTheme="minorEastAsia" w:hAnsiTheme="minorHAnsi" w:cstheme="minorBidi"/>
          <w:noProof/>
          <w:sz w:val="22"/>
          <w:szCs w:val="22"/>
          <w:lang w:val="en-GB"/>
        </w:rPr>
      </w:pPr>
      <w:r w:rsidRPr="007D0CE5">
        <w:rPr>
          <w:b/>
        </w:rPr>
        <w:fldChar w:fldCharType="begin"/>
      </w:r>
      <w:r w:rsidRPr="007D0CE5">
        <w:rPr>
          <w:b/>
        </w:rPr>
        <w:instrText xml:space="preserve"> TOC \t "PageHeading</w:instrText>
      </w:r>
      <w:r w:rsidR="001673FE" w:rsidRPr="007D0CE5">
        <w:rPr>
          <w:b/>
        </w:rPr>
        <w:instrText>;</w:instrText>
      </w:r>
      <w:r w:rsidRPr="007D0CE5">
        <w:rPr>
          <w:b/>
        </w:rPr>
        <w:instrText xml:space="preserve">1" </w:instrText>
      </w:r>
      <w:r w:rsidRPr="007D0CE5">
        <w:rPr>
          <w:b/>
        </w:rPr>
        <w:fldChar w:fldCharType="separate"/>
      </w:r>
      <w:r w:rsidR="00556337">
        <w:rPr>
          <w:noProof/>
        </w:rPr>
        <w:t>PROYECTO DE RESOLUCIÓN LEGISLATIVA DEL PARLAMENTO EUROPEO</w:t>
      </w:r>
      <w:r w:rsidR="00556337">
        <w:rPr>
          <w:noProof/>
        </w:rPr>
        <w:tab/>
      </w:r>
      <w:r w:rsidR="00556337">
        <w:rPr>
          <w:noProof/>
        </w:rPr>
        <w:fldChar w:fldCharType="begin"/>
      </w:r>
      <w:r w:rsidR="00556337">
        <w:rPr>
          <w:noProof/>
        </w:rPr>
        <w:instrText xml:space="preserve"> PAGEREF _Toc26782649 \h </w:instrText>
      </w:r>
      <w:r w:rsidR="00556337">
        <w:rPr>
          <w:noProof/>
        </w:rPr>
      </w:r>
      <w:r w:rsidR="00556337">
        <w:rPr>
          <w:noProof/>
        </w:rPr>
        <w:fldChar w:fldCharType="separate"/>
      </w:r>
      <w:r w:rsidR="00556337">
        <w:rPr>
          <w:noProof/>
        </w:rPr>
        <w:t>5</w:t>
      </w:r>
      <w:r w:rsidR="00556337">
        <w:rPr>
          <w:noProof/>
        </w:rPr>
        <w:fldChar w:fldCharType="end"/>
      </w:r>
    </w:p>
    <w:p w:rsidR="00556337" w:rsidRDefault="00556337">
      <w:pPr>
        <w:pStyle w:val="TOC1"/>
        <w:tabs>
          <w:tab w:val="right" w:leader="dot" w:pos="9060"/>
        </w:tabs>
        <w:rPr>
          <w:rFonts w:asciiTheme="minorHAnsi" w:eastAsiaTheme="minorEastAsia" w:hAnsiTheme="minorHAnsi" w:cstheme="minorBidi"/>
          <w:noProof/>
          <w:sz w:val="22"/>
          <w:szCs w:val="22"/>
          <w:lang w:val="en-GB"/>
        </w:rPr>
      </w:pPr>
      <w:r>
        <w:rPr>
          <w:noProof/>
        </w:rPr>
        <w:t>EXPOSICIÓN DE MOTIVOS</w:t>
      </w:r>
      <w:r>
        <w:rPr>
          <w:noProof/>
        </w:rPr>
        <w:tab/>
      </w:r>
      <w:r>
        <w:rPr>
          <w:noProof/>
        </w:rPr>
        <w:fldChar w:fldCharType="begin"/>
      </w:r>
      <w:r>
        <w:rPr>
          <w:noProof/>
        </w:rPr>
        <w:instrText xml:space="preserve"> PAGEREF _Toc26782650 \h </w:instrText>
      </w:r>
      <w:r>
        <w:rPr>
          <w:noProof/>
        </w:rPr>
      </w:r>
      <w:r>
        <w:rPr>
          <w:noProof/>
        </w:rPr>
        <w:fldChar w:fldCharType="separate"/>
      </w:r>
      <w:r>
        <w:rPr>
          <w:noProof/>
        </w:rPr>
        <w:t>6</w:t>
      </w:r>
      <w:r>
        <w:rPr>
          <w:noProof/>
        </w:rPr>
        <w:fldChar w:fldCharType="end"/>
      </w:r>
    </w:p>
    <w:p w:rsidR="001A06D8" w:rsidRPr="007D0CE5" w:rsidRDefault="004C4A0B" w:rsidP="007B68B8">
      <w:r w:rsidRPr="007D0CE5">
        <w:rPr>
          <w:b/>
        </w:rPr>
        <w:fldChar w:fldCharType="end"/>
      </w:r>
    </w:p>
    <w:p w:rsidR="00ED0821" w:rsidRPr="007D0CE5" w:rsidRDefault="00ED0821">
      <w:pPr>
        <w:pStyle w:val="PageHeading"/>
      </w:pPr>
      <w:r w:rsidRPr="007D0CE5">
        <w:br w:type="page"/>
      </w:r>
      <w:r w:rsidRPr="007D0CE5">
        <w:lastRenderedPageBreak/>
        <w:br w:type="page"/>
      </w:r>
      <w:bookmarkStart w:id="1" w:name="_Toc26782649"/>
      <w:r w:rsidRPr="007D0CE5">
        <w:t>PROYECTO DE RESOLUCIÓN LEGISLATIVA DEL PARLAMENTO EUROPEO</w:t>
      </w:r>
      <w:bookmarkEnd w:id="1"/>
    </w:p>
    <w:p w:rsidR="00ED0821" w:rsidRPr="007D0CE5" w:rsidRDefault="00BC7C6B">
      <w:pPr>
        <w:pStyle w:val="NormalBold"/>
      </w:pPr>
      <w:r w:rsidRPr="007D0CE5">
        <w:t>sobre el proyecto de Directiva del Consejo por la que se modifica la Directiva 2006/112/CE, relativa al sistema común del impuesto sobre el valor añadido, en lo que respecta al régimen especial de las pequeñas empresas, y el Reglamento (UE) n.º 904/2010 del Consejo, en lo que respecta a la cooperación administrativa y al intercambio de información a efectos de vigilancia de la correcta aplicación del régimen especial de las pequeñas empresas</w:t>
      </w:r>
    </w:p>
    <w:p w:rsidR="00ED0821" w:rsidRPr="007D0CE5" w:rsidRDefault="00BC7C6B">
      <w:pPr>
        <w:pStyle w:val="NormalBold12a"/>
      </w:pPr>
      <w:r w:rsidRPr="007D0CE5">
        <w:t>(13952/2019 – C9</w:t>
      </w:r>
      <w:r w:rsidRPr="007D0CE5">
        <w:noBreakHyphen/>
        <w:t>0166/2019 – 2018/0006(CNS))</w:t>
      </w:r>
    </w:p>
    <w:p w:rsidR="00ED0821" w:rsidRPr="007D0CE5" w:rsidRDefault="00BC7C6B" w:rsidP="007B68B8">
      <w:pPr>
        <w:pStyle w:val="NormalBold"/>
      </w:pPr>
      <w:r w:rsidRPr="007D0CE5">
        <w:t>(Procedimiento legislativo especial – nueva consulta)</w:t>
      </w:r>
    </w:p>
    <w:p w:rsidR="00ED0821" w:rsidRPr="007D0CE5" w:rsidRDefault="00BC7C6B">
      <w:pPr>
        <w:pStyle w:val="EPComma"/>
      </w:pPr>
      <w:r w:rsidRPr="007D0CE5">
        <w:rPr>
          <w:i/>
        </w:rPr>
        <w:t>El Parlamento Europeo</w:t>
      </w:r>
      <w:r w:rsidRPr="007D0CE5">
        <w:t>,</w:t>
      </w:r>
    </w:p>
    <w:p w:rsidR="00ED0821" w:rsidRPr="007D0CE5" w:rsidRDefault="00ED0821">
      <w:pPr>
        <w:pStyle w:val="NormalHanging12a"/>
      </w:pPr>
      <w:r w:rsidRPr="007D0CE5">
        <w:t>–</w:t>
      </w:r>
      <w:r w:rsidRPr="007D0CE5">
        <w:tab/>
        <w:t>Visto el proyecto del Consejo (13952/2019),</w:t>
      </w:r>
    </w:p>
    <w:p w:rsidR="00A44BD1" w:rsidRPr="007D0CE5" w:rsidRDefault="00A44BD1">
      <w:pPr>
        <w:pStyle w:val="NormalHanging12a"/>
      </w:pPr>
      <w:r w:rsidRPr="007D0CE5">
        <w:t>–</w:t>
      </w:r>
      <w:r w:rsidRPr="007D0CE5">
        <w:tab/>
        <w:t>Vista la propuesta de la Comisión al Consejo (COM(2018)0021),</w:t>
      </w:r>
    </w:p>
    <w:p w:rsidR="00A44BD1" w:rsidRPr="007D0CE5" w:rsidRDefault="00A44BD1">
      <w:pPr>
        <w:pStyle w:val="NormalHanging12a"/>
      </w:pPr>
      <w:r w:rsidRPr="007D0CE5">
        <w:t>–</w:t>
      </w:r>
      <w:r w:rsidRPr="007D0CE5">
        <w:tab/>
        <w:t>Vista su Posición de 11 de septiembre de 2018</w:t>
      </w:r>
      <w:r w:rsidRPr="007D0CE5">
        <w:rPr>
          <w:rStyle w:val="FootnoteReference"/>
          <w:szCs w:val="24"/>
        </w:rPr>
        <w:footnoteReference w:id="1"/>
      </w:r>
      <w:r w:rsidRPr="007D0CE5">
        <w:t>,</w:t>
      </w:r>
    </w:p>
    <w:p w:rsidR="00ED0821" w:rsidRPr="007D0CE5" w:rsidRDefault="00ED0821">
      <w:pPr>
        <w:pStyle w:val="NormalHanging12a"/>
      </w:pPr>
      <w:r w:rsidRPr="007D0CE5">
        <w:t>–</w:t>
      </w:r>
      <w:r w:rsidRPr="007D0CE5">
        <w:tab/>
        <w:t>Visto el artículo 113 del Tratado de Funcionamiento de la Unión Europea, conforme al cual ha sido consultado de nuevo por el Consejo (C9</w:t>
      </w:r>
      <w:r w:rsidRPr="007D0CE5">
        <w:noBreakHyphen/>
        <w:t>0166/2019),</w:t>
      </w:r>
    </w:p>
    <w:p w:rsidR="00ED0821" w:rsidRPr="007D0CE5" w:rsidRDefault="00ED0821">
      <w:pPr>
        <w:pStyle w:val="NormalHanging12a"/>
      </w:pPr>
      <w:r w:rsidRPr="007D0CE5">
        <w:t>–</w:t>
      </w:r>
      <w:r w:rsidRPr="007D0CE5">
        <w:tab/>
        <w:t>Vistos los artículos 82 y 84 de su Reglamento interno,</w:t>
      </w:r>
    </w:p>
    <w:p w:rsidR="00E822D6" w:rsidRPr="007D0CE5" w:rsidRDefault="00E822D6" w:rsidP="00E822D6">
      <w:pPr>
        <w:pStyle w:val="NormalHanging12a"/>
      </w:pPr>
      <w:r w:rsidRPr="007D0CE5">
        <w:t>–</w:t>
      </w:r>
      <w:r w:rsidRPr="007D0CE5">
        <w:tab/>
        <w:t>Visto el informe de la Comisión de Asuntos Económicos y Monetarios (A9</w:t>
      </w:r>
      <w:r w:rsidRPr="007D0CE5">
        <w:noBreakHyphen/>
        <w:t>0000/2019),</w:t>
      </w:r>
    </w:p>
    <w:p w:rsidR="00A44BD1" w:rsidRPr="007D0CE5" w:rsidRDefault="00ED0821">
      <w:pPr>
        <w:pStyle w:val="NormalHanging12a"/>
      </w:pPr>
      <w:r w:rsidRPr="007D0CE5">
        <w:t>1.</w:t>
      </w:r>
      <w:r w:rsidRPr="007D0CE5">
        <w:tab/>
        <w:t>Aprueba el proyecto del Consejo;</w:t>
      </w:r>
    </w:p>
    <w:p w:rsidR="002F7000" w:rsidRPr="007D0CE5" w:rsidRDefault="00ED0821">
      <w:pPr>
        <w:pStyle w:val="NormalHanging12a"/>
      </w:pPr>
      <w:r w:rsidRPr="007D0CE5">
        <w:t>2.</w:t>
      </w:r>
      <w:r w:rsidRPr="007D0CE5">
        <w:tab/>
        <w:t>Pide al Consejo que le informe si se propone apartarse del texto aprobado por el Parlamento;</w:t>
      </w:r>
    </w:p>
    <w:p w:rsidR="00ED0821" w:rsidRPr="007D0CE5" w:rsidRDefault="002F7000">
      <w:pPr>
        <w:pStyle w:val="NormalHanging12a"/>
      </w:pPr>
      <w:r w:rsidRPr="007D0CE5">
        <w:t>3.</w:t>
      </w:r>
      <w:r w:rsidRPr="007D0CE5">
        <w:tab/>
        <w:t>Pide al Consejo que le consulte de nuevo si se propone modificar sustancialmente el texto aprobado por el Parlamento;</w:t>
      </w:r>
    </w:p>
    <w:p w:rsidR="00ED0821" w:rsidRPr="007D0CE5" w:rsidRDefault="002F7000">
      <w:pPr>
        <w:pStyle w:val="NormalHanging12a"/>
      </w:pPr>
      <w:r w:rsidRPr="007D0CE5">
        <w:t>4.</w:t>
      </w:r>
      <w:r w:rsidRPr="007D0CE5">
        <w:tab/>
        <w:t>Encarga a su presidente que transmita la Posición del Parlamento al Consejo y a la Comisión, así como a los Parlamentos nacionales.</w:t>
      </w:r>
    </w:p>
    <w:p w:rsidR="00A95CF8" w:rsidRPr="007D0CE5" w:rsidRDefault="00A95CF8" w:rsidP="002B1B1D"/>
    <w:p w:rsidR="00A95CF8" w:rsidRPr="007D0CE5" w:rsidRDefault="00A95CF8" w:rsidP="002B1B1D">
      <w:pPr>
        <w:sectPr w:rsidR="00A95CF8" w:rsidRPr="007D0CE5" w:rsidSect="007D0CE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A95CF8" w:rsidRPr="007D0CE5" w:rsidRDefault="00A95CF8" w:rsidP="002B1B1D"/>
    <w:p w:rsidR="002B1B1D" w:rsidRPr="007D0CE5" w:rsidRDefault="00A95CF8" w:rsidP="00A95CF8">
      <w:pPr>
        <w:pStyle w:val="PageHeading"/>
      </w:pPr>
      <w:bookmarkStart w:id="2" w:name="_Toc26782650"/>
      <w:r w:rsidRPr="007D0CE5">
        <w:t>EXPOSICIÓN DE MOTIVOS</w:t>
      </w:r>
      <w:bookmarkEnd w:id="2"/>
    </w:p>
    <w:p w:rsidR="00A95CF8" w:rsidRPr="007D0CE5" w:rsidRDefault="00A95CF8" w:rsidP="00A95CF8">
      <w:r w:rsidRPr="007D0CE5">
        <w:t xml:space="preserve">En la sesión de ECOFIN del 8 de noviembre de 2019, el Consejo acordó una orientación general sobre una nueva simplificación de las normas del IVA aplicables a las pequeñas empresas (pymes). </w:t>
      </w:r>
    </w:p>
    <w:p w:rsidR="00A95CF8" w:rsidRPr="007D0CE5" w:rsidRDefault="00A95CF8" w:rsidP="00A95CF8"/>
    <w:p w:rsidR="00A95CF8" w:rsidRPr="007D0CE5" w:rsidRDefault="00A95CF8" w:rsidP="00A95CF8">
      <w:r w:rsidRPr="007D0CE5">
        <w:t>Además, el Consejo decidió volver a consultar al Parlamento Europeo sobre su orientación general, ya que el texto difiere sustancialmente de la propuesta inicial de la Comisión de 18 de enero de 2018.</w:t>
      </w:r>
    </w:p>
    <w:p w:rsidR="00A95CF8" w:rsidRPr="007D0CE5" w:rsidRDefault="00A95CF8" w:rsidP="00A95CF8"/>
    <w:p w:rsidR="00A95CF8" w:rsidRPr="007D0CE5" w:rsidRDefault="00A95CF8" w:rsidP="00A95CF8">
      <w:r w:rsidRPr="007D0CE5">
        <w:t xml:space="preserve">Tanto la propuesta inicial de la Comisión como la orientación general del Consejo tienen por objeto introducir nuevas normas con vistas a reducir la carga administrativa y los costes de conformidad de las pymes y ayudar a crear un entorno fiscal que contribuya al crecimiento de las pymes y a una mayor eficiencia de su comercio transfronterizo. </w:t>
      </w:r>
    </w:p>
    <w:p w:rsidR="00A95CF8" w:rsidRPr="007D0CE5" w:rsidRDefault="00A95CF8" w:rsidP="00A95CF8"/>
    <w:p w:rsidR="00A95CF8" w:rsidRPr="007D0CE5" w:rsidRDefault="00A95CF8" w:rsidP="00A95CF8">
      <w:r w:rsidRPr="007D0CE5">
        <w:t>Para alcanzar este objetivo, la Comisión introdujo varias medidas, que se han mantenido en gran medida en la orientación general del Consejo:</w:t>
      </w:r>
    </w:p>
    <w:p w:rsidR="00A95CF8" w:rsidRPr="007D0CE5" w:rsidRDefault="00A95CF8" w:rsidP="00A95CF8"/>
    <w:p w:rsidR="00A95CF8" w:rsidRPr="007D0CE5" w:rsidRDefault="00A95CF8" w:rsidP="00A95CF8">
      <w:r w:rsidRPr="007D0CE5">
        <w:t>En primer lugar, la orientación general del Consejo mantiene la propuesta de la Comisión de hacer extensiva la exención del IVA para las pymes a las pymes no establecidas, en consonancia con el espíritu del mercado único.</w:t>
      </w:r>
    </w:p>
    <w:p w:rsidR="00A95CF8" w:rsidRPr="007D0CE5" w:rsidRDefault="00A95CF8" w:rsidP="00A95CF8"/>
    <w:p w:rsidR="00A95CF8" w:rsidRPr="007D0CE5" w:rsidRDefault="00A95CF8" w:rsidP="00A95CF8">
      <w:r w:rsidRPr="007D0CE5">
        <w:t>En segundo lugar, la orientación general del Consejo amplía, tal como se prevé en la propuesta de la Comisión, el período transitorio para que las pymes pasen de una exención al régimen normal del IVA.</w:t>
      </w:r>
    </w:p>
    <w:p w:rsidR="00A95CF8" w:rsidRPr="007D0CE5" w:rsidRDefault="00A95CF8" w:rsidP="00A95CF8"/>
    <w:p w:rsidR="00A95CF8" w:rsidRPr="007D0CE5" w:rsidRDefault="00A95CF8" w:rsidP="00A95CF8">
      <w:r w:rsidRPr="007D0CE5">
        <w:t>La disposición relativa a un «ventanilla única para las pymes» (One Stop Shop), desarrollada en el marco de la orientación general del Consejo, y las disposiciones detalladas sobre la cooperación administrativa para el intercambio de información entre los Estados miembros, están en consonancia con las peticiones formuladas por el Parlamento Europeo en su anterior informe sobre la presente propuesta.</w:t>
      </w:r>
    </w:p>
    <w:p w:rsidR="00A95CF8" w:rsidRPr="007D0CE5" w:rsidRDefault="00A95CF8" w:rsidP="00A95CF8"/>
    <w:p w:rsidR="00A95CF8" w:rsidRPr="007D0CE5" w:rsidRDefault="00A95CF8" w:rsidP="00A95CF8">
      <w:r w:rsidRPr="007D0CE5">
        <w:t>En conclusión, se insta al Consejo a que adopte formalmente estas normas sin dilación, con el fin de permitir su entrada en vigor y su aplicación lo antes posible, en beneficio de las pymes de la Unión.</w:t>
      </w:r>
    </w:p>
    <w:sectPr w:rsidR="00A95CF8" w:rsidRPr="007D0CE5" w:rsidSect="00A95CF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6B" w:rsidRPr="007D0CE5" w:rsidRDefault="00BC7C6B">
      <w:r w:rsidRPr="007D0CE5">
        <w:separator/>
      </w:r>
    </w:p>
  </w:endnote>
  <w:endnote w:type="continuationSeparator" w:id="0">
    <w:p w:rsidR="00BC7C6B" w:rsidRPr="007D0CE5" w:rsidRDefault="00BC7C6B">
      <w:r w:rsidRPr="007D0C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E5" w:rsidRPr="007D0CE5" w:rsidRDefault="007D0CE5" w:rsidP="007D0CE5">
    <w:pPr>
      <w:pStyle w:val="EPFooter"/>
    </w:pPr>
    <w:r w:rsidRPr="007D0CE5">
      <w:t>PE</w:t>
    </w:r>
    <w:r w:rsidRPr="007D0CE5">
      <w:rPr>
        <w:rStyle w:val="HideTWBExt"/>
        <w:noProof w:val="0"/>
      </w:rPr>
      <w:t>&lt;NoPE&gt;</w:t>
    </w:r>
    <w:r w:rsidRPr="007D0CE5">
      <w:t>644.767</w:t>
    </w:r>
    <w:r w:rsidRPr="007D0CE5">
      <w:rPr>
        <w:rStyle w:val="HideTWBExt"/>
        <w:noProof w:val="0"/>
      </w:rPr>
      <w:t>&lt;/NoPE&gt;&lt;Version&gt;</w:t>
    </w:r>
    <w:r w:rsidRPr="007D0CE5">
      <w:t>v01-00</w:t>
    </w:r>
    <w:r w:rsidRPr="007D0CE5">
      <w:rPr>
        <w:rStyle w:val="HideTWBExt"/>
        <w:noProof w:val="0"/>
      </w:rPr>
      <w:t>&lt;/Version&gt;</w:t>
    </w:r>
    <w:r w:rsidRPr="007D0CE5">
      <w:tab/>
    </w:r>
    <w:r w:rsidRPr="007D0CE5">
      <w:fldChar w:fldCharType="begin"/>
    </w:r>
    <w:r w:rsidRPr="007D0CE5">
      <w:instrText xml:space="preserve"> PAGE  \* MERGEFORMAT </w:instrText>
    </w:r>
    <w:r w:rsidRPr="007D0CE5">
      <w:fldChar w:fldCharType="separate"/>
    </w:r>
    <w:r w:rsidR="00556337">
      <w:rPr>
        <w:noProof/>
      </w:rPr>
      <w:t>4</w:t>
    </w:r>
    <w:r w:rsidRPr="007D0CE5">
      <w:fldChar w:fldCharType="end"/>
    </w:r>
    <w:r w:rsidRPr="007D0CE5">
      <w:t>/</w:t>
    </w:r>
    <w:fldSimple w:instr=" NUMPAGES  \* MERGEFORMAT ">
      <w:r w:rsidR="00556337">
        <w:rPr>
          <w:noProof/>
        </w:rPr>
        <w:t>6</w:t>
      </w:r>
    </w:fldSimple>
    <w:r w:rsidRPr="007D0CE5">
      <w:tab/>
    </w:r>
    <w:r w:rsidRPr="007D0CE5">
      <w:rPr>
        <w:rStyle w:val="HideTWBExt"/>
        <w:noProof w:val="0"/>
      </w:rPr>
      <w:t>&lt;PathFdR&gt;</w:t>
    </w:r>
    <w:r w:rsidRPr="007D0CE5">
      <w:t>PR\1193368ES.docx</w:t>
    </w:r>
    <w:r w:rsidRPr="007D0CE5">
      <w:rPr>
        <w:rStyle w:val="HideTWBExt"/>
        <w:noProof w:val="0"/>
      </w:rPr>
      <w:t>&lt;/PathFdR&gt;</w:t>
    </w:r>
  </w:p>
  <w:p w:rsidR="002F7000" w:rsidRPr="007D0CE5" w:rsidRDefault="007D0CE5" w:rsidP="007D0CE5">
    <w:pPr>
      <w:pStyle w:val="EPFooter2"/>
    </w:pPr>
    <w:r w:rsidRPr="007D0CE5">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E5" w:rsidRPr="007D0CE5" w:rsidRDefault="007D0CE5" w:rsidP="007D0CE5">
    <w:pPr>
      <w:pStyle w:val="EPFooter"/>
    </w:pPr>
    <w:r w:rsidRPr="007D0CE5">
      <w:rPr>
        <w:rStyle w:val="HideTWBExt"/>
        <w:noProof w:val="0"/>
      </w:rPr>
      <w:t>&lt;PathFdR&gt;</w:t>
    </w:r>
    <w:r w:rsidRPr="007D0CE5">
      <w:t>PR\1193368ES.docx</w:t>
    </w:r>
    <w:r w:rsidRPr="007D0CE5">
      <w:rPr>
        <w:rStyle w:val="HideTWBExt"/>
        <w:noProof w:val="0"/>
      </w:rPr>
      <w:t>&lt;/PathFdR&gt;</w:t>
    </w:r>
    <w:r w:rsidRPr="007D0CE5">
      <w:tab/>
    </w:r>
    <w:r w:rsidRPr="007D0CE5">
      <w:fldChar w:fldCharType="begin"/>
    </w:r>
    <w:r w:rsidRPr="007D0CE5">
      <w:instrText xml:space="preserve"> PAGE  \* MERGEFORMAT </w:instrText>
    </w:r>
    <w:r w:rsidRPr="007D0CE5">
      <w:fldChar w:fldCharType="separate"/>
    </w:r>
    <w:r w:rsidR="00556337">
      <w:rPr>
        <w:noProof/>
      </w:rPr>
      <w:t>3</w:t>
    </w:r>
    <w:r w:rsidRPr="007D0CE5">
      <w:fldChar w:fldCharType="end"/>
    </w:r>
    <w:r w:rsidRPr="007D0CE5">
      <w:t>/</w:t>
    </w:r>
    <w:fldSimple w:instr=" NUMPAGES  \* MERGEFORMAT ">
      <w:r w:rsidR="00556337">
        <w:rPr>
          <w:noProof/>
        </w:rPr>
        <w:t>6</w:t>
      </w:r>
    </w:fldSimple>
    <w:r w:rsidRPr="007D0CE5">
      <w:tab/>
      <w:t>PE</w:t>
    </w:r>
    <w:r w:rsidRPr="007D0CE5">
      <w:rPr>
        <w:rStyle w:val="HideTWBExt"/>
        <w:noProof w:val="0"/>
      </w:rPr>
      <w:t>&lt;NoPE&gt;</w:t>
    </w:r>
    <w:r w:rsidRPr="007D0CE5">
      <w:t>644.767</w:t>
    </w:r>
    <w:r w:rsidRPr="007D0CE5">
      <w:rPr>
        <w:rStyle w:val="HideTWBExt"/>
        <w:noProof w:val="0"/>
      </w:rPr>
      <w:t>&lt;/NoPE&gt;&lt;Version&gt;</w:t>
    </w:r>
    <w:r w:rsidRPr="007D0CE5">
      <w:t>v01-00</w:t>
    </w:r>
    <w:r w:rsidRPr="007D0CE5">
      <w:rPr>
        <w:rStyle w:val="HideTWBExt"/>
        <w:noProof w:val="0"/>
      </w:rPr>
      <w:t>&lt;/Version&gt;</w:t>
    </w:r>
  </w:p>
  <w:p w:rsidR="002F7000" w:rsidRPr="007D0CE5" w:rsidRDefault="007D0CE5" w:rsidP="007D0CE5">
    <w:pPr>
      <w:pStyle w:val="EPFooter2"/>
    </w:pPr>
    <w:r w:rsidRPr="007D0CE5">
      <w:tab/>
    </w:r>
    <w:r w:rsidRPr="007D0CE5">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E5" w:rsidRPr="007D0CE5" w:rsidRDefault="007D0CE5" w:rsidP="007D0CE5">
    <w:pPr>
      <w:pStyle w:val="EPFooter"/>
    </w:pPr>
    <w:r w:rsidRPr="007D0CE5">
      <w:rPr>
        <w:rStyle w:val="HideTWBExt"/>
        <w:noProof w:val="0"/>
      </w:rPr>
      <w:t>&lt;PathFdR&gt;</w:t>
    </w:r>
    <w:r w:rsidRPr="007D0CE5">
      <w:t>PR\1193368ES.docx</w:t>
    </w:r>
    <w:r w:rsidRPr="007D0CE5">
      <w:rPr>
        <w:rStyle w:val="HideTWBExt"/>
        <w:noProof w:val="0"/>
      </w:rPr>
      <w:t>&lt;/PathFdR&gt;</w:t>
    </w:r>
    <w:r w:rsidRPr="007D0CE5">
      <w:tab/>
    </w:r>
    <w:r w:rsidRPr="007D0CE5">
      <w:tab/>
      <w:t>PE</w:t>
    </w:r>
    <w:r w:rsidRPr="007D0CE5">
      <w:rPr>
        <w:rStyle w:val="HideTWBExt"/>
        <w:noProof w:val="0"/>
      </w:rPr>
      <w:t>&lt;NoPE&gt;</w:t>
    </w:r>
    <w:r w:rsidRPr="007D0CE5">
      <w:t>644.767</w:t>
    </w:r>
    <w:r w:rsidRPr="007D0CE5">
      <w:rPr>
        <w:rStyle w:val="HideTWBExt"/>
        <w:noProof w:val="0"/>
      </w:rPr>
      <w:t>&lt;/NoPE&gt;&lt;Version&gt;</w:t>
    </w:r>
    <w:r w:rsidRPr="007D0CE5">
      <w:t>v01-00</w:t>
    </w:r>
    <w:r w:rsidRPr="007D0CE5">
      <w:rPr>
        <w:rStyle w:val="HideTWBExt"/>
        <w:noProof w:val="0"/>
      </w:rPr>
      <w:t>&lt;/Version&gt;</w:t>
    </w:r>
  </w:p>
  <w:p w:rsidR="002F7000" w:rsidRPr="007D0CE5" w:rsidRDefault="007D0CE5" w:rsidP="007D0CE5">
    <w:pPr>
      <w:pStyle w:val="EPFooter2"/>
    </w:pPr>
    <w:r w:rsidRPr="007D0CE5">
      <w:t>ES</w:t>
    </w:r>
    <w:r w:rsidRPr="007D0CE5">
      <w:tab/>
    </w:r>
    <w:r w:rsidRPr="007D0CE5">
      <w:rPr>
        <w:b w:val="0"/>
        <w:i/>
        <w:color w:val="C0C0C0"/>
        <w:sz w:val="22"/>
      </w:rPr>
      <w:t>Unida en la diversidad</w:t>
    </w:r>
    <w:r w:rsidRPr="007D0CE5">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6B" w:rsidRPr="007D0CE5" w:rsidRDefault="00BC7C6B">
      <w:r w:rsidRPr="007D0CE5">
        <w:separator/>
      </w:r>
    </w:p>
  </w:footnote>
  <w:footnote w:type="continuationSeparator" w:id="0">
    <w:p w:rsidR="00BC7C6B" w:rsidRPr="007D0CE5" w:rsidRDefault="00BC7C6B">
      <w:r w:rsidRPr="007D0CE5">
        <w:continuationSeparator/>
      </w:r>
    </w:p>
  </w:footnote>
  <w:footnote w:id="1">
    <w:p w:rsidR="00A44BD1" w:rsidRPr="007D0CE5" w:rsidRDefault="00A44BD1">
      <w:pPr>
        <w:pStyle w:val="FootnoteText"/>
      </w:pPr>
      <w:r w:rsidRPr="007D0CE5">
        <w:rPr>
          <w:rStyle w:val="FootnoteReference"/>
        </w:rPr>
        <w:footnoteRef/>
      </w:r>
      <w:r w:rsidRPr="007D0CE5">
        <w:t xml:space="preserve"> DO C..., ..., 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37" w:rsidRDefault="00556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37" w:rsidRDefault="00556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37" w:rsidRDefault="00556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EURATOMMNU" w:val=" 3"/>
    <w:docVar w:name="ARTFEUMNU" w:val=" 1"/>
    <w:docVar w:name="COMKEY" w:val="ECON"/>
    <w:docVar w:name="CopyToNetwork" w:val="-1"/>
    <w:docVar w:name="DOCMNU" w:val=" 2"/>
    <w:docVar w:name="JURI1MNU" w:val=" 2"/>
    <w:docVar w:name="JURI2MNU" w:val=" 2"/>
    <w:docVar w:name="LastEditedSection" w:val=" 1"/>
    <w:docVar w:name="PARLIAMENTSMNU" w:val=" 2"/>
    <w:docVar w:name="strDocTypeID" w:val="PR_CNS_LegAct_app"/>
    <w:docVar w:name="strSubDir" w:val="1193"/>
    <w:docVar w:name="TITLEMNU" w:val=" 2"/>
    <w:docVar w:name="TXTLANGUE" w:val="EN"/>
    <w:docVar w:name="TXTLANGUEMIN" w:val="en"/>
    <w:docVar w:name="TXTNRC" w:val="0166/2019"/>
    <w:docVar w:name="TXTNRCNS" w:val="2018/0006"/>
    <w:docVar w:name="TXTNRCOUNC" w:val="13952/19"/>
    <w:docVar w:name="TXTNRPE" w:val="644.767"/>
    <w:docVar w:name="TXTPEorAP" w:val="PE"/>
    <w:docVar w:name="TXTROUTE" w:val="PR\1193368EN.docx"/>
    <w:docVar w:name="TXTTITLE" w:val="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w:docVar w:name="TXTVERSION" w:val="01-00"/>
  </w:docVars>
  <w:rsids>
    <w:rsidRoot w:val="00BC7C6B"/>
    <w:rsid w:val="00056EA7"/>
    <w:rsid w:val="000753AB"/>
    <w:rsid w:val="000C7D46"/>
    <w:rsid w:val="000E1B0C"/>
    <w:rsid w:val="00104AEE"/>
    <w:rsid w:val="001157F2"/>
    <w:rsid w:val="001673FE"/>
    <w:rsid w:val="001907B9"/>
    <w:rsid w:val="001A06D8"/>
    <w:rsid w:val="001E5A80"/>
    <w:rsid w:val="0027008F"/>
    <w:rsid w:val="002817C0"/>
    <w:rsid w:val="00291A9E"/>
    <w:rsid w:val="002B0E9D"/>
    <w:rsid w:val="002B1B1D"/>
    <w:rsid w:val="002B272A"/>
    <w:rsid w:val="002C63B9"/>
    <w:rsid w:val="002D6A8E"/>
    <w:rsid w:val="002E5810"/>
    <w:rsid w:val="002F7000"/>
    <w:rsid w:val="00302A66"/>
    <w:rsid w:val="00385C3B"/>
    <w:rsid w:val="00424D72"/>
    <w:rsid w:val="00470D5E"/>
    <w:rsid w:val="00487BC1"/>
    <w:rsid w:val="00493AC9"/>
    <w:rsid w:val="004C4A0B"/>
    <w:rsid w:val="004D7B3B"/>
    <w:rsid w:val="004F549A"/>
    <w:rsid w:val="0050486E"/>
    <w:rsid w:val="005048AD"/>
    <w:rsid w:val="00543B7B"/>
    <w:rsid w:val="00556337"/>
    <w:rsid w:val="00566C5B"/>
    <w:rsid w:val="0057649A"/>
    <w:rsid w:val="005B10ED"/>
    <w:rsid w:val="005C0789"/>
    <w:rsid w:val="005F4E2B"/>
    <w:rsid w:val="00621617"/>
    <w:rsid w:val="00681C69"/>
    <w:rsid w:val="006860EE"/>
    <w:rsid w:val="006C3928"/>
    <w:rsid w:val="006D7DDB"/>
    <w:rsid w:val="006F6B23"/>
    <w:rsid w:val="00796EB5"/>
    <w:rsid w:val="007B68B8"/>
    <w:rsid w:val="007D0CE5"/>
    <w:rsid w:val="007D611D"/>
    <w:rsid w:val="00865B2B"/>
    <w:rsid w:val="00874129"/>
    <w:rsid w:val="008A02F6"/>
    <w:rsid w:val="008E1C2D"/>
    <w:rsid w:val="008E22DF"/>
    <w:rsid w:val="00911DF1"/>
    <w:rsid w:val="00972620"/>
    <w:rsid w:val="009B62DC"/>
    <w:rsid w:val="009C7A06"/>
    <w:rsid w:val="009D0C99"/>
    <w:rsid w:val="00A11805"/>
    <w:rsid w:val="00A32023"/>
    <w:rsid w:val="00A43E6A"/>
    <w:rsid w:val="00A44BD1"/>
    <w:rsid w:val="00A75C90"/>
    <w:rsid w:val="00A95CF8"/>
    <w:rsid w:val="00AD26AD"/>
    <w:rsid w:val="00AF7573"/>
    <w:rsid w:val="00B37926"/>
    <w:rsid w:val="00B37B16"/>
    <w:rsid w:val="00B8590D"/>
    <w:rsid w:val="00B8794C"/>
    <w:rsid w:val="00BB2027"/>
    <w:rsid w:val="00BC7C6B"/>
    <w:rsid w:val="00BD28D4"/>
    <w:rsid w:val="00BE4EC7"/>
    <w:rsid w:val="00C22C1C"/>
    <w:rsid w:val="00C54859"/>
    <w:rsid w:val="00C71A3C"/>
    <w:rsid w:val="00C82EBC"/>
    <w:rsid w:val="00C95F4F"/>
    <w:rsid w:val="00CA15EC"/>
    <w:rsid w:val="00D33288"/>
    <w:rsid w:val="00D4037E"/>
    <w:rsid w:val="00D53947"/>
    <w:rsid w:val="00DC3DED"/>
    <w:rsid w:val="00E45E53"/>
    <w:rsid w:val="00E822D6"/>
    <w:rsid w:val="00E97119"/>
    <w:rsid w:val="00ED0609"/>
    <w:rsid w:val="00ED0821"/>
    <w:rsid w:val="00F10FED"/>
    <w:rsid w:val="00F4597B"/>
    <w:rsid w:val="00F803E3"/>
    <w:rsid w:val="00F978D3"/>
    <w:rsid w:val="00FC479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8E89D9-D3B1-45CE-B8F1-D59D1E6F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E3"/>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7B68B8"/>
    <w:pPr>
      <w:spacing w:before="480" w:after="240"/>
    </w:pPr>
  </w:style>
  <w:style w:type="paragraph" w:styleId="TOC1">
    <w:name w:val="toc 1"/>
    <w:basedOn w:val="Normal"/>
    <w:next w:val="Normal"/>
    <w:autoRedefine/>
    <w:uiPriority w:val="39"/>
    <w:rsid w:val="00470D5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C4A0B"/>
    <w:pPr>
      <w:spacing w:before="80" w:after="80"/>
    </w:pPr>
    <w:rPr>
      <w:rFonts w:ascii="Arial Narrow" w:hAnsi="Arial Narrow" w:cs="Arial"/>
      <w:b/>
      <w:sz w:val="32"/>
      <w:szCs w:val="22"/>
    </w:rPr>
  </w:style>
  <w:style w:type="paragraph" w:customStyle="1" w:styleId="CoverNormal24a">
    <w:name w:val="CoverNormal24a"/>
    <w:basedOn w:val="Normal"/>
    <w:rsid w:val="005C078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4F549A"/>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5C078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4597B"/>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EPFooter">
    <w:name w:val="EPFooter"/>
    <w:basedOn w:val="Normal"/>
    <w:rsid w:val="005C0789"/>
    <w:pPr>
      <w:tabs>
        <w:tab w:val="center" w:pos="4535"/>
        <w:tab w:val="right" w:pos="9071"/>
      </w:tabs>
      <w:spacing w:before="240" w:after="240"/>
    </w:pPr>
    <w:rPr>
      <w:color w:val="010000"/>
      <w:sz w:val="22"/>
    </w:rPr>
  </w:style>
  <w:style w:type="character" w:styleId="PageNumber">
    <w:name w:val="page number"/>
    <w:basedOn w:val="DefaultParagraphFont"/>
    <w:semiHidden/>
    <w:rsid w:val="00865B2B"/>
  </w:style>
  <w:style w:type="character" w:customStyle="1" w:styleId="HeaderChar">
    <w:name w:val="Header Char"/>
    <w:basedOn w:val="DefaultParagraphFont"/>
    <w:link w:val="Header"/>
    <w:semiHidden/>
    <w:rsid w:val="00F4597B"/>
    <w:rPr>
      <w:sz w:val="24"/>
    </w:rPr>
  </w:style>
  <w:style w:type="paragraph" w:customStyle="1" w:styleId="Lgendesigne">
    <w:name w:val="Légende signe"/>
    <w:basedOn w:val="Normal"/>
    <w:rsid w:val="00CA15EC"/>
    <w:pPr>
      <w:tabs>
        <w:tab w:val="right" w:pos="454"/>
        <w:tab w:val="left" w:pos="737"/>
      </w:tabs>
      <w:ind w:left="737" w:hanging="737"/>
    </w:pPr>
    <w:rPr>
      <w:snapToGrid w:val="0"/>
      <w:sz w:val="18"/>
      <w:lang w:eastAsia="en-US"/>
    </w:rPr>
  </w:style>
  <w:style w:type="paragraph" w:customStyle="1" w:styleId="Lgendetitre">
    <w:name w:val="Légende titre"/>
    <w:basedOn w:val="Normal"/>
    <w:rsid w:val="00CA15EC"/>
    <w:pPr>
      <w:spacing w:before="240" w:after="240"/>
    </w:pPr>
    <w:rPr>
      <w:b/>
      <w:i/>
      <w:snapToGrid w:val="0"/>
      <w:lang w:eastAsia="en-US"/>
    </w:rPr>
  </w:style>
  <w:style w:type="paragraph" w:customStyle="1" w:styleId="Lgendestandard">
    <w:name w:val="Légende standard"/>
    <w:basedOn w:val="Normal"/>
    <w:rsid w:val="00CA15EC"/>
    <w:rPr>
      <w:sz w:val="18"/>
    </w:rPr>
  </w:style>
  <w:style w:type="paragraph" w:styleId="Footer">
    <w:name w:val="footer"/>
    <w:basedOn w:val="Normal"/>
    <w:link w:val="FooterChar"/>
    <w:semiHidden/>
    <w:rsid w:val="001673FE"/>
    <w:pPr>
      <w:tabs>
        <w:tab w:val="center" w:pos="4513"/>
        <w:tab w:val="right" w:pos="9026"/>
      </w:tabs>
    </w:pPr>
  </w:style>
  <w:style w:type="character" w:customStyle="1" w:styleId="FooterChar">
    <w:name w:val="Footer Char"/>
    <w:basedOn w:val="DefaultParagraphFont"/>
    <w:link w:val="Footer"/>
    <w:semiHidden/>
    <w:rsid w:val="001673FE"/>
    <w:rPr>
      <w:sz w:val="24"/>
    </w:rPr>
  </w:style>
  <w:style w:type="paragraph" w:styleId="BalloonText">
    <w:name w:val="Balloon Text"/>
    <w:basedOn w:val="Normal"/>
    <w:link w:val="BalloonTextChar"/>
    <w:rsid w:val="006F6B23"/>
    <w:rPr>
      <w:rFonts w:ascii="Segoe UI" w:hAnsi="Segoe UI" w:cs="Segoe UI"/>
      <w:sz w:val="18"/>
      <w:szCs w:val="18"/>
    </w:rPr>
  </w:style>
  <w:style w:type="character" w:customStyle="1" w:styleId="BalloonTextChar">
    <w:name w:val="Balloon Text Char"/>
    <w:basedOn w:val="DefaultParagraphFont"/>
    <w:link w:val="BalloonText"/>
    <w:rsid w:val="006F6B23"/>
    <w:rPr>
      <w:rFonts w:ascii="Segoe UI" w:hAnsi="Segoe UI" w:cs="Segoe UI"/>
      <w:sz w:val="18"/>
      <w:szCs w:val="18"/>
    </w:rPr>
  </w:style>
  <w:style w:type="paragraph" w:styleId="FootnoteText">
    <w:name w:val="footnote text"/>
    <w:basedOn w:val="Normal"/>
    <w:link w:val="FootnoteTextChar"/>
    <w:rsid w:val="00A44BD1"/>
    <w:rPr>
      <w:sz w:val="20"/>
    </w:rPr>
  </w:style>
  <w:style w:type="character" w:customStyle="1" w:styleId="FootnoteTextChar">
    <w:name w:val="Footnote Text Char"/>
    <w:basedOn w:val="DefaultParagraphFont"/>
    <w:link w:val="FootnoteText"/>
    <w:rsid w:val="00A44BD1"/>
  </w:style>
  <w:style w:type="character" w:styleId="FootnoteReference">
    <w:name w:val="footnote reference"/>
    <w:basedOn w:val="DefaultParagraphFont"/>
    <w:rsid w:val="00A44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36BC-48BF-497B-AF2C-E90AA94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5204</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DAHLI Silke</dc:creator>
  <cp:keywords/>
  <dc:description/>
  <cp:lastModifiedBy>SOLANAS Jose</cp:lastModifiedBy>
  <cp:revision>2</cp:revision>
  <cp:lastPrinted>2004-11-04T10:10:00Z</cp:lastPrinted>
  <dcterms:created xsi:type="dcterms:W3CDTF">2019-12-09T10:17:00Z</dcterms:created>
  <dcterms:modified xsi:type="dcterms:W3CDTF">2019-12-09T10:17:00Z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1193368</vt:lpwstr>
  </property>
  <property fmtid="{D5CDD505-2E9C-101B-9397-08002B2CF9AE}" pid="5" name="&lt;Type&gt;">
    <vt:lpwstr>PR</vt:lpwstr>
  </property>
  <property fmtid="{D5CDD505-2E9C-101B-9397-08002B2CF9AE}" pid="6" name="&lt;ModelCod&gt;">
    <vt:lpwstr>\\eiciBRUpr1\pdocep$\DocEP\DOCS\General\PR\PR_Leg\CNS\CNS_LegAct\PR_CNS_LegAct_app.dotx(15/10/2019 06:17:25)</vt:lpwstr>
  </property>
  <property fmtid="{D5CDD505-2E9C-101B-9397-08002B2CF9AE}" pid="7" name="&lt;ModelTra&gt;">
    <vt:lpwstr>\\eiciBRUpr1\pdocep$\DocEP\TRANSFIL\EN\PR_CNS_LegAct_app.EN(11/10/2019 09:29:16)</vt:lpwstr>
  </property>
  <property fmtid="{D5CDD505-2E9C-101B-9397-08002B2CF9AE}" pid="8" name="&lt;Model&gt;">
    <vt:lpwstr>PR_CNS_LegAct_app</vt:lpwstr>
  </property>
  <property fmtid="{D5CDD505-2E9C-101B-9397-08002B2CF9AE}" pid="9" name="FooterPath">
    <vt:lpwstr>PR\1193368ES.docx</vt:lpwstr>
  </property>
  <property fmtid="{D5CDD505-2E9C-101B-9397-08002B2CF9AE}" pid="10" name="PE number">
    <vt:lpwstr>644.767</vt:lpwstr>
  </property>
  <property fmtid="{D5CDD505-2E9C-101B-9397-08002B2CF9AE}" pid="11" name="SubscribeElise">
    <vt:lpwstr/>
  </property>
  <property fmtid="{D5CDD505-2E9C-101B-9397-08002B2CF9AE}" pid="12" name="SendToEpades">
    <vt:lpwstr>OK - 2019/11/26 15:59</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- 2019/12/09 11:17</vt:lpwstr>
  </property>
</Properties>
</file>