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DA072D" w:rsidTr="00904864">
        <w:trPr>
          <w:trHeight w:hRule="exact" w:val="1418"/>
        </w:trPr>
        <w:tc>
          <w:tcPr>
            <w:tcW w:w="6804" w:type="dxa"/>
            <w:shd w:val="clear" w:color="auto" w:fill="auto"/>
            <w:vAlign w:val="center"/>
          </w:tcPr>
          <w:p w:rsidR="00522B51" w:rsidRPr="00DA072D" w:rsidRDefault="00FF0706" w:rsidP="00904864">
            <w:pPr>
              <w:pStyle w:val="EPName"/>
            </w:pPr>
            <w:r>
              <w:t>Parlement européen</w:t>
            </w:r>
          </w:p>
          <w:p w:rsidR="00522B51" w:rsidRPr="00DA072D" w:rsidRDefault="003E0460" w:rsidP="003E0460">
            <w:pPr>
              <w:pStyle w:val="EPTerm"/>
              <w:rPr>
                <w:rStyle w:val="HideTWBExt"/>
                <w:noProof w:val="0"/>
                <w:vanish w:val="0"/>
                <w:color w:val="auto"/>
              </w:rPr>
            </w:pPr>
            <w:r>
              <w:t>2014-2019</w:t>
            </w:r>
          </w:p>
        </w:tc>
        <w:tc>
          <w:tcPr>
            <w:tcW w:w="2268" w:type="dxa"/>
            <w:shd w:val="clear" w:color="auto" w:fill="auto"/>
          </w:tcPr>
          <w:p w:rsidR="00522B51" w:rsidRPr="00DA072D" w:rsidRDefault="00951B3A" w:rsidP="00904864">
            <w:pPr>
              <w:pStyle w:val="EPLogo"/>
            </w:pPr>
            <w:r w:rsidRPr="00DA072D">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24D40" w:rsidRPr="00DA072D" w:rsidRDefault="00F24D40" w:rsidP="00F24D40">
      <w:pPr>
        <w:pStyle w:val="LineTop"/>
      </w:pPr>
    </w:p>
    <w:p w:rsidR="00F24D40" w:rsidRPr="00DA072D" w:rsidRDefault="00F24D40" w:rsidP="00F24D40">
      <w:pPr>
        <w:pStyle w:val="ZCommittee"/>
      </w:pPr>
      <w:r>
        <w:rPr>
          <w:rStyle w:val="HideTWBExt"/>
        </w:rPr>
        <w:t>&lt;</w:t>
      </w:r>
      <w:r>
        <w:rPr>
          <w:rStyle w:val="HideTWBExt"/>
          <w:i w:val="0"/>
        </w:rPr>
        <w:t>Commission</w:t>
      </w:r>
      <w:r>
        <w:rPr>
          <w:rStyle w:val="HideTWBExt"/>
        </w:rPr>
        <w:t>&gt;</w:t>
      </w:r>
      <w:r>
        <w:rPr>
          <w:rStyle w:val="HideTWBInt"/>
          <w:color w:val="auto"/>
        </w:rPr>
        <w:t>{EMPL}</w:t>
      </w:r>
      <w:r>
        <w:t>Commission de l’emploi et des affaires sociales</w:t>
      </w:r>
      <w:r>
        <w:rPr>
          <w:rStyle w:val="HideTWBExt"/>
        </w:rPr>
        <w:t>&lt;/</w:t>
      </w:r>
      <w:r>
        <w:rPr>
          <w:rStyle w:val="HideTWBExt"/>
          <w:i w:val="0"/>
        </w:rPr>
        <w:t>Commission</w:t>
      </w:r>
      <w:r>
        <w:rPr>
          <w:rStyle w:val="HideTWBExt"/>
        </w:rPr>
        <w:t>&gt;</w:t>
      </w:r>
    </w:p>
    <w:p w:rsidR="00F24D40" w:rsidRPr="00DA072D" w:rsidRDefault="00F24D40" w:rsidP="00F24D40">
      <w:pPr>
        <w:pStyle w:val="LineBottom"/>
      </w:pPr>
    </w:p>
    <w:p w:rsidR="00DB56E4" w:rsidRPr="00DA072D" w:rsidRDefault="00DB56E4" w:rsidP="00DB56E4">
      <w:pPr>
        <w:pStyle w:val="RefProc"/>
      </w:pPr>
      <w:r>
        <w:rPr>
          <w:rStyle w:val="HideTWBExt"/>
          <w:b w:val="0"/>
        </w:rPr>
        <w:t>&lt;</w:t>
      </w:r>
      <w:r>
        <w:rPr>
          <w:rStyle w:val="HideTWBExt"/>
          <w:b w:val="0"/>
          <w:caps w:val="0"/>
        </w:rPr>
        <w:t>RefProc</w:t>
      </w:r>
      <w:r>
        <w:rPr>
          <w:rStyle w:val="HideTWBExt"/>
          <w:b w:val="0"/>
        </w:rPr>
        <w:t>&gt;</w:t>
      </w:r>
      <w:r>
        <w:t>2018/0196</w:t>
      </w:r>
      <w:r>
        <w:rPr>
          <w:rStyle w:val="HideTWBExt"/>
          <w:b w:val="0"/>
        </w:rPr>
        <w:t>&lt;/</w:t>
      </w:r>
      <w:r>
        <w:rPr>
          <w:rStyle w:val="HideTWBExt"/>
          <w:b w:val="0"/>
          <w:caps w:val="0"/>
        </w:rPr>
        <w:t>RefProc</w:t>
      </w:r>
      <w:r>
        <w:rPr>
          <w:rStyle w:val="HideTWBExt"/>
          <w:b w:val="0"/>
        </w:rPr>
        <w:t>&gt;&lt;</w:t>
      </w:r>
      <w:r>
        <w:rPr>
          <w:rStyle w:val="HideTWBExt"/>
          <w:b w:val="0"/>
          <w:caps w:val="0"/>
        </w:rPr>
        <w:t>RefTypeProc</w:t>
      </w:r>
      <w:r>
        <w:rPr>
          <w:rStyle w:val="HideTWBExt"/>
          <w:b w:val="0"/>
        </w:rPr>
        <w:t>&gt;</w:t>
      </w:r>
      <w:r>
        <w:t>(COD)</w:t>
      </w:r>
      <w:r>
        <w:rPr>
          <w:rStyle w:val="HideTWBExt"/>
          <w:b w:val="0"/>
        </w:rPr>
        <w:t>&lt;/</w:t>
      </w:r>
      <w:r>
        <w:rPr>
          <w:rStyle w:val="HideTWBExt"/>
          <w:b w:val="0"/>
          <w:caps w:val="0"/>
        </w:rPr>
        <w:t>RefTypeProc</w:t>
      </w:r>
      <w:r>
        <w:rPr>
          <w:rStyle w:val="HideTWBExt"/>
          <w:b w:val="0"/>
        </w:rPr>
        <w:t>&gt;</w:t>
      </w:r>
    </w:p>
    <w:p w:rsidR="00DB56E4" w:rsidRPr="00DA072D" w:rsidRDefault="00DB56E4" w:rsidP="00DB56E4">
      <w:pPr>
        <w:pStyle w:val="ZDate"/>
      </w:pPr>
      <w:r>
        <w:rPr>
          <w:rStyle w:val="HideTWBExt"/>
        </w:rPr>
        <w:t>&lt;Date&gt;</w:t>
      </w:r>
      <w:r>
        <w:rPr>
          <w:rStyle w:val="HideTWBInt"/>
        </w:rPr>
        <w:t>{27/11/2018}</w:t>
      </w:r>
      <w:r>
        <w:t>27.11.2018</w:t>
      </w:r>
      <w:r>
        <w:rPr>
          <w:rStyle w:val="HideTWBExt"/>
        </w:rPr>
        <w:t>&lt;/Date&gt;</w:t>
      </w:r>
    </w:p>
    <w:p w:rsidR="00DB56E4" w:rsidRPr="00DA072D" w:rsidRDefault="00DB56E4" w:rsidP="00DB56E4">
      <w:pPr>
        <w:pStyle w:val="TypeDoc"/>
      </w:pPr>
      <w:r>
        <w:rPr>
          <w:rStyle w:val="HideTWBExt"/>
          <w:b w:val="0"/>
        </w:rPr>
        <w:t>&lt;TitreType&gt;</w:t>
      </w:r>
      <w:r>
        <w:t>AVIS</w:t>
      </w:r>
      <w:r>
        <w:rPr>
          <w:rStyle w:val="HideTWBExt"/>
          <w:b w:val="0"/>
        </w:rPr>
        <w:t>&lt;/TitreType&gt;</w:t>
      </w:r>
    </w:p>
    <w:p w:rsidR="00DB56E4" w:rsidRPr="00DA072D" w:rsidRDefault="00DB56E4" w:rsidP="00DB56E4">
      <w:pPr>
        <w:pStyle w:val="Cover24"/>
      </w:pPr>
      <w:r>
        <w:rPr>
          <w:rStyle w:val="HideTWBExt"/>
        </w:rPr>
        <w:t>&lt;CommissionResp&gt;</w:t>
      </w:r>
      <w:r>
        <w:t>de la commission de l’emploi et des affaires sociales</w:t>
      </w:r>
      <w:r>
        <w:rPr>
          <w:rStyle w:val="HideTWBExt"/>
        </w:rPr>
        <w:t>&lt;/CommissionResp&gt;</w:t>
      </w:r>
    </w:p>
    <w:p w:rsidR="00DB56E4" w:rsidRPr="00DA072D" w:rsidRDefault="00DB56E4" w:rsidP="00DB56E4">
      <w:pPr>
        <w:pStyle w:val="Cover24"/>
      </w:pPr>
      <w:r>
        <w:rPr>
          <w:rStyle w:val="HideTWBExt"/>
        </w:rPr>
        <w:t>&lt;CommissionInt&gt;</w:t>
      </w:r>
      <w:r>
        <w:t>à l’intention de la commission du développement régional</w:t>
      </w:r>
      <w:r>
        <w:rPr>
          <w:rStyle w:val="HideTWBExt"/>
        </w:rPr>
        <w:t>&lt;/CommissionInt&gt;</w:t>
      </w:r>
    </w:p>
    <w:p w:rsidR="00DB56E4" w:rsidRPr="007D3698" w:rsidRDefault="00DB56E4" w:rsidP="00DB56E4">
      <w:pPr>
        <w:pStyle w:val="CoverNormal"/>
      </w:pPr>
      <w:r w:rsidRPr="00930809">
        <w:rPr>
          <w:rStyle w:val="HideTWBExt"/>
          <w:lang w:val="fr-BE"/>
        </w:rPr>
        <w:t>&lt;Titre&gt;</w:t>
      </w:r>
      <w:r>
        <w:t>sur la proposition de règlement du Parlement européen et du Conseil portant dispositions communes relatives au Fonds européen de développement régional, au Fonds social européen plus, au Fonds de cohésion et au Fonds européen pour les affaires maritimes et la pêche, et établissant les règles financières applicables à ces Fonds et au Fonds «Asile et migration», au Fonds pour la sécurité intérieure et à l’instrument relatif à la gestion des frontières et aux visas</w:t>
      </w:r>
      <w:r w:rsidRPr="00930809">
        <w:rPr>
          <w:rStyle w:val="HideTWBExt"/>
          <w:lang w:val="fr-BE"/>
        </w:rPr>
        <w:t>&lt;/Titre&gt;</w:t>
      </w:r>
    </w:p>
    <w:p w:rsidR="00DB56E4" w:rsidRPr="00DA072D" w:rsidRDefault="00DB56E4" w:rsidP="00DB56E4">
      <w:pPr>
        <w:pStyle w:val="Cover24"/>
      </w:pPr>
      <w:r>
        <w:rPr>
          <w:rStyle w:val="HideTWBExt"/>
        </w:rPr>
        <w:t>&lt;DocRef&gt;</w:t>
      </w:r>
      <w:r>
        <w:t>(COM(2018)0375 – C8-0230/2018 – 2018/0196(COD))</w:t>
      </w:r>
      <w:r>
        <w:rPr>
          <w:rStyle w:val="HideTWBExt"/>
        </w:rPr>
        <w:t>&lt;/DocRef&gt;</w:t>
      </w:r>
    </w:p>
    <w:p w:rsidR="00DB56E4" w:rsidRPr="007D3698" w:rsidRDefault="00FF0706" w:rsidP="00DB56E4">
      <w:pPr>
        <w:pStyle w:val="Cover24"/>
      </w:pPr>
      <w:r>
        <w:t xml:space="preserve">Rapporteure pour avis: </w:t>
      </w:r>
      <w:r>
        <w:rPr>
          <w:rStyle w:val="HideTWBExt"/>
        </w:rPr>
        <w:t>&lt;Depute&gt;</w:t>
      </w:r>
      <w:r>
        <w:t>Agnes Jongerius</w:t>
      </w:r>
      <w:r>
        <w:rPr>
          <w:rStyle w:val="HideTWBExt"/>
        </w:rPr>
        <w:t>&lt;/Depute&gt;</w:t>
      </w:r>
    </w:p>
    <w:p w:rsidR="00C22327" w:rsidRPr="00DA072D" w:rsidRDefault="00DB56E4" w:rsidP="0004474F">
      <w:pPr>
        <w:tabs>
          <w:tab w:val="center" w:pos="4677"/>
        </w:tabs>
      </w:pPr>
      <w:r>
        <w:br w:type="page"/>
      </w:r>
    </w:p>
    <w:p w:rsidR="00DB56E4" w:rsidRPr="00DA072D" w:rsidRDefault="00FF0706" w:rsidP="0004474F">
      <w:pPr>
        <w:tabs>
          <w:tab w:val="center" w:pos="4677"/>
        </w:tabs>
      </w:pPr>
      <w:r>
        <w:lastRenderedPageBreak/>
        <w:t>PA_Legam</w:t>
      </w:r>
    </w:p>
    <w:p w:rsidR="00DB56E4" w:rsidRPr="00DA072D" w:rsidRDefault="00DB56E4" w:rsidP="00DB56E4">
      <w:pPr>
        <w:pStyle w:val="PageHeadingNotTOC"/>
      </w:pPr>
      <w:r>
        <w:br w:type="page"/>
      </w:r>
    </w:p>
    <w:p w:rsidR="00957C1D" w:rsidRPr="00DA072D" w:rsidRDefault="0010695B" w:rsidP="00957C1D">
      <w:pPr>
        <w:jc w:val="center"/>
        <w:rPr>
          <w:b/>
          <w:bCs/>
          <w:i/>
          <w:iCs/>
          <w:sz w:val="22"/>
          <w:szCs w:val="22"/>
        </w:rPr>
      </w:pPr>
      <w:r>
        <w:rPr>
          <w:rFonts w:ascii="Arial" w:hAnsi="Arial"/>
          <w:b/>
          <w:bCs/>
          <w:iCs/>
        </w:rPr>
        <w:lastRenderedPageBreak/>
        <w:t>JUSTIFICATION SUCCINCTE</w:t>
      </w:r>
    </w:p>
    <w:p w:rsidR="00957C1D" w:rsidRPr="00DA072D" w:rsidRDefault="00957C1D" w:rsidP="00957C1D">
      <w:pPr>
        <w:rPr>
          <w:b/>
          <w:bCs/>
          <w:iCs/>
        </w:rPr>
      </w:pPr>
    </w:p>
    <w:p w:rsidR="007D3698" w:rsidRPr="007D3698" w:rsidRDefault="007D3698" w:rsidP="007D3698">
      <w:pPr>
        <w:jc w:val="both"/>
        <w:rPr>
          <w:szCs w:val="20"/>
        </w:rPr>
      </w:pPr>
      <w:r>
        <w:t>La proposition de règlement de la Commission établit des dispositions communes pour sept Fonds en gestion partagée.</w:t>
      </w:r>
      <w:r w:rsidRPr="00930809">
        <w:rPr>
          <w:szCs w:val="20"/>
          <w:lang w:val="fr-BE"/>
        </w:rPr>
        <w:footnoteReference w:customMarkFollows="1" w:id="1"/>
        <w:t>[1]</w:t>
      </w:r>
    </w:p>
    <w:p w:rsidR="007D3698" w:rsidRPr="00930809" w:rsidRDefault="007D3698" w:rsidP="007D3698">
      <w:pPr>
        <w:jc w:val="both"/>
        <w:rPr>
          <w:szCs w:val="20"/>
          <w:lang w:val="fr-BE"/>
        </w:rPr>
      </w:pPr>
    </w:p>
    <w:p w:rsidR="007D3698" w:rsidRPr="007D3698" w:rsidRDefault="007D3698" w:rsidP="007D3698">
      <w:pPr>
        <w:jc w:val="both"/>
        <w:rPr>
          <w:szCs w:val="20"/>
        </w:rPr>
      </w:pPr>
      <w:r>
        <w:t xml:space="preserve">Si la rapporteure souscrit à l’objectif stratégique d’«une Europe plus sociale – mise en œuvre du socle européen des droits sociaux», elle estime que l’objectif de l’emploi et de la croissance est trop restrictif et n’est pas convaincue qu’il contribuera suffisamment à l’obtention du «triple A» dans le domaine social que le président de la Commission Jean-Claude Juncker a promis aux citoyens européens. Il est clair que les Fonds visent plus que l’emploi et la croissance, c’est pourquoi un objectif d’«inclusion sociale» a été ajouté. </w:t>
      </w:r>
    </w:p>
    <w:p w:rsidR="007D3698" w:rsidRPr="00930809" w:rsidRDefault="007D3698" w:rsidP="007D3698">
      <w:pPr>
        <w:jc w:val="both"/>
        <w:rPr>
          <w:szCs w:val="20"/>
          <w:lang w:val="fr-BE"/>
        </w:rPr>
      </w:pPr>
    </w:p>
    <w:p w:rsidR="007D3698" w:rsidRPr="007D3698" w:rsidRDefault="007D3698" w:rsidP="007D3698">
      <w:pPr>
        <w:jc w:val="both"/>
        <w:rPr>
          <w:szCs w:val="20"/>
        </w:rPr>
      </w:pPr>
      <w:r>
        <w:t xml:space="preserve">Les programmes soutenus par les Fonds devraient par conséquent tenir compte des problèmes mis en évidence par le tableau de bord social étayant le socle européen des droits sociaux et par le rapport conjoint sur l’emploi et, le cas échéant, être modifiés en conséquence. Dans les cas où des mesures «correctives» sont envisagées, il convient également de prendre ces deux rapports en considération. </w:t>
      </w:r>
    </w:p>
    <w:p w:rsidR="007D3698" w:rsidRPr="00930809" w:rsidRDefault="007D3698" w:rsidP="007D3698">
      <w:pPr>
        <w:jc w:val="both"/>
        <w:rPr>
          <w:szCs w:val="20"/>
          <w:lang w:val="fr-BE"/>
        </w:rPr>
      </w:pPr>
    </w:p>
    <w:p w:rsidR="007D3698" w:rsidRPr="007D3698" w:rsidRDefault="007D3698" w:rsidP="007D3698">
      <w:pPr>
        <w:jc w:val="both"/>
        <w:rPr>
          <w:szCs w:val="20"/>
        </w:rPr>
      </w:pPr>
      <w:r>
        <w:t xml:space="preserve">La rapporteure estime qu’afin de stimuler véritablement une plus grande convergence entre l’Est et l’Ouest, le Nord et le Sud, et de mieux anticiper les changements technologiques, entre autres, il est capital d’augmenter le budget global alloué à la politique de cohésion. Elle a modifié le règlement en conséquence. En outre, elle est d’avis qu’une plus grande part de ce budget devrait être réservée au FSE+ et que cette affectation sociale devrait être également garantie au niveau des États membres. </w:t>
      </w:r>
    </w:p>
    <w:p w:rsidR="007D3698" w:rsidRPr="00930809" w:rsidRDefault="007D3698" w:rsidP="007D3698">
      <w:pPr>
        <w:jc w:val="both"/>
        <w:rPr>
          <w:szCs w:val="20"/>
          <w:lang w:val="fr-BE"/>
        </w:rPr>
      </w:pPr>
    </w:p>
    <w:p w:rsidR="007D3698" w:rsidRPr="007D3698" w:rsidRDefault="007D3698" w:rsidP="007D3698">
      <w:pPr>
        <w:jc w:val="both"/>
        <w:rPr>
          <w:szCs w:val="20"/>
        </w:rPr>
      </w:pPr>
      <w:r>
        <w:t xml:space="preserve">Afin de mieux soutenir les régions les moins développées et les régions en transition et de ne pas entraver la conception ou l’exécution des programmes au niveau des États membres, la rapporteure a augmenté les taux de préfinancement ainsi que les taux de cofinancement. </w:t>
      </w:r>
    </w:p>
    <w:p w:rsidR="007D3698" w:rsidRPr="00930809" w:rsidRDefault="007D3698" w:rsidP="007D3698">
      <w:pPr>
        <w:jc w:val="both"/>
        <w:rPr>
          <w:szCs w:val="20"/>
          <w:lang w:val="fr-BE"/>
        </w:rPr>
      </w:pPr>
    </w:p>
    <w:p w:rsidR="007D3698" w:rsidRPr="007D3698" w:rsidRDefault="007D3698" w:rsidP="007D3698">
      <w:pPr>
        <w:jc w:val="both"/>
        <w:rPr>
          <w:szCs w:val="20"/>
        </w:rPr>
      </w:pPr>
      <w:r>
        <w:t>La rapporteure considère qu’une meilleure accessibilité des Fonds est importante en vue d’une meilleure absorption et, à cet égard, elle se félicite que la Commission ait proposé d’alléger la charge administrative et d’accroître la flexibilité. Une réduction de la charge administrative ne devrait cependant pas entraver l’inclusion des partenaires sociaux et de la société civile dans la conception et l’exécution des programmes.</w:t>
      </w:r>
    </w:p>
    <w:p w:rsidR="00DB56E4" w:rsidRPr="00DA072D" w:rsidRDefault="00FF0706" w:rsidP="00DB56E4">
      <w:pPr>
        <w:pStyle w:val="ConclusionsPA"/>
      </w:pPr>
      <w:r>
        <w:t>AMENDEMENTS</w:t>
      </w:r>
    </w:p>
    <w:p w:rsidR="00DB56E4" w:rsidRPr="00DA072D" w:rsidRDefault="00FF0706" w:rsidP="001E3AC4">
      <w:pPr>
        <w:pStyle w:val="Normal12"/>
      </w:pPr>
      <w:bookmarkStart w:id="0" w:name="IntroA"/>
      <w:r>
        <w:t>La commission de l’emploi et des affaires sociales invite la commission du développement régional, compétente au fond, à prendre en considération les amendements suivants:</w:t>
      </w:r>
    </w:p>
    <w:bookmarkEnd w:id="0"/>
    <w:p w:rsidR="007D3698" w:rsidRPr="00AA1077" w:rsidRDefault="007D3698" w:rsidP="007D3698">
      <w:pPr>
        <w:rPr>
          <w:noProof/>
        </w:rPr>
      </w:pPr>
      <w:r>
        <w:rPr>
          <w:rStyle w:val="HideTWBExt"/>
        </w:rPr>
        <w:t>&lt;RepeatBlock-Amend&gt;</w:t>
      </w:r>
    </w:p>
    <w:p w:rsidR="007D3698" w:rsidRPr="00AA1077" w:rsidRDefault="007D3698" w:rsidP="007D3698">
      <w:pPr>
        <w:pStyle w:val="AMNumberTabs"/>
        <w:rPr>
          <w:noProof/>
        </w:rPr>
      </w:pPr>
      <w:r>
        <w:rPr>
          <w:rStyle w:val="HideTWBExt"/>
          <w:b w:val="0"/>
          <w:szCs w:val="24"/>
        </w:rPr>
        <w:t>&lt;Amend&gt;</w:t>
      </w:r>
      <w:r w:rsidRPr="00810763">
        <w:t>Amendement</w:t>
      </w:r>
      <w:r w:rsidRPr="00810763">
        <w:tab/>
      </w:r>
      <w:r w:rsidRPr="00810763">
        <w:tab/>
      </w:r>
      <w:r>
        <w:rPr>
          <w:rStyle w:val="HideTWBExt"/>
          <w:b w:val="0"/>
          <w:szCs w:val="24"/>
        </w:rPr>
        <w:t>&lt;NumAm&gt;</w:t>
      </w:r>
      <w:r w:rsidRPr="00810763">
        <w:t>1</w:t>
      </w:r>
      <w:r>
        <w:rPr>
          <w:rStyle w:val="HideTWBExt"/>
          <w:b w:val="0"/>
          <w:szCs w:val="24"/>
        </w:rPr>
        <w:t>&lt;/NumAm&gt;</w:t>
      </w:r>
    </w:p>
    <w:p w:rsidR="007D3698" w:rsidRPr="00AA1077" w:rsidRDefault="007D3698" w:rsidP="007D3698">
      <w:pPr>
        <w:pStyle w:val="NormalBold12b"/>
        <w:rPr>
          <w:noProof/>
        </w:rPr>
      </w:pPr>
      <w:r>
        <w:rPr>
          <w:rStyle w:val="HideTWBExt"/>
          <w:b w:val="0"/>
          <w:szCs w:val="24"/>
        </w:rPr>
        <w:t>&lt;DocAmend&gt;</w:t>
      </w:r>
      <w:r w:rsidRPr="00810763">
        <w:t>Proposition de règlement</w:t>
      </w:r>
      <w:r>
        <w:rPr>
          <w:rStyle w:val="HideTWBExt"/>
          <w:b w:val="0"/>
          <w:szCs w:val="24"/>
        </w:rPr>
        <w:t>&lt;/DocAmend&gt;</w:t>
      </w:r>
    </w:p>
    <w:p w:rsidR="007D3698" w:rsidRPr="00AA1077" w:rsidRDefault="007D3698" w:rsidP="007D3698">
      <w:pPr>
        <w:pStyle w:val="NormalBold"/>
        <w:rPr>
          <w:noProof/>
        </w:rPr>
      </w:pPr>
      <w:r>
        <w:rPr>
          <w:rStyle w:val="HideTWBExt"/>
          <w:b w:val="0"/>
          <w:szCs w:val="24"/>
        </w:rPr>
        <w:t>&lt;Article&gt;</w:t>
      </w:r>
      <w:r w:rsidRPr="00810763">
        <w:t>Considérant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(1)</w:t>
            </w:r>
            <w:r w:rsidRPr="00810763">
              <w:tab/>
              <w:t>L’article 174 du traité sur le fonctionnement de l’Union européenne prévoit que, pour renforcer sa cohésion économique, sociale et territoriale, l’Union vise à réduire l’écart entre les niveaux de développement des diverses régions et le retard des régions ou îles les moins favorisées, et qu’une attention particulière soit accordée aux zones rurales, aux zones où s’opère une transition industrielle et aux régions qui souffrent de handicaps naturels ou démographiques graves et permanents. L’article 175 du TFUE dispose que l’Union soutient la réalisation de ces objectifs par l’action qu’elle mène au travers du Fonds européen d’orientation et de garantie agricole, section «Orientation», du Fonds social européen, du Fonds européen de développement régional, de la Banque européenne d’investissement et des autres instruments financiers existants. L’article 322, paragraphe 1, point a), du TFUE constitue la base juridique pour l’adoption des règles financières qui fixent les modalités relatives à l’établissement et à l’exécution du budget et à la reddition et à la vérification des comptes annuels, ainsi qu’au contrôle de la responsabilité des acteurs financiers.</w:t>
            </w:r>
          </w:p>
        </w:tc>
        <w:tc>
          <w:tcPr>
            <w:tcW w:w="4876" w:type="dxa"/>
            <w:hideMark/>
          </w:tcPr>
          <w:p w:rsidR="007D3698" w:rsidRPr="00810763" w:rsidRDefault="007D3698" w:rsidP="0097579A">
            <w:pPr>
              <w:pStyle w:val="Normal6"/>
              <w:rPr>
                <w:noProof/>
                <w:szCs w:val="24"/>
              </w:rPr>
            </w:pPr>
            <w:r w:rsidRPr="00810763">
              <w:t>(1)</w:t>
            </w:r>
            <w:r w:rsidRPr="00810763">
              <w:tab/>
              <w:t>L’article 174 du traité sur le fonctionnement de l’Union européenne prévoit que, pour renforcer sa cohésion économique, sociale et territoriale, l’Union vise à réduire l’écart entre les niveaux de développement des diverses régions et le retard des régions ou îles les moins favorisées, et qu’une attention particulière soit accordée aux zones rurales, aux zones où s’opère une transition industrielle et aux régions qui souffrent de handicaps naturels ou démographiques graves et permanents</w:t>
            </w:r>
            <w:r w:rsidRPr="00810763">
              <w:rPr>
                <w:b/>
                <w:i/>
              </w:rPr>
              <w:t>, telles que les régions qui souffrent de dépeuplement ou d’une dispersion de la population</w:t>
            </w:r>
            <w:r w:rsidRPr="00810763">
              <w:t>. L’article 175 du TFUE dispose que l’Union soutient la réalisation de ces objectifs par l’action qu’elle mène au travers du Fonds européen d’orientation et de garantie agricole, section «Orientation», du Fonds social européen, du Fonds européen de développement régional, de la Banque européenne d’investissement et des autres instruments financiers existants. L’article 322, paragraphe 1, point a), du TFUE constitue la base juridique pour l’adoption des règles financières qui fixent les modalités relatives à l’établissement et à l’exécution du budget et à la reddition et à la vérification des comptes annuels, ainsi qu’au contrôle de la responsabilité des acteurs financiers.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2</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2</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(2)</w:t>
            </w:r>
            <w:r w:rsidRPr="00810763">
              <w:tab/>
              <w:t xml:space="preserve">Afin de renforcer encore davantage la mise en œuvre coordonnée et harmonisée des Fonds de l’Union mis en œuvre dans le cadre de la gestion partagée, à savoir le Fonds européen de développement régional (ci-après le </w:t>
            </w:r>
            <w:r w:rsidRPr="00810763">
              <w:lastRenderedPageBreak/>
              <w:t xml:space="preserve">«FEDER»), le Fonds </w:t>
            </w:r>
            <w:r w:rsidRPr="00810763">
              <w:rPr>
                <w:b/>
                <w:i/>
              </w:rPr>
              <w:t xml:space="preserve">social européen plus (ci-après le «FSE+»), le Fonds </w:t>
            </w:r>
            <w:r w:rsidRPr="00810763">
              <w:t xml:space="preserve">de cohésion, les mesures financées au titre de la gestion partagée du Fonds européen pour les affaires maritimes et la pêche (ci-après le «FEAMP»), du Fonds «Asile et migration» (ci-après le «FAMI»), du Fonds pour la sécurité intérieure (ci-après le «FSI») et du Fonds pour la gestion intégrée des frontières (ci-après l’«IGFV»), il convient d’établir pour tous ces Fonds (ci-après les «Fonds») des règles financières fondées sur l’article 322 du TFUE, en précisant clairement le champ d’application des dispositions pertinentes. En outre, il y a lieu de mettre en place des dispositions communes sur la base de l’article 177 du TFUE, pour couvrir les règles stratégiques spécifiques au FEDER, au </w:t>
            </w:r>
            <w:r w:rsidRPr="00810763">
              <w:rPr>
                <w:b/>
                <w:i/>
              </w:rPr>
              <w:t>FSE+, au Fonds</w:t>
            </w:r>
            <w:r w:rsidRPr="00810763">
              <w:t xml:space="preserve"> de </w:t>
            </w:r>
            <w:r w:rsidRPr="00810763">
              <w:rPr>
                <w:b/>
                <w:i/>
              </w:rPr>
              <w:t>cohésion</w:t>
            </w:r>
            <w:r w:rsidRPr="00810763">
              <w:t xml:space="preserve"> et </w:t>
            </w:r>
            <w:r w:rsidRPr="00810763">
              <w:rPr>
                <w:b/>
                <w:i/>
              </w:rPr>
              <w:t>au</w:t>
            </w:r>
            <w:r w:rsidRPr="00810763">
              <w:t xml:space="preserve"> FEAMP.</w:t>
            </w:r>
          </w:p>
        </w:tc>
        <w:tc>
          <w:tcPr>
            <w:tcW w:w="4876" w:type="dxa"/>
            <w:hideMark/>
          </w:tcPr>
          <w:p w:rsidR="007D3698" w:rsidRPr="00810763" w:rsidRDefault="007D3698" w:rsidP="0097579A">
            <w:pPr>
              <w:pStyle w:val="Normal6"/>
              <w:rPr>
                <w:noProof/>
                <w:szCs w:val="24"/>
              </w:rPr>
            </w:pPr>
            <w:r w:rsidRPr="00810763">
              <w:lastRenderedPageBreak/>
              <w:t>(2)</w:t>
            </w:r>
            <w:r w:rsidRPr="00810763">
              <w:tab/>
              <w:t xml:space="preserve">Afin de renforcer encore davantage la mise en œuvre coordonnée et harmonisée des Fonds de l’Union mis en œuvre dans le cadre de la gestion partagée, à savoir le Fonds européen de développement régional (ci-après le </w:t>
            </w:r>
            <w:r w:rsidRPr="00810763">
              <w:lastRenderedPageBreak/>
              <w:t>«FEDER»), le Fonds de cohésion, les mesures financées au titre de la gestion partagée</w:t>
            </w:r>
            <w:r w:rsidRPr="00810763">
              <w:rPr>
                <w:b/>
                <w:i/>
              </w:rPr>
              <w:t xml:space="preserve"> du Fonds social européen plus (ci-après le «FSE+»),</w:t>
            </w:r>
            <w:r w:rsidRPr="00810763">
              <w:t xml:space="preserve"> du Fonds européen pour les affaires maritimes et la pêche (ci-après le «FEAMP»), du Fonds «Asile et migration» (ci-après le «FAMI»), du Fonds pour la sécurité intérieure (ci-après le «FSI») et du Fonds pour la gestion intégrée des frontières (ci-après l’«IGFV»), il convient d’établir pour tous ces Fonds (ci-après les «Fonds») des règles financières fondées sur l’article 322 du TFUE, en précisant clairement le champ d’application des dispositions pertinentes. En outre, il y a lieu de mettre en place des dispositions communes sur la base de l’article 177 du TFUE, pour couvrir les règles stratégiques spécifiques au FEDER, au </w:t>
            </w:r>
            <w:r w:rsidRPr="00810763">
              <w:rPr>
                <w:b/>
                <w:i/>
              </w:rPr>
              <w:t>Fonds de cohésion et aux éléments</w:t>
            </w:r>
            <w:r w:rsidRPr="00810763">
              <w:t xml:space="preserve"> de </w:t>
            </w:r>
            <w:r w:rsidRPr="00810763">
              <w:rPr>
                <w:b/>
                <w:i/>
              </w:rPr>
              <w:t>gestion partagée du FSE+</w:t>
            </w:r>
            <w:r w:rsidRPr="00810763">
              <w:t xml:space="preserve"> et </w:t>
            </w:r>
            <w:r w:rsidRPr="00810763">
              <w:rPr>
                <w:b/>
                <w:i/>
              </w:rPr>
              <w:t>du</w:t>
            </w:r>
            <w:r w:rsidRPr="00810763">
              <w:t xml:space="preserve"> FEAMP.</w:t>
            </w:r>
          </w:p>
        </w:tc>
      </w:tr>
    </w:tbl>
    <w:p w:rsidR="007D3698" w:rsidRPr="007D3698" w:rsidRDefault="007D3698" w:rsidP="007D3698">
      <w:pPr>
        <w:rPr>
          <w:noProof/>
        </w:rPr>
      </w:pPr>
      <w:r w:rsidRPr="00930809">
        <w:rPr>
          <w:rStyle w:val="HideTWBExt"/>
          <w:lang w:val="fr-BE"/>
        </w:rPr>
        <w:lastRenderedPageBreak/>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3</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4 bis (nouveau)</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p>
        </w:tc>
        <w:tc>
          <w:tcPr>
            <w:tcW w:w="4876" w:type="dxa"/>
            <w:hideMark/>
          </w:tcPr>
          <w:p w:rsidR="007D3698" w:rsidRPr="00810763" w:rsidRDefault="007D3698" w:rsidP="0097579A">
            <w:pPr>
              <w:pStyle w:val="Normal6"/>
              <w:rPr>
                <w:noProof/>
                <w:szCs w:val="24"/>
              </w:rPr>
            </w:pPr>
            <w:r w:rsidRPr="00810763">
              <w:rPr>
                <w:b/>
                <w:i/>
              </w:rPr>
              <w:t>(4 bis)</w:t>
            </w:r>
            <w:r w:rsidRPr="00810763">
              <w:rPr>
                <w:b/>
                <w:i/>
              </w:rPr>
              <w:tab/>
              <w:t>Conformément à l’article 174 du TFUE, les États membres et la Commission devraient veiller à ce que le FEDER, le FSE et le Fonds de cohésion accordent une attention particulière à ces régions par des investissements stratégiques visant à améliorer leur structure territoriale, leur tissu industriel, la fourniture de services publics ou la compétitivité, contribuant en fin de compte à l’établissement durable de la population.</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4</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5</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(5)</w:t>
            </w:r>
            <w:r w:rsidRPr="00810763">
              <w:tab/>
              <w:t xml:space="preserve">Il convient que les principes horizontaux tels qu’énoncés à l’article 3 du traité sur l’Union européenne (ci-après le «traité UE») et à l’article 10 du TFUE, notamment les principes de subsidiarité et de proportionnalité tels qu’énoncés à l’article 5 du traité UE soient respectés dans le cadre de la mise en œuvre des Fonds, en tenant compte de la Charte des droits fondamentaux de l’Union européenne. Les États membres </w:t>
            </w:r>
            <w:r w:rsidRPr="00810763">
              <w:rPr>
                <w:b/>
                <w:i/>
              </w:rPr>
              <w:t xml:space="preserve">devraient également respecter les obligations de la Convention des Nations unies relative aux droits des personnes handicapées et garantir l’accessibilité conformément à son article 9 et en conformité avec le droit de l’Union harmonisant les exigences en matière d’accessibilité applicables aux produits et services. Les États membres </w:t>
            </w:r>
            <w:r w:rsidRPr="00810763">
              <w:t>et la Commission devraient chercher à éliminer les inégalités et à promouvoir l’égalité entre les femmes et les hommes, ainsi qu’à intégrer la perspective de genre et à lutter contre la discrimination fondée sur le sexe, la race ou l’origine ethnique, la religion ou les convictions, le handicap, l’âge ou l’orientation sexuelle. Les Fonds ne devraient pas soutenir des actions qui contribuent à quelque forme de ségrégation que ce soit. Il convient que les objectifs des Fonds soient poursuivis dans le cadre du développement durable et de l’encouragement par l’Union des objectifs de préservation, de protection et d’amélioration de la qualité de l’environnement inscrits à l’article 11 et à l’article 191, paragraphe 1, du TFUE, compte tenu du principe du «pollueur-payeur». Afin de protéger l’intégrité du marché intérieur, les opérations au bénéfice d’entreprises doivent être conformes aux règles en matière d’aides d’État de l’Union, telles que définies aux articles 107 et 108 du TFUE.</w:t>
            </w:r>
          </w:p>
        </w:tc>
        <w:tc>
          <w:tcPr>
            <w:tcW w:w="4876" w:type="dxa"/>
            <w:hideMark/>
          </w:tcPr>
          <w:p w:rsidR="007D3698" w:rsidRPr="00810763" w:rsidRDefault="007D3698" w:rsidP="0097579A">
            <w:pPr>
              <w:pStyle w:val="Normal6"/>
              <w:rPr>
                <w:noProof/>
                <w:szCs w:val="24"/>
              </w:rPr>
            </w:pPr>
            <w:r w:rsidRPr="00810763">
              <w:t>(5)</w:t>
            </w:r>
            <w:r w:rsidRPr="00810763">
              <w:tab/>
              <w:t>Il convient que les principes horizontaux tels qu’énoncés à l’article 3 du traité sur l’Union européenne (ci-après le «traité UE») et à l’article 10 du TFUE, notamment les principes de subsidiarité et de proportionnalité tels qu’énoncés à l’article 5 du traité UE soient respectés dans le cadre de la mise en œuvre des Fonds, en tenant compte de la Charte des droits fondamentaux de l’Union européenne. Les États membres et la Commission devraient chercher à éliminer les inégalités</w:t>
            </w:r>
            <w:r w:rsidRPr="00810763">
              <w:rPr>
                <w:b/>
                <w:i/>
              </w:rPr>
              <w:t>, à lutter contre la pauvreté</w:t>
            </w:r>
            <w:r w:rsidRPr="00810763">
              <w:t xml:space="preserve"> et à promouvoir l’égalité entre les femmes et les hommes, ainsi qu’à intégrer la perspective de genre et à lutter contre la discrimination fondée sur le sexe, la race ou l’origine ethnique, la religion ou les convictions, le handicap, l’âge ou l’orientation sexuelle. Les Fonds ne devraient pas soutenir des actions qui contribuent à quelque forme de ségrégation</w:t>
            </w:r>
            <w:r w:rsidRPr="00810763">
              <w:rPr>
                <w:b/>
                <w:i/>
              </w:rPr>
              <w:t>, d’exclusion sociale ou d’isolement territorial</w:t>
            </w:r>
            <w:r w:rsidRPr="00810763">
              <w:t xml:space="preserve"> que ce soit. Il convient que les objectifs des Fonds soient poursuivis dans le cadre du développement durable et de l’encouragement par l’Union des objectifs de préservation, de protection et d’amélioration de la qualité de l’environnement</w:t>
            </w:r>
            <w:r w:rsidRPr="00810763">
              <w:rPr>
                <w:b/>
                <w:i/>
              </w:rPr>
              <w:t xml:space="preserve"> et de lutte contre le changement climatique,</w:t>
            </w:r>
            <w:r w:rsidRPr="00810763">
              <w:t xml:space="preserve"> inscrits à l’article 11 et à l’article 191, paragraphe 1, du TFUE, compte tenu du principe du «pollueur-payeur». Afin de protéger l’intégrité du marché intérieur, les opérations au bénéfice d’entreprises doivent être conformes aux règles en matière d’aides d’État de l’Union, telles que définies aux articles 107 et 108 du TFUE.</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lastRenderedPageBreak/>
        <w:t>&lt;Amend&gt;</w:t>
      </w:r>
      <w:r w:rsidRPr="00810763">
        <w:t>Amendement</w:t>
      </w:r>
      <w:r w:rsidRPr="00810763">
        <w:tab/>
      </w:r>
      <w:r w:rsidRPr="00810763">
        <w:tab/>
      </w:r>
      <w:r w:rsidRPr="00930809">
        <w:rPr>
          <w:rStyle w:val="HideTWBExt"/>
          <w:b w:val="0"/>
          <w:szCs w:val="24"/>
          <w:lang w:val="fr-BE"/>
        </w:rPr>
        <w:t>&lt;NumAm&gt;</w:t>
      </w:r>
      <w:r w:rsidRPr="00810763">
        <w:t>5</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5 bis (nouveau)</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p>
        </w:tc>
        <w:tc>
          <w:tcPr>
            <w:tcW w:w="4876" w:type="dxa"/>
            <w:hideMark/>
          </w:tcPr>
          <w:p w:rsidR="007D3698" w:rsidRPr="00810763" w:rsidRDefault="007D3698" w:rsidP="0097579A">
            <w:pPr>
              <w:pStyle w:val="Normal6"/>
              <w:rPr>
                <w:noProof/>
                <w:szCs w:val="24"/>
              </w:rPr>
            </w:pPr>
            <w:r w:rsidRPr="00810763">
              <w:rPr>
                <w:b/>
                <w:i/>
              </w:rPr>
              <w:t>(5 bis)</w:t>
            </w:r>
            <w:r w:rsidRPr="00810763">
              <w:rPr>
                <w:b/>
                <w:i/>
              </w:rPr>
              <w:tab/>
              <w:t>Les États membres et la Commission devraient respecter les obligations de la Convention des Nations unies relative aux droits des personnes handicapées et garantir l’accessibilité conformément à son article 9 et en conformité avec le droit de l’Union harmonisant les exigences en matière d’accessibilité applicables aux produits et services. L’accessibilité des personnes handicapées devrait être garantie dans tous les nouveaux projets d’infrastructure financés par les Fonds.</w:t>
            </w:r>
          </w:p>
        </w:tc>
      </w:tr>
    </w:tbl>
    <w:p w:rsidR="007D3698" w:rsidRPr="007D3698" w:rsidRDefault="007D3698" w:rsidP="007D3698">
      <w:pPr>
        <w:rPr>
          <w:noProof/>
          <w:szCs w:val="20"/>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6</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5 ter (nouveau)</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p>
        </w:tc>
        <w:tc>
          <w:tcPr>
            <w:tcW w:w="4876" w:type="dxa"/>
            <w:hideMark/>
          </w:tcPr>
          <w:p w:rsidR="007D3698" w:rsidRPr="00810763" w:rsidRDefault="007D3698" w:rsidP="0097579A">
            <w:pPr>
              <w:pStyle w:val="Normal6"/>
              <w:rPr>
                <w:noProof/>
                <w:szCs w:val="24"/>
              </w:rPr>
            </w:pPr>
            <w:r w:rsidRPr="00810763">
              <w:rPr>
                <w:b/>
                <w:i/>
              </w:rPr>
              <w:t>(5 ter)</w:t>
            </w:r>
            <w:r w:rsidRPr="00810763">
              <w:rPr>
                <w:b/>
                <w:i/>
              </w:rPr>
              <w:tab/>
              <w:t>Il convient que les objectifs des Fonds soient poursuivis dans le cadre des objectifs fixés dans le socle européen des droits sociaux proclamé par les institutions de l’Union.</w:t>
            </w:r>
          </w:p>
        </w:tc>
      </w:tr>
    </w:tbl>
    <w:p w:rsidR="007D3698" w:rsidRPr="007D3698" w:rsidRDefault="007D3698" w:rsidP="007D3698">
      <w:pPr>
        <w:rPr>
          <w:rStyle w:val="HideTWBExt"/>
        </w:rPr>
      </w:pPr>
      <w:r>
        <w:rPr>
          <w:rStyle w:val="HideTWBExt"/>
          <w:lang w:val="en-GB"/>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7</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9</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(9)</w:t>
            </w:r>
            <w:r w:rsidRPr="00810763">
              <w:tab/>
              <w:t xml:space="preserve">Compte tenu de l’importance de la lutte contre le changement climatique </w:t>
            </w:r>
            <w:r w:rsidRPr="00810763">
              <w:rPr>
                <w:b/>
                <w:i/>
              </w:rPr>
              <w:t>conformément aux</w:t>
            </w:r>
            <w:r w:rsidRPr="00810763">
              <w:t xml:space="preserve"> engagements pris par l’Union pour la mise en œuvre de l’accord de Paris ainsi qu’aux objectifs de développement durable des Nations unies, les Fonds </w:t>
            </w:r>
            <w:r w:rsidRPr="00810763">
              <w:rPr>
                <w:b/>
                <w:i/>
              </w:rPr>
              <w:t>contribueront</w:t>
            </w:r>
            <w:r w:rsidRPr="00810763">
              <w:t xml:space="preserve"> à intégrer les </w:t>
            </w:r>
            <w:r w:rsidRPr="00810763">
              <w:lastRenderedPageBreak/>
              <w:t xml:space="preserve">actions pour le climat et à atteindre l’objectif global consistant à porter à </w:t>
            </w:r>
            <w:r w:rsidRPr="00810763">
              <w:rPr>
                <w:b/>
                <w:i/>
              </w:rPr>
              <w:t>25 </w:t>
            </w:r>
            <w:r w:rsidRPr="00810763">
              <w:t>% la part des dépenses du budget de l’Union contribuant à la réalisation des objectifs en matière de climat.</w:t>
            </w:r>
          </w:p>
        </w:tc>
        <w:tc>
          <w:tcPr>
            <w:tcW w:w="4876" w:type="dxa"/>
            <w:hideMark/>
          </w:tcPr>
          <w:p w:rsidR="007D3698" w:rsidRPr="00810763" w:rsidRDefault="007D3698" w:rsidP="0097579A">
            <w:pPr>
              <w:pStyle w:val="Normal6"/>
              <w:rPr>
                <w:noProof/>
                <w:szCs w:val="24"/>
              </w:rPr>
            </w:pPr>
            <w:r w:rsidRPr="00810763">
              <w:lastRenderedPageBreak/>
              <w:t>(9)</w:t>
            </w:r>
            <w:r w:rsidRPr="00810763">
              <w:tab/>
              <w:t xml:space="preserve">Compte tenu de l’importance de la lutte contre le changement climatique </w:t>
            </w:r>
            <w:r w:rsidRPr="00810763">
              <w:rPr>
                <w:b/>
                <w:i/>
              </w:rPr>
              <w:t>afin de contribuer au financement des mesures nécessaires pour respecter les</w:t>
            </w:r>
            <w:r w:rsidRPr="00810763">
              <w:t xml:space="preserve"> engagements pris par l’Union pour la mise en œuvre de l’accord de Paris ainsi qu’aux objectifs de développement durable des </w:t>
            </w:r>
            <w:r w:rsidRPr="00810763">
              <w:lastRenderedPageBreak/>
              <w:t xml:space="preserve">Nations unies, les Fonds </w:t>
            </w:r>
            <w:r w:rsidRPr="00810763">
              <w:rPr>
                <w:b/>
                <w:i/>
              </w:rPr>
              <w:t>devraient contribuer</w:t>
            </w:r>
            <w:r w:rsidRPr="00810763">
              <w:t xml:space="preserve"> à intégrer les actions pour le climat et à atteindre l’objectif global consistant à porter à </w:t>
            </w:r>
            <w:r w:rsidRPr="00810763">
              <w:rPr>
                <w:b/>
                <w:i/>
              </w:rPr>
              <w:t xml:space="preserve">30 </w:t>
            </w:r>
            <w:r w:rsidRPr="00810763">
              <w:t xml:space="preserve">% </w:t>
            </w:r>
            <w:r w:rsidRPr="00810763">
              <w:rPr>
                <w:b/>
                <w:i/>
              </w:rPr>
              <w:t xml:space="preserve">au moins </w:t>
            </w:r>
            <w:r w:rsidRPr="00810763">
              <w:t xml:space="preserve">la part des dépenses du budget de l’Union contribuant à la réalisation des objectifs en matière de climat. </w:t>
            </w:r>
            <w:r w:rsidRPr="00810763">
              <w:rPr>
                <w:b/>
                <w:i/>
              </w:rPr>
              <w:t>Conformément aux recommandations de la Cour des comptes européenne, la prise en compte de la dimension climatique et les mécanismes de protection du climat devraient faire partie intégrante de la programmation et de l’exécution, en particulier la sélection des projets, et se concrétiser ex ante.</w:t>
            </w:r>
          </w:p>
        </w:tc>
      </w:tr>
    </w:tbl>
    <w:p w:rsidR="007D3698" w:rsidRPr="007D3698" w:rsidRDefault="007D3698" w:rsidP="007D3698">
      <w:pPr>
        <w:rPr>
          <w:noProof/>
        </w:rPr>
      </w:pPr>
      <w:r w:rsidRPr="00930809">
        <w:rPr>
          <w:rStyle w:val="HideTWBExt"/>
          <w:lang w:val="fr-BE"/>
        </w:rPr>
        <w:lastRenderedPageBreak/>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8</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11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(11)</w:t>
            </w:r>
            <w:r w:rsidRPr="00810763">
              <w:tab/>
              <w:t xml:space="preserve">Le principe de partenariat est un élément clé dans la mise en œuvre des fonds; il s’appuie sur le modèle de gouvernance à plusieurs niveaux et garantit la participation </w:t>
            </w:r>
            <w:r w:rsidRPr="00810763">
              <w:rPr>
                <w:b/>
                <w:i/>
              </w:rPr>
              <w:t>de</w:t>
            </w:r>
            <w:r w:rsidRPr="00810763">
              <w:t xml:space="preserve"> la société civile et des partenaires sociaux. Afin d’assurer la continuité dans l’organisation du partenariat, il convient que le règlement délégué (UE) nº 240/2014</w:t>
            </w:r>
            <w:r w:rsidRPr="00810763">
              <w:rPr>
                <w:vertAlign w:val="superscript"/>
              </w:rPr>
              <w:t>13</w:t>
            </w:r>
            <w:r w:rsidRPr="00810763">
              <w:t xml:space="preserve"> continue à s’appliquer.</w:t>
            </w:r>
          </w:p>
        </w:tc>
        <w:tc>
          <w:tcPr>
            <w:tcW w:w="4876" w:type="dxa"/>
            <w:hideMark/>
          </w:tcPr>
          <w:p w:rsidR="007D3698" w:rsidRPr="00810763" w:rsidRDefault="007D3698" w:rsidP="0097579A">
            <w:pPr>
              <w:pStyle w:val="Normal6"/>
              <w:rPr>
                <w:noProof/>
                <w:szCs w:val="24"/>
              </w:rPr>
            </w:pPr>
            <w:r w:rsidRPr="00810763">
              <w:t>(11)</w:t>
            </w:r>
            <w:r w:rsidRPr="00810763">
              <w:tab/>
              <w:t xml:space="preserve">Le principe de partenariat est un élément clé dans la mise en œuvre des fonds; il s’appuie sur le modèle de gouvernance à plusieurs niveaux et garantit la participation </w:t>
            </w:r>
            <w:r w:rsidRPr="00810763">
              <w:rPr>
                <w:b/>
                <w:i/>
              </w:rPr>
              <w:t>des autorités locales, régionales, urbaines compétentes et des autres autorités publiques compétentes, des entités concernées représentant</w:t>
            </w:r>
            <w:r w:rsidRPr="00810763">
              <w:t xml:space="preserve"> la société civile </w:t>
            </w:r>
            <w:r w:rsidRPr="00810763">
              <w:rPr>
                <w:b/>
                <w:i/>
              </w:rPr>
              <w:t xml:space="preserve">, y compris les organisations non gouvernementales, les partenaires environnementaux et les organismes chargés de promouvoir l’inclusion sociale, les droits fondamentaux, les droits des personnes handicapées, l’égalité entre les femmes et les hommes et la non-discrimination, </w:t>
            </w:r>
            <w:r w:rsidRPr="00810763">
              <w:t>et des partenaires</w:t>
            </w:r>
            <w:r w:rsidRPr="00810763">
              <w:rPr>
                <w:b/>
                <w:i/>
              </w:rPr>
              <w:t xml:space="preserve"> économiques et</w:t>
            </w:r>
            <w:r w:rsidRPr="00810763">
              <w:t xml:space="preserve"> sociaux. Afin d’assurer la continuité dans l’organisation du partenariat, il convient que le règlement délégué (UE) nº 240/2014</w:t>
            </w:r>
            <w:r w:rsidRPr="00810763">
              <w:rPr>
                <w:vertAlign w:val="superscript"/>
              </w:rPr>
              <w:t>13</w:t>
            </w:r>
            <w:r w:rsidRPr="00810763">
              <w:t xml:space="preserve"> continue à s’appliquer.</w:t>
            </w:r>
          </w:p>
        </w:tc>
      </w:tr>
      <w:tr w:rsidR="007D3698" w:rsidRPr="00AA1077" w:rsidTr="0097579A">
        <w:trPr>
          <w:jc w:val="center"/>
        </w:trPr>
        <w:tc>
          <w:tcPr>
            <w:tcW w:w="4876" w:type="dxa"/>
            <w:hideMark/>
          </w:tcPr>
          <w:p w:rsidR="007D3698" w:rsidRPr="00810763" w:rsidRDefault="007D3698" w:rsidP="0097579A">
            <w:pPr>
              <w:pStyle w:val="Normal6"/>
              <w:rPr>
                <w:noProof/>
              </w:rPr>
            </w:pPr>
            <w:r w:rsidRPr="00810763">
              <w:t>__________________</w:t>
            </w:r>
          </w:p>
        </w:tc>
        <w:tc>
          <w:tcPr>
            <w:tcW w:w="4876" w:type="dxa"/>
            <w:hideMark/>
          </w:tcPr>
          <w:p w:rsidR="007D3698" w:rsidRPr="00810763" w:rsidRDefault="007D3698" w:rsidP="0097579A">
            <w:pPr>
              <w:pStyle w:val="Normal6"/>
              <w:rPr>
                <w:noProof/>
                <w:szCs w:val="24"/>
              </w:rPr>
            </w:pPr>
            <w:r w:rsidRPr="00810763">
              <w:t>__________________</w:t>
            </w:r>
          </w:p>
        </w:tc>
      </w:tr>
      <w:tr w:rsidR="007D3698" w:rsidRPr="007D3698" w:rsidTr="0097579A">
        <w:trPr>
          <w:jc w:val="center"/>
        </w:trPr>
        <w:tc>
          <w:tcPr>
            <w:tcW w:w="4876" w:type="dxa"/>
            <w:hideMark/>
          </w:tcPr>
          <w:p w:rsidR="007D3698" w:rsidRPr="00810763" w:rsidRDefault="007D3698" w:rsidP="0097579A">
            <w:pPr>
              <w:pStyle w:val="Normal6"/>
              <w:rPr>
                <w:noProof/>
                <w:vertAlign w:val="superscript"/>
              </w:rPr>
            </w:pPr>
            <w:r w:rsidRPr="00810763">
              <w:rPr>
                <w:vertAlign w:val="superscript"/>
              </w:rPr>
              <w:t>13</w:t>
            </w:r>
            <w:r w:rsidRPr="00810763">
              <w:t xml:space="preserve"> Règlement délégué (UE) nº 240/2014 de la Commission du 7 janvier 2014 relatif au code de conduite européen sur le </w:t>
            </w:r>
            <w:r w:rsidRPr="00810763">
              <w:lastRenderedPageBreak/>
              <w:t>partenariat dans le cadre des Fonds structurels et d’investissement européens (JO L 74 du 14.3.2014, p. 1).</w:t>
            </w:r>
          </w:p>
        </w:tc>
        <w:tc>
          <w:tcPr>
            <w:tcW w:w="4876" w:type="dxa"/>
            <w:hideMark/>
          </w:tcPr>
          <w:p w:rsidR="007D3698" w:rsidRPr="00810763" w:rsidRDefault="007D3698" w:rsidP="0097579A">
            <w:pPr>
              <w:pStyle w:val="Normal6"/>
              <w:rPr>
                <w:noProof/>
                <w:szCs w:val="24"/>
                <w:vertAlign w:val="superscript"/>
              </w:rPr>
            </w:pPr>
            <w:r w:rsidRPr="00810763">
              <w:rPr>
                <w:vertAlign w:val="superscript"/>
              </w:rPr>
              <w:lastRenderedPageBreak/>
              <w:t>13</w:t>
            </w:r>
            <w:r w:rsidRPr="00810763">
              <w:t xml:space="preserve"> Règlement délégué (UE) nº 240/2014 de la Commission du 7 janvier 2014 relatif au code de conduite européen sur le </w:t>
            </w:r>
            <w:r w:rsidRPr="00810763">
              <w:lastRenderedPageBreak/>
              <w:t>partenariat dans le cadre des Fonds structurels et d’investissement européens (JO L 74 du 14.3.2014, p. 1).</w:t>
            </w:r>
          </w:p>
        </w:tc>
      </w:tr>
    </w:tbl>
    <w:p w:rsidR="007D3698" w:rsidRPr="007D3698" w:rsidRDefault="007D3698" w:rsidP="007D3698">
      <w:pPr>
        <w:rPr>
          <w:noProof/>
        </w:rPr>
      </w:pPr>
      <w:r w:rsidRPr="00930809">
        <w:rPr>
          <w:rStyle w:val="HideTWBExt"/>
          <w:lang w:val="fr-BE"/>
        </w:rPr>
        <w:lastRenderedPageBreak/>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9</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12</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(12)</w:t>
            </w:r>
            <w:r w:rsidRPr="00810763">
              <w:tab/>
              <w:t>Au niveau de l’Union, le Semestre européen pour la coordination des politiques économiques est le cadre permettant de dégager les priorités nationales en matière de réformes et de suivre leur mise en œuvre. Les États membres élaborent leurs propres stratégies nationales d’investissement pluriannuelles à l’appui de ces priorités de réforme. Il convient que ces stratégies soient présentées en même temps que les programmes nationaux de réforme annuels, de manière à définir et coordonner les projets d’investissement prioritaires devant être soutenus par des fonds nationaux et de l’Union. Elles devraient également servir à utiliser les fonds de l’Union de manière cohérente et à maximiser la valeur ajoutée du soutien financier à recevoir provenant notamment des Fonds, du mécanisme européen de stabilisation des investissements et d’InvestEU.</w:t>
            </w:r>
          </w:p>
        </w:tc>
        <w:tc>
          <w:tcPr>
            <w:tcW w:w="4876" w:type="dxa"/>
            <w:hideMark/>
          </w:tcPr>
          <w:p w:rsidR="007D3698" w:rsidRPr="00810763" w:rsidRDefault="007D3698" w:rsidP="0097579A">
            <w:pPr>
              <w:pStyle w:val="Normal6"/>
              <w:rPr>
                <w:noProof/>
                <w:szCs w:val="24"/>
              </w:rPr>
            </w:pPr>
            <w:r w:rsidRPr="00810763">
              <w:t>(12)</w:t>
            </w:r>
            <w:r w:rsidRPr="00810763">
              <w:tab/>
              <w:t xml:space="preserve">Au niveau de l’Union, le Semestre européen pour la coordination des politiques économiques est le cadre permettant de dégager les priorités nationales en matière de réformes et de suivre leur mise en œuvre. Les États membres élaborent leurs propres stratégies nationales d’investissement pluriannuelles à l’appui de ces priorités de réforme. Il convient que ces stratégies soient présentées en même temps que les programmes nationaux de réforme annuels, de manière à définir et coordonner les projets d’investissement prioritaires devant être soutenus par des fonds nationaux et de l’Union. Elles devraient également servir à utiliser les fonds de l’Union de manière cohérente et à maximiser la valeur ajoutée du soutien financier à recevoir provenant notamment des Fonds, du mécanisme européen de stabilisation des investissements et d’InvestEU. </w:t>
            </w:r>
            <w:r w:rsidRPr="00810763">
              <w:rPr>
                <w:b/>
                <w:i/>
              </w:rPr>
              <w:t>De manière générale, les États membres et, le cas échéant, la Commission, encouragent les synergies et assurent la coordination, la complémentarité et la cohérence entre ces priorités spécifiques et le socle européen des droits sociaux.</w:t>
            </w:r>
          </w:p>
        </w:tc>
      </w:tr>
    </w:tbl>
    <w:p w:rsidR="007D3698" w:rsidRPr="007D3698" w:rsidRDefault="007D3698" w:rsidP="007D3698">
      <w:pPr>
        <w:pStyle w:val="JustificationTitle"/>
        <w:rPr>
          <w:noProof/>
        </w:rPr>
      </w:pPr>
      <w:r w:rsidRPr="00930809">
        <w:rPr>
          <w:rStyle w:val="HideTWBExt"/>
          <w:i w:val="0"/>
          <w:szCs w:val="24"/>
          <w:lang w:val="fr-BE"/>
        </w:rPr>
        <w:t>&lt;TitreJust&gt;</w:t>
      </w:r>
      <w:r w:rsidRPr="00810763">
        <w:t>Justification</w:t>
      </w:r>
      <w:r w:rsidRPr="00930809">
        <w:rPr>
          <w:rStyle w:val="HideTWBExt"/>
          <w:i w:val="0"/>
          <w:szCs w:val="24"/>
          <w:lang w:val="fr-BE"/>
        </w:rPr>
        <w:t>&lt;/TitreJust&gt;</w:t>
      </w:r>
    </w:p>
    <w:p w:rsidR="007D3698" w:rsidRPr="007D3698" w:rsidRDefault="007D3698" w:rsidP="007D3698">
      <w:pPr>
        <w:pStyle w:val="Normal12Italic"/>
        <w:rPr>
          <w:noProof/>
        </w:rPr>
      </w:pPr>
      <w:r>
        <w:t>Le socle européen des droits sociaux proclamé le 17 novembre 2017 a été un pas décisif vers une Europe plus sociale. Il constitue une base importante de principes pouvant améliorer le bien-être et le quotidien des citoyens européens.  Les vingt principes du socle européen des droits sociaux constituent, de plus, un très bon complément aux objectifs, économiques et sociaux, du Semestre européen.</w:t>
      </w:r>
    </w:p>
    <w:p w:rsidR="007D3698" w:rsidRPr="007D3698" w:rsidRDefault="007D3698" w:rsidP="007D3698">
      <w:pPr>
        <w:rPr>
          <w:noProof/>
        </w:rPr>
      </w:pPr>
      <w:r w:rsidRPr="00930809">
        <w:rPr>
          <w:rStyle w:val="HideTWBExt"/>
          <w:lang w:val="fr-BE"/>
        </w:rPr>
        <w:lastRenderedPageBreak/>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10</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12 bis (nouveau)</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p>
        </w:tc>
        <w:tc>
          <w:tcPr>
            <w:tcW w:w="4876" w:type="dxa"/>
            <w:hideMark/>
          </w:tcPr>
          <w:p w:rsidR="007D3698" w:rsidRPr="00810763" w:rsidRDefault="007D3698" w:rsidP="0097579A">
            <w:pPr>
              <w:pStyle w:val="Normal6"/>
              <w:rPr>
                <w:noProof/>
                <w:szCs w:val="24"/>
              </w:rPr>
            </w:pPr>
            <w:r w:rsidRPr="00810763">
              <w:rPr>
                <w:b/>
                <w:i/>
              </w:rPr>
              <w:t>(12 bis)</w:t>
            </w:r>
            <w:r w:rsidRPr="00810763">
              <w:rPr>
                <w:b/>
                <w:i/>
              </w:rPr>
              <w:tab/>
              <w:t>Pour être efficace, le déploiement des Fonds devrait se fonder sur le programme d’appui à la réforme, qui soutient les réformes prioritaires dans tous les États membres de l’Union qui permettent une utilisation efficace et bien ciblée des Fonds.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11</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14</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(14)</w:t>
            </w:r>
            <w:r w:rsidRPr="00810763">
              <w:tab/>
              <w:t xml:space="preserve">Il convient que les États membres </w:t>
            </w:r>
            <w:r w:rsidRPr="00810763">
              <w:rPr>
                <w:b/>
                <w:i/>
              </w:rPr>
              <w:t>tiennent compte de la teneur de</w:t>
            </w:r>
            <w:r w:rsidRPr="00810763">
              <w:t xml:space="preserve"> leur projet de plan national en matière d’énergie et de climat, qui doit être élaboré dans le cadre du règlement sur la gouvernance de l’union de l’énergie</w:t>
            </w:r>
            <w:r w:rsidRPr="00810763">
              <w:rPr>
                <w:vertAlign w:val="superscript"/>
              </w:rPr>
              <w:t>14</w:t>
            </w:r>
            <w:r w:rsidRPr="00810763">
              <w:t xml:space="preserve">, et des résultats du processus ayant abouti aux recommandations de l’Union concernant ces plans, pour leurs programmes, ainsi que pour les besoins financiers alloués pour les investissements </w:t>
            </w:r>
            <w:r w:rsidRPr="00810763">
              <w:rPr>
                <w:b/>
                <w:i/>
              </w:rPr>
              <w:t>à faible intensité de</w:t>
            </w:r>
            <w:r w:rsidRPr="00810763">
              <w:t xml:space="preserve"> carbone.</w:t>
            </w:r>
          </w:p>
        </w:tc>
        <w:tc>
          <w:tcPr>
            <w:tcW w:w="4876" w:type="dxa"/>
            <w:hideMark/>
          </w:tcPr>
          <w:p w:rsidR="007D3698" w:rsidRPr="00810763" w:rsidRDefault="007D3698" w:rsidP="0097579A">
            <w:pPr>
              <w:pStyle w:val="Normal6"/>
              <w:rPr>
                <w:noProof/>
                <w:szCs w:val="24"/>
              </w:rPr>
            </w:pPr>
            <w:r w:rsidRPr="00810763">
              <w:t>(14)</w:t>
            </w:r>
            <w:r w:rsidRPr="00810763">
              <w:tab/>
              <w:t xml:space="preserve">Il convient que les États membres </w:t>
            </w:r>
            <w:r w:rsidRPr="00810763">
              <w:rPr>
                <w:b/>
                <w:i/>
              </w:rPr>
              <w:t>réalisent les objectifs inscrits dans</w:t>
            </w:r>
            <w:r w:rsidRPr="00810763">
              <w:t xml:space="preserve"> leur projet de plan national</w:t>
            </w:r>
            <w:r w:rsidRPr="00810763">
              <w:rPr>
                <w:b/>
                <w:i/>
              </w:rPr>
              <w:t xml:space="preserve"> intégré</w:t>
            </w:r>
            <w:r w:rsidRPr="00810763">
              <w:t xml:space="preserve"> en matière d’énergie et de climat, qui doit être élaboré dans le cadre du règlement sur la gouvernance de l’union de l’énergie</w:t>
            </w:r>
            <w:r w:rsidRPr="00810763">
              <w:rPr>
                <w:vertAlign w:val="superscript"/>
              </w:rPr>
              <w:t>14</w:t>
            </w:r>
            <w:r w:rsidRPr="00810763">
              <w:t xml:space="preserve">, et des résultats du processus ayant abouti aux recommandations de l’Union concernant ces plans, pour leurs programmes, ainsi que pour les besoins financiers alloués pour les investissements </w:t>
            </w:r>
            <w:r w:rsidRPr="00810763">
              <w:rPr>
                <w:b/>
                <w:i/>
              </w:rPr>
              <w:t>sans</w:t>
            </w:r>
            <w:r w:rsidRPr="00810763">
              <w:t xml:space="preserve"> carbone.</w:t>
            </w:r>
          </w:p>
        </w:tc>
      </w:tr>
      <w:tr w:rsidR="007D3698" w:rsidRPr="00AA1077" w:rsidTr="0097579A">
        <w:trPr>
          <w:jc w:val="center"/>
        </w:trPr>
        <w:tc>
          <w:tcPr>
            <w:tcW w:w="4876" w:type="dxa"/>
            <w:hideMark/>
          </w:tcPr>
          <w:p w:rsidR="007D3698" w:rsidRPr="00810763" w:rsidRDefault="007D3698" w:rsidP="0097579A">
            <w:pPr>
              <w:pStyle w:val="Normal6"/>
              <w:rPr>
                <w:noProof/>
              </w:rPr>
            </w:pPr>
            <w:r w:rsidRPr="00810763">
              <w:t>__________________</w:t>
            </w:r>
          </w:p>
        </w:tc>
        <w:tc>
          <w:tcPr>
            <w:tcW w:w="4876" w:type="dxa"/>
            <w:hideMark/>
          </w:tcPr>
          <w:p w:rsidR="007D3698" w:rsidRPr="00810763" w:rsidRDefault="007D3698" w:rsidP="0097579A">
            <w:pPr>
              <w:pStyle w:val="Normal6"/>
              <w:rPr>
                <w:noProof/>
                <w:szCs w:val="24"/>
              </w:rPr>
            </w:pPr>
            <w:r w:rsidRPr="00810763">
              <w:t>__________________</w:t>
            </w:r>
          </w:p>
        </w:tc>
      </w:tr>
      <w:tr w:rsidR="007D3698" w:rsidRPr="007D3698" w:rsidTr="0097579A">
        <w:trPr>
          <w:jc w:val="center"/>
        </w:trPr>
        <w:tc>
          <w:tcPr>
            <w:tcW w:w="4876" w:type="dxa"/>
            <w:hideMark/>
          </w:tcPr>
          <w:p w:rsidR="007D3698" w:rsidRPr="00810763" w:rsidRDefault="007D3698" w:rsidP="0097579A">
            <w:pPr>
              <w:pStyle w:val="Normal6"/>
              <w:rPr>
                <w:noProof/>
                <w:szCs w:val="24"/>
              </w:rPr>
            </w:pPr>
            <w:r w:rsidRPr="00810763">
              <w:rPr>
                <w:szCs w:val="24"/>
                <w:vertAlign w:val="superscript"/>
              </w:rPr>
              <w:t>14</w:t>
            </w:r>
            <w:r w:rsidRPr="00810763">
              <w:rPr>
                <w:szCs w:val="24"/>
              </w:rPr>
              <w:t xml:space="preserve"> [Règlement sur la gouvernance de l’union de l’énergie, modifiant la directive 94/22/CE, la directive 98/70/CE, la directive 2009/31/CE, le règlement (CE) n° 663/2009, le règlement (CE) n° 715/2009, la directive 2009/73/CE, la directive 2009/119/CE du Conseil, la directive 2010/31/UE, la directive 2012/27/UE, la directive 2013/30/UE et la directive (UE) 2015/652 du Conseil, et abrogeant le règlement (UE) n° 525/2013 </w:t>
            </w:r>
            <w:r w:rsidRPr="00810763">
              <w:rPr>
                <w:szCs w:val="24"/>
              </w:rPr>
              <w:lastRenderedPageBreak/>
              <w:t>(COM/2016/0759 final/2 - 2016/0375 (COD)].</w:t>
            </w:r>
          </w:p>
        </w:tc>
        <w:tc>
          <w:tcPr>
            <w:tcW w:w="4876" w:type="dxa"/>
            <w:hideMark/>
          </w:tcPr>
          <w:p w:rsidR="007D3698" w:rsidRPr="00810763" w:rsidRDefault="007D3698" w:rsidP="0097579A">
            <w:pPr>
              <w:pStyle w:val="Normal6"/>
              <w:rPr>
                <w:noProof/>
                <w:szCs w:val="24"/>
              </w:rPr>
            </w:pPr>
            <w:r w:rsidRPr="00810763">
              <w:rPr>
                <w:szCs w:val="24"/>
                <w:vertAlign w:val="superscript"/>
              </w:rPr>
              <w:lastRenderedPageBreak/>
              <w:t>14</w:t>
            </w:r>
            <w:r w:rsidRPr="00810763">
              <w:rPr>
                <w:szCs w:val="24"/>
              </w:rPr>
              <w:t xml:space="preserve"> [Règlement sur la gouvernance de l’union de l’énergie, modifiant la directive 94/22/CE, la directive 98/70/CE, la directive 2009/31/CE, le règlement (CE) n° 663/2009, le règlement (CE) n° 715/2009, la directive 2009/73/CE, la directive 2009/119/CE du Conseil, la directive 2010/31/UE, la directive 2012/27/UE, la directive 2013/30/UE et la directive (UE) 2015/652 du Conseil, et abrogeant le règlement (UE) n° 525/2013 </w:t>
            </w:r>
            <w:r w:rsidRPr="00810763">
              <w:rPr>
                <w:szCs w:val="24"/>
              </w:rPr>
              <w:lastRenderedPageBreak/>
              <w:t>(COM/2016/0759 final/2 - 2016/0375 (COD)].</w:t>
            </w:r>
          </w:p>
        </w:tc>
      </w:tr>
    </w:tbl>
    <w:p w:rsidR="007D3698" w:rsidRPr="007D3698" w:rsidRDefault="007D3698" w:rsidP="007D3698">
      <w:pPr>
        <w:rPr>
          <w:noProof/>
        </w:rPr>
      </w:pPr>
      <w:r w:rsidRPr="00930809">
        <w:rPr>
          <w:rStyle w:val="HideTWBExt"/>
          <w:lang w:val="fr-BE"/>
        </w:rPr>
        <w:lastRenderedPageBreak/>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12</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14 bis (nouveau)</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p>
        </w:tc>
        <w:tc>
          <w:tcPr>
            <w:tcW w:w="4876" w:type="dxa"/>
            <w:hideMark/>
          </w:tcPr>
          <w:p w:rsidR="007D3698" w:rsidRPr="00810763" w:rsidRDefault="007D3698" w:rsidP="0097579A">
            <w:pPr>
              <w:pStyle w:val="Normal6"/>
              <w:rPr>
                <w:noProof/>
                <w:szCs w:val="24"/>
              </w:rPr>
            </w:pPr>
            <w:r w:rsidRPr="00810763">
              <w:rPr>
                <w:b/>
                <w:i/>
              </w:rPr>
              <w:t>(14 bis)</w:t>
            </w:r>
            <w:r w:rsidRPr="00810763">
              <w:rPr>
                <w:b/>
                <w:i/>
              </w:rPr>
              <w:tab/>
              <w:t>Les États membres devraient tenir compte du contenu de leurs stratégies nationales d’intégration des Roms dans l’élaboration de leurs programmes.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13</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16</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AA1077" w:rsidTr="0097579A">
        <w:trPr>
          <w:jc w:val="center"/>
        </w:trPr>
        <w:tc>
          <w:tcPr>
            <w:tcW w:w="4876" w:type="dxa"/>
            <w:hideMark/>
          </w:tcPr>
          <w:p w:rsidR="007D3698" w:rsidRPr="00810763" w:rsidRDefault="007D3698" w:rsidP="0097579A">
            <w:pPr>
              <w:pStyle w:val="Normal6"/>
              <w:rPr>
                <w:noProof/>
              </w:rPr>
            </w:pPr>
            <w:r w:rsidRPr="00810763">
              <w:rPr>
                <w:b/>
                <w:i/>
              </w:rPr>
              <w:t>(16)</w:t>
            </w:r>
            <w:r w:rsidRPr="00810763">
              <w:rPr>
                <w:b/>
                <w:i/>
              </w:rPr>
              <w:tab/>
              <w:t>Chaque État membre devrait avoir la liberté de contribuer à InvestEU pour fournir des garanties budgétaires aux investissements dans cet État membre.</w:t>
            </w:r>
          </w:p>
        </w:tc>
        <w:tc>
          <w:tcPr>
            <w:tcW w:w="4876" w:type="dxa"/>
            <w:hideMark/>
          </w:tcPr>
          <w:p w:rsidR="007D3698" w:rsidRPr="00810763" w:rsidRDefault="007D3698" w:rsidP="0097579A">
            <w:pPr>
              <w:pStyle w:val="Normal6"/>
              <w:rPr>
                <w:noProof/>
                <w:szCs w:val="24"/>
              </w:rPr>
            </w:pPr>
            <w:r w:rsidRPr="00810763">
              <w:rPr>
                <w:b/>
                <w:i/>
              </w:rPr>
              <w:t>supprimé</w:t>
            </w:r>
          </w:p>
        </w:tc>
      </w:tr>
    </w:tbl>
    <w:p w:rsidR="007D3698" w:rsidRPr="00AA1077" w:rsidRDefault="007D3698" w:rsidP="007D3698">
      <w:pPr>
        <w:rPr>
          <w:noProof/>
        </w:rPr>
      </w:pPr>
      <w:r>
        <w:rPr>
          <w:rStyle w:val="HideTWBExt"/>
        </w:rPr>
        <w:t>&lt;/Amend&gt;</w:t>
      </w:r>
    </w:p>
    <w:p w:rsidR="007D3698" w:rsidRDefault="007D3698" w:rsidP="007D3698">
      <w:pPr>
        <w:pStyle w:val="AMNumberTabs"/>
        <w:rPr>
          <w:noProof/>
        </w:rPr>
      </w:pPr>
      <w:r>
        <w:rPr>
          <w:rStyle w:val="HideTWBExt"/>
          <w:b w:val="0"/>
          <w:szCs w:val="24"/>
        </w:rPr>
        <w:t>&lt;Amend&gt;</w:t>
      </w:r>
      <w:r w:rsidRPr="00810763">
        <w:t>Amendement</w:t>
      </w:r>
      <w:r w:rsidRPr="00810763">
        <w:tab/>
      </w:r>
      <w:r w:rsidRPr="00810763">
        <w:tab/>
      </w:r>
      <w:r>
        <w:rPr>
          <w:rStyle w:val="HideTWBExt"/>
          <w:b w:val="0"/>
          <w:szCs w:val="24"/>
        </w:rPr>
        <w:t>&lt;NumAm&gt;</w:t>
      </w:r>
      <w:r w:rsidRPr="00810763">
        <w:t>14</w:t>
      </w:r>
      <w:r>
        <w:rPr>
          <w:rStyle w:val="HideTWBExt"/>
          <w:b w:val="0"/>
          <w:szCs w:val="24"/>
        </w:rPr>
        <w:t>&lt;/NumAm&gt;</w:t>
      </w:r>
    </w:p>
    <w:p w:rsidR="007D3698" w:rsidRPr="007D3698" w:rsidRDefault="007D3698" w:rsidP="007D3698">
      <w:pPr>
        <w:pStyle w:val="NormalBold12b"/>
        <w:rPr>
          <w:noProof/>
        </w:rPr>
      </w:pPr>
      <w:r>
        <w:rPr>
          <w:rStyle w:val="HideTWBExt"/>
          <w:b w:val="0"/>
          <w:szCs w:val="24"/>
          <w:lang w:val="en-GB"/>
        </w:rPr>
        <w:t>&lt;DocAmend&gt;</w:t>
      </w:r>
      <w:r w:rsidRPr="00810763">
        <w:t>Proposition de règlement</w:t>
      </w:r>
      <w:r>
        <w:rPr>
          <w:rStyle w:val="HideTWBExt"/>
          <w:b w:val="0"/>
          <w:szCs w:val="24"/>
          <w:lang w:val="en-GB"/>
        </w:rPr>
        <w:t>&lt;/DocAmend&gt;</w:t>
      </w:r>
    </w:p>
    <w:p w:rsidR="007D3698" w:rsidRPr="00AA1077" w:rsidRDefault="007D3698" w:rsidP="007D3698">
      <w:pPr>
        <w:pStyle w:val="NormalBold"/>
        <w:rPr>
          <w:noProof/>
        </w:rPr>
      </w:pPr>
      <w:r>
        <w:rPr>
          <w:rStyle w:val="HideTWBExt"/>
          <w:b w:val="0"/>
          <w:szCs w:val="24"/>
        </w:rPr>
        <w:t>&lt;Article&gt;</w:t>
      </w:r>
      <w:r w:rsidRPr="00810763">
        <w:t>Considérant 19</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(19)</w:t>
            </w:r>
            <w:r w:rsidRPr="00810763">
              <w:tab/>
              <w:t xml:space="preserve">L’état membre devrait procéder à un examen à mi-parcours de chaque programme financé par le FEDER, le FSE+ et le Fonds de cohésion. Cet examen devrait permettre une véritable adaptation des programmes fondée sur leurs performances, tout en étant également l’occasion de tenir compte des nouveaux défis et recommandations par pays pertinentes adressées en 2024. Parallèlement, il convient qu’en 2024, la </w:t>
            </w:r>
            <w:r w:rsidRPr="00810763">
              <w:lastRenderedPageBreak/>
              <w:t xml:space="preserve">Commission, dans son ajustement technique pour l’année 2025, procède au réexamen des montants totaux alloués à tous les États membres au titre de l’objectif «Investissement pour l’emploi </w:t>
            </w:r>
            <w:r w:rsidRPr="00810763">
              <w:rPr>
                <w:b/>
                <w:i/>
              </w:rPr>
              <w:t>et</w:t>
            </w:r>
            <w:r w:rsidRPr="00810763">
              <w:t xml:space="preserve"> la croissance» de la politique de cohésion pour les années 2025, 2026 et 2027, en appliquant la méthode de détermination des montants définie dans l’acte de base pertinent. Ce réexamen, ainsi que les résultats de l’examen à mi-parcours, devraient déboucher sur des remaniements des programmes modifiant les dotations financières pour les années 2025, 2026 et 2027.</w:t>
            </w:r>
          </w:p>
        </w:tc>
        <w:tc>
          <w:tcPr>
            <w:tcW w:w="4876" w:type="dxa"/>
            <w:hideMark/>
          </w:tcPr>
          <w:p w:rsidR="007D3698" w:rsidRPr="00810763" w:rsidRDefault="007D3698" w:rsidP="0097579A">
            <w:pPr>
              <w:pStyle w:val="Normal6"/>
              <w:rPr>
                <w:noProof/>
                <w:szCs w:val="24"/>
              </w:rPr>
            </w:pPr>
            <w:r w:rsidRPr="00810763">
              <w:lastRenderedPageBreak/>
              <w:t>(19)</w:t>
            </w:r>
            <w:r w:rsidRPr="00810763">
              <w:tab/>
              <w:t xml:space="preserve">L’État membre devrait procéder à un examen à mi-parcours de chaque programme financé par le FEDER, le FSE+ et le Fonds de cohésion. Cet examen devrait permettre une véritable adaptation des programmes fondée sur leurs performances, tout en étant également l’occasion de tenir compte des nouveaux défis et recommandations par pays pertinentes adressées en 2024. Parallèlement, il convient qu’en 2024, la </w:t>
            </w:r>
            <w:r w:rsidRPr="00810763">
              <w:lastRenderedPageBreak/>
              <w:t>Commission, dans son ajustement technique pour l’année 2025, procède au réexamen des montants totaux alloués à tous les États membres au titre de l’objectif «Investissement pour l’emploi</w:t>
            </w:r>
            <w:r w:rsidRPr="00810763">
              <w:rPr>
                <w:b/>
                <w:i/>
              </w:rPr>
              <w:t>,</w:t>
            </w:r>
            <w:r w:rsidRPr="00810763">
              <w:t xml:space="preserve"> la croissance</w:t>
            </w:r>
            <w:r w:rsidRPr="00810763">
              <w:rPr>
                <w:b/>
                <w:i/>
              </w:rPr>
              <w:t>, l’inclusion sociale et la convergence ascendante</w:t>
            </w:r>
            <w:r w:rsidRPr="00810763">
              <w:t>» de la politique de cohésion pour les années 2025, 2026 et 2027, en appliquant la méthode de détermination des montants définie dans l’acte de base pertinent. Ce réexamen, ainsi que les résultats de l’examen à mi-parcours, devraient déboucher sur des remaniements des programmes modifiant les dotations financières pour les années 2025, 2026 et 2027.</w:t>
            </w:r>
          </w:p>
        </w:tc>
      </w:tr>
    </w:tbl>
    <w:p w:rsidR="007D3698" w:rsidRPr="007D3698" w:rsidRDefault="007D3698" w:rsidP="007D3698">
      <w:pPr>
        <w:rPr>
          <w:noProof/>
        </w:rPr>
      </w:pPr>
      <w:r w:rsidRPr="00930809">
        <w:rPr>
          <w:rStyle w:val="HideTWBExt"/>
          <w:lang w:val="fr-BE"/>
        </w:rPr>
        <w:lastRenderedPageBreak/>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15</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28 bis (nouveau)</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p>
        </w:tc>
        <w:tc>
          <w:tcPr>
            <w:tcW w:w="4876" w:type="dxa"/>
            <w:hideMark/>
          </w:tcPr>
          <w:p w:rsidR="007D3698" w:rsidRPr="00810763" w:rsidRDefault="007D3698" w:rsidP="0097579A">
            <w:pPr>
              <w:pStyle w:val="Normal6"/>
              <w:rPr>
                <w:noProof/>
                <w:szCs w:val="24"/>
              </w:rPr>
            </w:pPr>
            <w:r w:rsidRPr="00810763">
              <w:rPr>
                <w:b/>
                <w:i/>
              </w:rPr>
              <w:t>(28 bis)</w:t>
            </w:r>
            <w:r w:rsidRPr="00810763">
              <w:rPr>
                <w:b/>
                <w:i/>
              </w:rPr>
              <w:tab/>
              <w:t xml:space="preserve">Le recours à des indicateurs régionaux devrait être envisagé afin de permettre une meilleure prise en compte des disparités </w:t>
            </w:r>
            <w:r w:rsidR="00930809" w:rsidRPr="00810763">
              <w:rPr>
                <w:b/>
                <w:i/>
              </w:rPr>
              <w:t>infrarégionales</w:t>
            </w:r>
            <w:r w:rsidRPr="00810763">
              <w:rPr>
                <w:b/>
                <w:i/>
              </w:rPr>
              <w:t>.</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16</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29</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(29)</w:t>
            </w:r>
            <w:r w:rsidRPr="00810763">
              <w:tab/>
              <w:t xml:space="preserve">Afin de garantir la disponibilité d’informations complètes et à jour sur la mise en œuvre des programmes, il convient d’exiger des rapports électroniques </w:t>
            </w:r>
            <w:r w:rsidRPr="00810763">
              <w:rPr>
                <w:b/>
                <w:i/>
              </w:rPr>
              <w:t>plus fréquents</w:t>
            </w:r>
            <w:r w:rsidRPr="00810763">
              <w:t xml:space="preserve"> sur les données quantitatives.</w:t>
            </w:r>
          </w:p>
        </w:tc>
        <w:tc>
          <w:tcPr>
            <w:tcW w:w="4876" w:type="dxa"/>
            <w:hideMark/>
          </w:tcPr>
          <w:p w:rsidR="007D3698" w:rsidRPr="00810763" w:rsidRDefault="007D3698" w:rsidP="0097579A">
            <w:pPr>
              <w:pStyle w:val="Normal6"/>
              <w:rPr>
                <w:noProof/>
                <w:szCs w:val="24"/>
              </w:rPr>
            </w:pPr>
            <w:r w:rsidRPr="00810763">
              <w:t>(29)</w:t>
            </w:r>
            <w:r w:rsidRPr="00810763">
              <w:tab/>
              <w:t xml:space="preserve">Afin de garantir la disponibilité d’informations complètes et à jour sur la mise en œuvre des programmes, il convient d’exiger des rapports électroniques </w:t>
            </w:r>
            <w:r w:rsidRPr="00810763">
              <w:rPr>
                <w:b/>
                <w:i/>
              </w:rPr>
              <w:t>efficaces et remis en temps utile</w:t>
            </w:r>
            <w:r w:rsidRPr="00810763">
              <w:t xml:space="preserve"> sur les données quantitatives.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17</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lastRenderedPageBreak/>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34</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(34)</w:t>
            </w:r>
            <w:r w:rsidRPr="00810763">
              <w:tab/>
              <w:t>En ce qui concerne les subventions octroyées aux bénéficiaires, il convient que les États membres fassent de plus en plus appel aux options simplifiées en matière de coûts. Il y a lieu de lier le seuil du recours obligatoire auxdites options aux coûts totaux de l’opération afin de garantir le même traitement pour toutes les opérations en deçà du seuil, que le soutien soit public ou privé.</w:t>
            </w:r>
          </w:p>
        </w:tc>
        <w:tc>
          <w:tcPr>
            <w:tcW w:w="4876" w:type="dxa"/>
            <w:hideMark/>
          </w:tcPr>
          <w:p w:rsidR="007D3698" w:rsidRPr="00810763" w:rsidRDefault="007D3698" w:rsidP="0097579A">
            <w:pPr>
              <w:pStyle w:val="Normal6"/>
              <w:rPr>
                <w:noProof/>
                <w:szCs w:val="24"/>
              </w:rPr>
            </w:pPr>
            <w:r w:rsidRPr="00810763">
              <w:t>(34)</w:t>
            </w:r>
            <w:r w:rsidRPr="00810763">
              <w:tab/>
              <w:t xml:space="preserve">En ce qui concerne les subventions octroyées aux bénéficiaires, il convient que les États membres fassent de plus en plus appel aux options simplifiées en matière de coûts. Il y a lieu de lier le seuil du recours obligatoire auxdites options aux coûts totaux de l’opération afin de garantir le même traitement pour toutes les opérations en deçà du seuil, que le soutien soit public ou privé. </w:t>
            </w:r>
            <w:r w:rsidRPr="00810763">
              <w:rPr>
                <w:b/>
                <w:i/>
              </w:rPr>
              <w:t>Les États membres devraient consulter le comité de suivi en ce qui concerne l’élaboration des options simplifiées en matière de coûts.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18</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39</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(39)</w:t>
            </w:r>
            <w:r w:rsidRPr="00810763">
              <w:tab/>
              <w:t xml:space="preserve">Il devrait être possible de conjuguer le soutien accordé par le Fonds de cohésion et le FEDER et le soutien provenant du FSE+ au sein des programmes communs relevant de l’objectif «Investissement pour l’emploi </w:t>
            </w:r>
            <w:r w:rsidRPr="00810763">
              <w:rPr>
                <w:b/>
                <w:i/>
              </w:rPr>
              <w:t>et</w:t>
            </w:r>
            <w:r w:rsidRPr="00810763">
              <w:t xml:space="preserve"> la croissance», de manière à renforcer leur complémentarité et à simplifier leur mise en œuvre.</w:t>
            </w:r>
          </w:p>
        </w:tc>
        <w:tc>
          <w:tcPr>
            <w:tcW w:w="4876" w:type="dxa"/>
            <w:hideMark/>
          </w:tcPr>
          <w:p w:rsidR="007D3698" w:rsidRPr="00810763" w:rsidRDefault="007D3698" w:rsidP="0097579A">
            <w:pPr>
              <w:pStyle w:val="Normal6"/>
              <w:rPr>
                <w:noProof/>
                <w:szCs w:val="24"/>
              </w:rPr>
            </w:pPr>
            <w:r w:rsidRPr="00810763">
              <w:t>(39)</w:t>
            </w:r>
            <w:r w:rsidRPr="00810763">
              <w:tab/>
              <w:t>Il devrait être possible de conjuguer le soutien accordé par le Fonds de cohésion et le FEDER et le soutien provenant du FSE+ au sein des programmes communs relevant de l’objectif «Investissement pour l’emploi</w:t>
            </w:r>
            <w:r w:rsidRPr="00810763">
              <w:rPr>
                <w:b/>
                <w:i/>
              </w:rPr>
              <w:t>,</w:t>
            </w:r>
            <w:r w:rsidRPr="00810763">
              <w:t xml:space="preserve"> la croissance</w:t>
            </w:r>
            <w:r w:rsidRPr="00810763">
              <w:rPr>
                <w:b/>
                <w:i/>
              </w:rPr>
              <w:t>, l’inclusion sociale et la convergence ascendante</w:t>
            </w:r>
            <w:r w:rsidRPr="00810763">
              <w:t>», de manière à renforcer leur complémentarité et à simplifier leur mise en œuvre.</w:t>
            </w:r>
          </w:p>
        </w:tc>
      </w:tr>
    </w:tbl>
    <w:p w:rsidR="007D3698" w:rsidRPr="00930809" w:rsidRDefault="007D3698" w:rsidP="007D3698">
      <w:pPr>
        <w:rPr>
          <w:noProof/>
          <w:lang w:val="fr-BE"/>
        </w:rPr>
      </w:pPr>
    </w:p>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19</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50</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(50)</w:t>
            </w:r>
            <w:r w:rsidRPr="00810763">
              <w:tab/>
              <w:t xml:space="preserve">Afin d’assurer un équilibre approprié entre, d’une part, la mise en œuvre efficace et efficiente des Fonds et, </w:t>
            </w:r>
            <w:r w:rsidRPr="00810763">
              <w:lastRenderedPageBreak/>
              <w:t>d’autre part, les coûts et charges administratifs associés, il convient de fonder la fréquence, la portée et le champ d’application des vérifications de gestion sur une évaluation des risques tenant compte de facteurs tels que le type d’opérations mises en œuvre, les bénéficiaires ainsi que le niveau de risque mis en évidence par les précédents audits et vérifications de gestion.</w:t>
            </w:r>
          </w:p>
        </w:tc>
        <w:tc>
          <w:tcPr>
            <w:tcW w:w="4876" w:type="dxa"/>
            <w:hideMark/>
          </w:tcPr>
          <w:p w:rsidR="007D3698" w:rsidRPr="00810763" w:rsidRDefault="007D3698" w:rsidP="0097579A">
            <w:pPr>
              <w:pStyle w:val="Normal6"/>
              <w:rPr>
                <w:noProof/>
                <w:szCs w:val="24"/>
              </w:rPr>
            </w:pPr>
            <w:r w:rsidRPr="00810763">
              <w:lastRenderedPageBreak/>
              <w:t>(50)</w:t>
            </w:r>
            <w:r w:rsidRPr="00810763">
              <w:tab/>
              <w:t xml:space="preserve">Afin d’assurer un équilibre approprié entre, d’une part, la mise en œuvre efficace et efficiente des Fonds et, </w:t>
            </w:r>
            <w:r w:rsidRPr="00810763">
              <w:lastRenderedPageBreak/>
              <w:t xml:space="preserve">d’autre part, les coûts et charges administratifs associés, il convient de fonder la fréquence, la portée et le champ d’application des vérifications de gestion sur une évaluation des risques tenant compte de facteurs tels que le type d’opérations mises en œuvre, les bénéficiaires ainsi que le niveau de risque mis en évidence par les précédents audits et vérifications de gestion. </w:t>
            </w:r>
            <w:r w:rsidRPr="00810763">
              <w:rPr>
                <w:b/>
                <w:i/>
              </w:rPr>
              <w:t>Le principe de proportionnalité devrait prévaloir dans la gestion et le contrôle des Fonds, en fonction du niveau de risque pour le budget de l’Union</w:t>
            </w:r>
          </w:p>
        </w:tc>
      </w:tr>
    </w:tbl>
    <w:p w:rsidR="007D3698" w:rsidRPr="007D3698" w:rsidRDefault="007D3698" w:rsidP="007D3698">
      <w:pPr>
        <w:rPr>
          <w:noProof/>
        </w:rPr>
      </w:pPr>
      <w:r w:rsidRPr="00930809">
        <w:rPr>
          <w:rStyle w:val="HideTWBExt"/>
          <w:lang w:val="fr-BE"/>
        </w:rPr>
        <w:lastRenderedPageBreak/>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20</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60</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(60)</w:t>
            </w:r>
            <w:r w:rsidRPr="00810763">
              <w:tab/>
              <w:t xml:space="preserve">Pour concourir aux objectifs du TFUE en matière de cohésion économique, sociale et territoriale, l’objectif «Investissement pour l’emploi </w:t>
            </w:r>
            <w:r w:rsidRPr="00810763">
              <w:rPr>
                <w:b/>
                <w:i/>
              </w:rPr>
              <w:t>et</w:t>
            </w:r>
            <w:r w:rsidRPr="00810763">
              <w:t xml:space="preserve"> la croissance» devrait soutenir toutes les régions. Pour fournir un soutien équilibré et progressif et refléter le niveau de développement économique et social, les ressources octroyées au titre de cet objectif devraient être attribuées par le FEDER et le FSE+ sur la base d’une clé de répartition essentiellement fondée sur le PIB par habitant. Les États membres dont le revenu national brut (RNB) par habitant est inférieur à 90 % de celui de la moyenne de l’Union devraient bénéficier du Fonds de cohésion au titre de l’objectif «Investissement pour l’emploi </w:t>
            </w:r>
            <w:r w:rsidRPr="00810763">
              <w:rPr>
                <w:b/>
                <w:i/>
              </w:rPr>
              <w:t>et</w:t>
            </w:r>
            <w:r w:rsidRPr="00810763">
              <w:t xml:space="preserve"> la croissance».</w:t>
            </w:r>
          </w:p>
        </w:tc>
        <w:tc>
          <w:tcPr>
            <w:tcW w:w="4876" w:type="dxa"/>
            <w:hideMark/>
          </w:tcPr>
          <w:p w:rsidR="007D3698" w:rsidRPr="00810763" w:rsidRDefault="007D3698" w:rsidP="0097579A">
            <w:pPr>
              <w:pStyle w:val="Normal6"/>
              <w:rPr>
                <w:noProof/>
                <w:szCs w:val="24"/>
              </w:rPr>
            </w:pPr>
            <w:r w:rsidRPr="00810763">
              <w:t>(60)</w:t>
            </w:r>
            <w:r w:rsidRPr="00810763">
              <w:tab/>
              <w:t>Pour concourir aux objectifs du TFUE en matière de cohésion économique, sociale et territoriale, l’objectif «Investissement pour l’emploi</w:t>
            </w:r>
            <w:r w:rsidRPr="00810763">
              <w:rPr>
                <w:b/>
                <w:i/>
              </w:rPr>
              <w:t>,</w:t>
            </w:r>
            <w:r w:rsidRPr="00810763">
              <w:t xml:space="preserve"> la croissance</w:t>
            </w:r>
            <w:r w:rsidRPr="00810763">
              <w:rPr>
                <w:b/>
                <w:i/>
              </w:rPr>
              <w:t>, l’inclusion sociale et la convergence ascendante</w:t>
            </w:r>
            <w:r w:rsidRPr="00810763">
              <w:t xml:space="preserve">» devrait soutenir toutes les régions </w:t>
            </w:r>
            <w:r w:rsidRPr="00810763">
              <w:rPr>
                <w:b/>
                <w:i/>
              </w:rPr>
              <w:t>et contribuer à garantir des services publics appropriés en améliorant les perspectives individuelles et professionnelles dans la zone</w:t>
            </w:r>
            <w:r w:rsidRPr="00810763">
              <w:t>. Pour fournir un soutien équilibré et progressif et refléter le niveau de développement économique et social, les ressources octroyées au titre de cet objectif devraient être attribuées par le FEDER et le FSE+ sur la base d’une clé de répartition essentiellement fondée sur le PIB par habitant. Les États membres dont le revenu national brut (RNB) par habitant est inférieur à 90 % de celui de la moyenne de l’Union devraient bénéficier du Fonds de cohésion au titre de l’objectif «Investissement pour l’emploi</w:t>
            </w:r>
            <w:r w:rsidRPr="00810763">
              <w:rPr>
                <w:b/>
                <w:i/>
              </w:rPr>
              <w:t>,</w:t>
            </w:r>
            <w:r w:rsidRPr="00810763">
              <w:t xml:space="preserve"> la croissance</w:t>
            </w:r>
            <w:r w:rsidRPr="00810763">
              <w:rPr>
                <w:b/>
                <w:i/>
              </w:rPr>
              <w:t>, l’inclusion sociale et la convergence ascendante</w:t>
            </w:r>
            <w:r w:rsidRPr="00810763">
              <w:t>».</w:t>
            </w:r>
          </w:p>
        </w:tc>
      </w:tr>
    </w:tbl>
    <w:p w:rsidR="007D3698" w:rsidRPr="007D3698" w:rsidRDefault="007D3698" w:rsidP="007D3698">
      <w:pPr>
        <w:rPr>
          <w:noProof/>
        </w:rPr>
      </w:pPr>
      <w:r w:rsidRPr="00930809">
        <w:rPr>
          <w:rStyle w:val="HideTWBExt"/>
          <w:lang w:val="fr-BE"/>
        </w:rPr>
        <w:lastRenderedPageBreak/>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21</w:t>
      </w:r>
      <w:r w:rsidRPr="00930809">
        <w:rPr>
          <w:rStyle w:val="HideTWBExt"/>
          <w:b w:val="0"/>
          <w:szCs w:val="24"/>
          <w:lang w:val="fr-BE"/>
        </w:rPr>
        <w:t>&lt;/NumAm&gt;</w:t>
      </w:r>
    </w:p>
    <w:p w:rsidR="007D3698" w:rsidRPr="007D3698" w:rsidRDefault="007D3698" w:rsidP="007D3698">
      <w:pPr>
        <w:pStyle w:val="NormalBold12b"/>
        <w:keepNext/>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60 bis (nouveau)</w:t>
      </w:r>
      <w:r>
        <w:rPr>
          <w:rStyle w:val="HideTWBExt"/>
          <w:b w:val="0"/>
          <w:szCs w:val="24"/>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tcPr>
          <w:p w:rsidR="007D3698" w:rsidRPr="00810763" w:rsidRDefault="007D3698" w:rsidP="0097579A">
            <w:pPr>
              <w:pStyle w:val="ColumnHeading"/>
              <w:keepNext/>
              <w:rPr>
                <w:noProof/>
              </w:rPr>
            </w:pPr>
            <w:r w:rsidRPr="00810763">
              <w:t>Texte proposé par la Commission</w:t>
            </w:r>
          </w:p>
        </w:tc>
        <w:tc>
          <w:tcPr>
            <w:tcW w:w="4876" w:type="dxa"/>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p>
        </w:tc>
        <w:tc>
          <w:tcPr>
            <w:tcW w:w="4876" w:type="dxa"/>
          </w:tcPr>
          <w:p w:rsidR="007D3698" w:rsidRPr="00810763" w:rsidRDefault="007D3698" w:rsidP="0097579A">
            <w:pPr>
              <w:pStyle w:val="Normal6"/>
              <w:rPr>
                <w:noProof/>
                <w:szCs w:val="24"/>
              </w:rPr>
            </w:pPr>
            <w:r w:rsidRPr="00810763">
              <w:rPr>
                <w:b/>
                <w:i/>
              </w:rPr>
              <w:t>(60 bis)</w:t>
            </w:r>
            <w:r w:rsidRPr="00810763">
              <w:rPr>
                <w:b/>
                <w:i/>
              </w:rPr>
              <w:tab/>
              <w:t>Le socle européen des droits sociaux, qui définit des obligations pour les États membres en matière de protection sociale, d’inclusion sociale, de conditions de travail décentes, d’égalité des chances et d’accès au marché du travail, a été proclamé par les institutions européennes. Les objectifs d’investissement pour l’emploi, la croissance et l’inclusion sociale tels que définis dans le présent règlement devraient contribuer au respect des droits et des principes contenus dans le socle.</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22</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61</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(61)</w:t>
            </w:r>
            <w:r w:rsidRPr="00810763">
              <w:tab/>
              <w:t>Il convient d’établir des critères objectifs pour la désignation des régions et des zones éligibles au soutien des Fonds. À cette fin, il y a lieu de fonder l’identification des régions et zones au niveau de l’Union sur le système commun de classification des régions établi par le règlement (CE) nº 1059/2003 du Parlement européen et du Conseil</w:t>
            </w:r>
            <w:r w:rsidRPr="00810763">
              <w:rPr>
                <w:vertAlign w:val="superscript"/>
              </w:rPr>
              <w:t>23</w:t>
            </w:r>
            <w:r w:rsidRPr="00810763">
              <w:t xml:space="preserve">, modifié par </w:t>
            </w:r>
            <w:r w:rsidRPr="00810763">
              <w:rPr>
                <w:b/>
                <w:i/>
              </w:rPr>
              <w:t>le règlement</w:t>
            </w:r>
            <w:r w:rsidRPr="00810763">
              <w:t xml:space="preserve"> (</w:t>
            </w:r>
            <w:r w:rsidRPr="00810763">
              <w:rPr>
                <w:b/>
                <w:i/>
              </w:rPr>
              <w:t>CE</w:t>
            </w:r>
            <w:r w:rsidRPr="00810763">
              <w:t xml:space="preserve">) </w:t>
            </w:r>
            <w:r w:rsidRPr="00810763">
              <w:rPr>
                <w:b/>
                <w:i/>
              </w:rPr>
              <w:t>nº</w:t>
            </w:r>
            <w:r w:rsidRPr="00810763">
              <w:t> 868/</w:t>
            </w:r>
            <w:r w:rsidRPr="00810763">
              <w:rPr>
                <w:b/>
                <w:i/>
              </w:rPr>
              <w:t>2014</w:t>
            </w:r>
            <w:r w:rsidRPr="00810763">
              <w:t xml:space="preserve"> de la Commission</w:t>
            </w:r>
            <w:r w:rsidRPr="00810763">
              <w:rPr>
                <w:vertAlign w:val="superscript"/>
              </w:rPr>
              <w:t>24</w:t>
            </w:r>
            <w:r w:rsidRPr="00810763">
              <w:t>.</w:t>
            </w:r>
          </w:p>
        </w:tc>
        <w:tc>
          <w:tcPr>
            <w:tcW w:w="4876" w:type="dxa"/>
            <w:hideMark/>
          </w:tcPr>
          <w:p w:rsidR="007D3698" w:rsidRPr="00810763" w:rsidRDefault="007D3698" w:rsidP="0097579A">
            <w:pPr>
              <w:pStyle w:val="Normal6"/>
              <w:rPr>
                <w:noProof/>
                <w:szCs w:val="24"/>
              </w:rPr>
            </w:pPr>
            <w:r w:rsidRPr="00810763">
              <w:t>(61)</w:t>
            </w:r>
            <w:r w:rsidRPr="00810763">
              <w:tab/>
              <w:t>Il convient d’établir des critères objectifs pour la désignation des régions et des zones éligibles au soutien des Fonds. À cette fin, il y a lieu de fonder l’identification des régions et zones au niveau de l’Union sur le système commun de classification des régions établi par le règlement (CE) nº 1059/2003 du Parlement européen et du Conseil</w:t>
            </w:r>
            <w:r w:rsidRPr="00810763">
              <w:rPr>
                <w:vertAlign w:val="superscript"/>
              </w:rPr>
              <w:t>23</w:t>
            </w:r>
            <w:r w:rsidRPr="00810763">
              <w:t xml:space="preserve">, modifié par </w:t>
            </w:r>
            <w:r w:rsidRPr="00810763">
              <w:rPr>
                <w:b/>
                <w:i/>
              </w:rPr>
              <w:t>les règlements</w:t>
            </w:r>
            <w:r w:rsidRPr="00810763">
              <w:t xml:space="preserve"> (</w:t>
            </w:r>
            <w:r w:rsidRPr="00810763">
              <w:rPr>
                <w:b/>
                <w:i/>
              </w:rPr>
              <w:t>UE</w:t>
            </w:r>
            <w:r w:rsidRPr="00810763">
              <w:t xml:space="preserve">) </w:t>
            </w:r>
            <w:r w:rsidRPr="00810763">
              <w:rPr>
                <w:b/>
                <w:i/>
              </w:rPr>
              <w:t>n</w:t>
            </w:r>
            <w:r w:rsidRPr="00810763">
              <w:rPr>
                <w:b/>
                <w:i/>
                <w:vertAlign w:val="superscript"/>
              </w:rPr>
              <w:t>o</w:t>
            </w:r>
            <w:r w:rsidRPr="00810763">
              <w:t> 868/</w:t>
            </w:r>
            <w:r w:rsidRPr="00810763">
              <w:rPr>
                <w:b/>
                <w:i/>
              </w:rPr>
              <w:t>2014</w:t>
            </w:r>
            <w:r w:rsidRPr="00810763">
              <w:rPr>
                <w:b/>
                <w:i/>
                <w:vertAlign w:val="superscript"/>
              </w:rPr>
              <w:t>24</w:t>
            </w:r>
            <w:r w:rsidRPr="00810763">
              <w:rPr>
                <w:b/>
                <w:i/>
              </w:rPr>
              <w:t xml:space="preserve"> et (UE) nº 2016/2066</w:t>
            </w:r>
            <w:r w:rsidRPr="00810763">
              <w:t xml:space="preserve"> de la Commission</w:t>
            </w:r>
            <w:r w:rsidRPr="00810763">
              <w:rPr>
                <w:vertAlign w:val="superscript"/>
              </w:rPr>
              <w:t>24</w:t>
            </w:r>
            <w:r w:rsidRPr="00810763">
              <w:rPr>
                <w:b/>
                <w:i/>
                <w:vertAlign w:val="superscript"/>
              </w:rPr>
              <w:t> bis</w:t>
            </w:r>
            <w:r w:rsidRPr="00810763">
              <w:t>.</w:t>
            </w:r>
          </w:p>
        </w:tc>
      </w:tr>
      <w:tr w:rsidR="007D3698" w:rsidRPr="00AA1077" w:rsidTr="0097579A">
        <w:trPr>
          <w:jc w:val="center"/>
        </w:trPr>
        <w:tc>
          <w:tcPr>
            <w:tcW w:w="4876" w:type="dxa"/>
            <w:hideMark/>
          </w:tcPr>
          <w:p w:rsidR="007D3698" w:rsidRPr="00810763" w:rsidRDefault="007D3698" w:rsidP="0097579A">
            <w:pPr>
              <w:pStyle w:val="Normal6"/>
              <w:rPr>
                <w:noProof/>
              </w:rPr>
            </w:pPr>
            <w:r w:rsidRPr="00810763">
              <w:t>__________________</w:t>
            </w:r>
          </w:p>
        </w:tc>
        <w:tc>
          <w:tcPr>
            <w:tcW w:w="4876" w:type="dxa"/>
            <w:hideMark/>
          </w:tcPr>
          <w:p w:rsidR="007D3698" w:rsidRPr="00810763" w:rsidRDefault="007D3698" w:rsidP="0097579A">
            <w:pPr>
              <w:pStyle w:val="Normal6"/>
              <w:rPr>
                <w:noProof/>
                <w:szCs w:val="24"/>
              </w:rPr>
            </w:pPr>
            <w:r w:rsidRPr="00810763">
              <w:t>__________________</w:t>
            </w:r>
          </w:p>
        </w:tc>
      </w:tr>
      <w:tr w:rsidR="007D3698" w:rsidRPr="007D3698" w:rsidTr="0097579A">
        <w:trPr>
          <w:jc w:val="center"/>
        </w:trPr>
        <w:tc>
          <w:tcPr>
            <w:tcW w:w="4876" w:type="dxa"/>
            <w:hideMark/>
          </w:tcPr>
          <w:p w:rsidR="007D3698" w:rsidRPr="00810763" w:rsidRDefault="007D3698" w:rsidP="0097579A">
            <w:pPr>
              <w:pStyle w:val="Normal6"/>
              <w:rPr>
                <w:noProof/>
                <w:szCs w:val="24"/>
              </w:rPr>
            </w:pPr>
            <w:r w:rsidRPr="00810763">
              <w:rPr>
                <w:szCs w:val="24"/>
                <w:vertAlign w:val="superscript"/>
              </w:rPr>
              <w:t>23</w:t>
            </w:r>
            <w:r w:rsidRPr="00810763">
              <w:rPr>
                <w:szCs w:val="24"/>
              </w:rPr>
              <w:t xml:space="preserve"> Règlement (CE) nº 1059/2003 du Parlement européen et du Conseil du 26 mai 2003 relatif à l’établissement d’une nomenclature commune des unités territoriales statistiques (NUTS) (JO L 154 </w:t>
            </w:r>
            <w:r w:rsidRPr="00810763">
              <w:rPr>
                <w:szCs w:val="24"/>
              </w:rPr>
              <w:lastRenderedPageBreak/>
              <w:t>du 21.6.2003, p. 1).</w:t>
            </w:r>
          </w:p>
        </w:tc>
        <w:tc>
          <w:tcPr>
            <w:tcW w:w="4876" w:type="dxa"/>
            <w:hideMark/>
          </w:tcPr>
          <w:p w:rsidR="007D3698" w:rsidRPr="00810763" w:rsidRDefault="007D3698" w:rsidP="0097579A">
            <w:pPr>
              <w:pStyle w:val="Normal6"/>
              <w:rPr>
                <w:noProof/>
                <w:szCs w:val="24"/>
              </w:rPr>
            </w:pPr>
            <w:r w:rsidRPr="00810763">
              <w:rPr>
                <w:szCs w:val="24"/>
                <w:vertAlign w:val="superscript"/>
              </w:rPr>
              <w:lastRenderedPageBreak/>
              <w:t>23</w:t>
            </w:r>
            <w:r w:rsidRPr="00810763">
              <w:rPr>
                <w:szCs w:val="24"/>
              </w:rPr>
              <w:t xml:space="preserve"> Règlement (CE) nº 1059/2003 du Parlement européen et du Conseil du 26 mai 2003 relatif à l’établissement d’une nomenclature commune des unités territoriales statistiques (NUTS) (JO L 154 </w:t>
            </w:r>
            <w:r w:rsidRPr="00810763">
              <w:rPr>
                <w:szCs w:val="24"/>
              </w:rPr>
              <w:lastRenderedPageBreak/>
              <w:t>du 21.6.2003, p. 1).</w:t>
            </w:r>
          </w:p>
        </w:tc>
      </w:tr>
      <w:tr w:rsidR="007D3698" w:rsidRPr="007D3698" w:rsidTr="0097579A">
        <w:trPr>
          <w:jc w:val="center"/>
        </w:trPr>
        <w:tc>
          <w:tcPr>
            <w:tcW w:w="4876" w:type="dxa"/>
            <w:hideMark/>
          </w:tcPr>
          <w:p w:rsidR="007D3698" w:rsidRPr="00810763" w:rsidRDefault="007D3698" w:rsidP="0097579A">
            <w:pPr>
              <w:pStyle w:val="Normal6"/>
              <w:rPr>
                <w:b/>
                <w:noProof/>
                <w:szCs w:val="24"/>
              </w:rPr>
            </w:pPr>
            <w:r w:rsidRPr="00810763">
              <w:rPr>
                <w:szCs w:val="24"/>
                <w:vertAlign w:val="superscript"/>
              </w:rPr>
              <w:lastRenderedPageBreak/>
              <w:t>24</w:t>
            </w:r>
            <w:r w:rsidRPr="00810763">
              <w:rPr>
                <w:szCs w:val="24"/>
              </w:rPr>
              <w:t xml:space="preserve"> Règlement (UE) nº 868/2014 de la Commission du 8</w:t>
            </w:r>
            <w:r w:rsidRPr="00810763">
              <w:rPr>
                <w:b/>
                <w:i/>
                <w:szCs w:val="24"/>
              </w:rPr>
              <w:t> </w:t>
            </w:r>
            <w:r w:rsidRPr="00810763">
              <w:rPr>
                <w:szCs w:val="24"/>
              </w:rPr>
              <w:t>août 2014 modifiant les annexes du règlement (CE) nº 1059/2003 du Parlement européen et du Conseil relatif à l’établissement d’une nomenclature commune des unités territoriales statistiques (NUTS) (JO L 241 du 13.8.2014, p. 1).</w:t>
            </w:r>
          </w:p>
        </w:tc>
        <w:tc>
          <w:tcPr>
            <w:tcW w:w="4876" w:type="dxa"/>
            <w:hideMark/>
          </w:tcPr>
          <w:p w:rsidR="007D3698" w:rsidRPr="00810763" w:rsidRDefault="007D3698" w:rsidP="0097579A">
            <w:pPr>
              <w:pStyle w:val="Normal6"/>
              <w:rPr>
                <w:b/>
                <w:noProof/>
                <w:szCs w:val="24"/>
              </w:rPr>
            </w:pPr>
            <w:r w:rsidRPr="00810763">
              <w:rPr>
                <w:szCs w:val="24"/>
                <w:vertAlign w:val="superscript"/>
              </w:rPr>
              <w:t>24</w:t>
            </w:r>
            <w:r w:rsidRPr="00810763">
              <w:rPr>
                <w:szCs w:val="24"/>
              </w:rPr>
              <w:t xml:space="preserve"> Règlement (UE) nº 868/2014 de la Commission du 8</w:t>
            </w:r>
            <w:r w:rsidRPr="00810763">
              <w:rPr>
                <w:b/>
                <w:i/>
                <w:szCs w:val="24"/>
              </w:rPr>
              <w:t xml:space="preserve"> </w:t>
            </w:r>
            <w:r w:rsidRPr="00810763">
              <w:rPr>
                <w:szCs w:val="24"/>
              </w:rPr>
              <w:t>août 2014 modifiant les annexes du règlement (CE) nº 1059/2003 du Parlement européen et du Conseil relatif à l’établissement d’une nomenclature commune des unités territoriales statistiques (NUTS) (JO L 241 du 13.8.2014, p. 1).</w:t>
            </w:r>
          </w:p>
        </w:tc>
      </w:tr>
      <w:tr w:rsidR="007D3698" w:rsidRPr="007D3698" w:rsidTr="0097579A">
        <w:trPr>
          <w:jc w:val="center"/>
        </w:trPr>
        <w:tc>
          <w:tcPr>
            <w:tcW w:w="4876" w:type="dxa"/>
          </w:tcPr>
          <w:p w:rsidR="007D3698" w:rsidRPr="00930809" w:rsidRDefault="007D3698" w:rsidP="0097579A">
            <w:pPr>
              <w:pStyle w:val="Normal6"/>
              <w:rPr>
                <w:b/>
                <w:bCs/>
                <w:i/>
                <w:iCs/>
                <w:noProof/>
                <w:lang w:val="fr-BE"/>
              </w:rPr>
            </w:pPr>
          </w:p>
        </w:tc>
        <w:tc>
          <w:tcPr>
            <w:tcW w:w="4876" w:type="dxa"/>
          </w:tcPr>
          <w:p w:rsidR="007D3698" w:rsidRPr="00810763" w:rsidRDefault="007D3698" w:rsidP="0097579A">
            <w:pPr>
              <w:pStyle w:val="Normal6"/>
              <w:rPr>
                <w:b/>
                <w:bCs/>
                <w:i/>
                <w:iCs/>
                <w:noProof/>
              </w:rPr>
            </w:pPr>
            <w:r w:rsidRPr="00810763">
              <w:rPr>
                <w:b/>
                <w:bCs/>
                <w:i/>
                <w:iCs/>
                <w:vertAlign w:val="superscript"/>
              </w:rPr>
              <w:t>24 bis</w:t>
            </w:r>
            <w:r w:rsidRPr="00810763">
              <w:rPr>
                <w:b/>
                <w:bCs/>
                <w:i/>
                <w:iCs/>
              </w:rPr>
              <w:t xml:space="preserve"> Règlement (UE) nº 2016/2066 de la Commission du 21 novembre 2016 modifiant les annexes du règlement (CE) nº 1059/2003 du Parlement européen et du Conseil relatif à l’établissement d’une nomenclature commune des unités territoriales statistiques (NUTS) (JO L 322 du 29.11.2016, p. 1).</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23</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62</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(62)</w:t>
            </w:r>
            <w:r w:rsidRPr="00810763">
              <w:tab/>
              <w:t xml:space="preserve">Pour mettre en place un cadre financier adéquat pour le FEDER, le FSE+ et le Fonds de cohésion, il convient que la Commission établisse la ventilation annuelle des dotations disponibles par État membre au titre de l’objectif «Investissement pour l’emploi </w:t>
            </w:r>
            <w:r w:rsidRPr="00810763">
              <w:rPr>
                <w:b/>
                <w:i/>
              </w:rPr>
              <w:t>et</w:t>
            </w:r>
            <w:r w:rsidRPr="00810763">
              <w:t xml:space="preserve"> la croissance», accompagnée de la liste des régions éligibles, ainsi que celle des dotations au titre de l’objectif «Coopération territoriale européenne» (Interreg). Étant donné que les dotations nationales des États membres devraient être établies sur la base des données statistiques et des prévisions disponibles en 2018 et compte tenu des incertitudes des prévisions, il convient que la Commission procède au réexamen des montants totaux alloués à tous les États membres en 2024 sur la base des statistiques les plus récentes disponibles à ce moment-là et, s’il y a une divergence cumulative de +/- 5 %, adapte </w:t>
            </w:r>
            <w:r w:rsidRPr="00810763">
              <w:lastRenderedPageBreak/>
              <w:t>ces dotations pour les années 2025 à 2027 afin que les résultats de l’examen à mi-parcours et de l’exercice d’ajustement technique se reflètent dans les modifications apportées aux programmes à ce moment-là.</w:t>
            </w:r>
          </w:p>
        </w:tc>
        <w:tc>
          <w:tcPr>
            <w:tcW w:w="4876" w:type="dxa"/>
            <w:hideMark/>
          </w:tcPr>
          <w:p w:rsidR="007D3698" w:rsidRPr="00810763" w:rsidRDefault="007D3698" w:rsidP="0097579A">
            <w:pPr>
              <w:pStyle w:val="Normal6"/>
              <w:rPr>
                <w:noProof/>
                <w:szCs w:val="24"/>
              </w:rPr>
            </w:pPr>
            <w:r w:rsidRPr="00810763">
              <w:lastRenderedPageBreak/>
              <w:t>(62)</w:t>
            </w:r>
            <w:r w:rsidRPr="00810763">
              <w:tab/>
              <w:t>Pour mettre en place un cadre financier adéquat pour le FEDER, le FSE+ et le Fonds de cohésion, il convient que la Commission établisse la ventilation annuelle des dotations disponibles par État membre au titre de l’objectif «Investissement pour l’emploi</w:t>
            </w:r>
            <w:r w:rsidRPr="00810763">
              <w:rPr>
                <w:b/>
                <w:i/>
              </w:rPr>
              <w:t>,</w:t>
            </w:r>
            <w:r w:rsidRPr="00810763">
              <w:t xml:space="preserve"> la croissance</w:t>
            </w:r>
            <w:r w:rsidRPr="00810763">
              <w:rPr>
                <w:b/>
                <w:i/>
              </w:rPr>
              <w:t>, l’inclusion sociale et la convergence ascendante</w:t>
            </w:r>
            <w:r w:rsidRPr="00810763">
              <w:t xml:space="preserve">», accompagnée de la liste des régions éligibles, ainsi que celle des dotations au titre de l’objectif «Coopération territoriale européenne» (Interreg). Étant donné que les dotations nationales des États membres devraient être établies sur la base des données statistiques et des prévisions disponibles en 2018 et compte tenu des incertitudes des prévisions, il convient que la Commission procède au réexamen des montants totaux alloués à tous les États membres en 2024 sur la base des statistiques les plus récentes disponibles à ce moment-là et, s’il y a une </w:t>
            </w:r>
            <w:r w:rsidRPr="00810763">
              <w:lastRenderedPageBreak/>
              <w:t>divergence cumulative de +/- 5 %, adapte ces dotations pour les années 2025 à 2027 afin que les résultats de l’examen à mi-parcours et de l’exercice d’ajustement technique se reflètent dans les modifications apportées aux programmes à ce moment-là.</w:t>
            </w:r>
          </w:p>
        </w:tc>
      </w:tr>
    </w:tbl>
    <w:p w:rsidR="007D3698" w:rsidRPr="007D3698" w:rsidRDefault="007D3698" w:rsidP="007D3698">
      <w:pPr>
        <w:rPr>
          <w:noProof/>
        </w:rPr>
      </w:pPr>
      <w:r w:rsidRPr="00930809">
        <w:rPr>
          <w:rStyle w:val="HideTWBExt"/>
          <w:lang w:val="fr-BE"/>
        </w:rPr>
        <w:lastRenderedPageBreak/>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24</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Considérant 73</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(73)</w:t>
            </w:r>
            <w:r w:rsidRPr="00810763">
              <w:tab/>
              <w:t xml:space="preserve">Les objectifs du présent règlement, qui consistent à renforcer la cohésion économique, sociale et territoriale et à établir des règles financières communes pour la part du budget de l’Union mise en œuvre dans le cadre de la gestion partagée, ne peuvent pas être réalisés de manière suffisante par les États membres en raison, d’une part, de l’importance des disparités entre les niveaux de développement des diverses régions et </w:t>
            </w:r>
            <w:r w:rsidRPr="00810763">
              <w:rPr>
                <w:b/>
                <w:i/>
              </w:rPr>
              <w:t>du retard</w:t>
            </w:r>
            <w:r w:rsidRPr="00810763">
              <w:t xml:space="preserve"> des régions les moins favorisées, ainsi que des ressources financières limitées des États membres et des régions, et, d’autre part, de la nécessité d’un cadre de mise en œuvre cohérent couvrant plusieurs fonds de l’Union en gestion partagée. Étant donné que ces objectifs peuvent, dès lors, être mieux réalisés au niveau de l’Union, cette dernière peut prendre des mesures conformément au principe de subsidiarité consacré à l’article 5 du TUE. Conformément au principe de proportionnalité tel qu’énoncé audit article, le présent règlement n’excède pas ce qui est nécessaire pour atteindre ces objectifs.</w:t>
            </w:r>
          </w:p>
        </w:tc>
        <w:tc>
          <w:tcPr>
            <w:tcW w:w="4876" w:type="dxa"/>
            <w:hideMark/>
          </w:tcPr>
          <w:p w:rsidR="007D3698" w:rsidRPr="00810763" w:rsidRDefault="007D3698" w:rsidP="0097579A">
            <w:pPr>
              <w:pStyle w:val="Normal6"/>
              <w:rPr>
                <w:noProof/>
                <w:szCs w:val="24"/>
              </w:rPr>
            </w:pPr>
            <w:r w:rsidRPr="00810763">
              <w:t>(73)</w:t>
            </w:r>
            <w:r w:rsidRPr="00810763">
              <w:tab/>
              <w:t xml:space="preserve">Les objectifs du présent règlement, qui consistent à renforcer la cohésion économique, sociale et territoriale et à établir des règles financières communes pour la part du budget de l’Union mise en œuvre dans le cadre de la gestion partagée, ne peuvent pas être réalisés de manière suffisante par les États membres en raison, d’une part, de l’importance des disparités entre les niveaux de développement des diverses régions et </w:t>
            </w:r>
            <w:r w:rsidRPr="00810763">
              <w:rPr>
                <w:b/>
                <w:i/>
              </w:rPr>
              <w:t>des problèmes spécifiques</w:t>
            </w:r>
            <w:r w:rsidRPr="00810763">
              <w:t xml:space="preserve"> des régions les moins favorisées, ainsi que des ressources financières limitées des États membres et des régions, et, d’autre part, de la nécessité d’un cadre de mise en œuvre cohérent couvrant plusieurs fonds de l’Union en gestion partagée. Étant donné que ces objectifs peuvent, dès lors, être mieux réalisés au niveau de l’Union, cette dernière peut prendre des mesures conformément au principe de subsidiarité consacré à l’article 5 du TUE. Conformément au principe de proportionnalité tel qu’énoncé audit article, le présent règlement n’excède pas ce qui est nécessaire pour atteindre ces objectifs.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25</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F15B66" w:rsidRDefault="007D3698" w:rsidP="007D3698">
      <w:pPr>
        <w:pStyle w:val="NormalBold"/>
        <w:rPr>
          <w:noProof/>
        </w:rPr>
      </w:pPr>
      <w:r>
        <w:rPr>
          <w:rStyle w:val="HideTWBExt"/>
          <w:b w:val="0"/>
          <w:szCs w:val="24"/>
        </w:rPr>
        <w:t>&lt;Article&gt;</w:t>
      </w:r>
      <w:r w:rsidRPr="00810763">
        <w:t>Article 2 – alinéa 1 – point 37</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F15B66"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rPr>
                <w:b/>
                <w:i/>
              </w:rPr>
              <w:t>(</w:t>
            </w:r>
            <w:r w:rsidRPr="00810763">
              <w:t>37)</w:t>
            </w:r>
            <w:r w:rsidRPr="00810763">
              <w:tab/>
              <w:t>«résilience au changement climatique»: un processus visant à g</w:t>
            </w:r>
            <w:bookmarkStart w:id="1" w:name="_GoBack"/>
            <w:bookmarkEnd w:id="1"/>
            <w:r w:rsidRPr="00810763">
              <w:t>arantir que l’infrastructure est résiliente face aux effets néfastes du climat conformément aux règles et aux orientations nationales, si elles existent, ou aux normes reconnues au niveau international.</w:t>
            </w:r>
          </w:p>
        </w:tc>
        <w:tc>
          <w:tcPr>
            <w:tcW w:w="4876" w:type="dxa"/>
            <w:hideMark/>
          </w:tcPr>
          <w:p w:rsidR="007D3698" w:rsidRPr="00810763" w:rsidRDefault="007D3698" w:rsidP="0097579A">
            <w:pPr>
              <w:pStyle w:val="Normal6"/>
              <w:rPr>
                <w:noProof/>
                <w:szCs w:val="24"/>
              </w:rPr>
            </w:pPr>
            <w:r w:rsidRPr="00810763">
              <w:t>37)</w:t>
            </w:r>
            <w:r w:rsidRPr="00810763">
              <w:tab/>
              <w:t>«résilience au changement climatique»: un processus visant à garantir que l’infrastructure est résiliente face aux effets néfastes du climat conformément aux règles et aux orientations nationales, si elles existent, ou aux normes reconnues au niveau international</w:t>
            </w:r>
            <w:r w:rsidRPr="00810763">
              <w:rPr>
                <w:b/>
                <w:i/>
              </w:rPr>
              <w:t>, et que les investissements dans les infrastructures appliquent le principe de primauté de l’efficacité énergétique</w:t>
            </w:r>
            <w:r w:rsidRPr="00810763">
              <w:t>.</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26</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2 – alinéa 1 – point 37 bis (nouveau)</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p>
        </w:tc>
        <w:tc>
          <w:tcPr>
            <w:tcW w:w="4876" w:type="dxa"/>
            <w:hideMark/>
          </w:tcPr>
          <w:p w:rsidR="007D3698" w:rsidRPr="00810763" w:rsidRDefault="007D3698" w:rsidP="0097579A">
            <w:pPr>
              <w:pStyle w:val="Normal6"/>
              <w:rPr>
                <w:noProof/>
                <w:szCs w:val="24"/>
              </w:rPr>
            </w:pPr>
            <w:r w:rsidRPr="00810763">
              <w:rPr>
                <w:b/>
                <w:i/>
              </w:rPr>
              <w:t>(37 bis)</w:t>
            </w:r>
            <w:r w:rsidRPr="00810763">
              <w:rPr>
                <w:b/>
                <w:i/>
              </w:rPr>
              <w:tab/>
              <w:t>«compatibilité avec l’environnement et la biodiversité»: un processus structuré visant à garantir l’application effective d’outils permettant d’éviter les effets néfastes des dépenses de l’Union et d’en maximiser les avantages sur l’état de l’environnement et de la biodiversité de l’Union, sur la base du cadre commun pour compatibilité du budget de l’Union avec la biodiversité de la Commission, et conformément aux règles et orientations nationales, lorsqu’elles sont disponibles, ou aux normes internationalement reconnues.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27</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4 – paragraphe 1 – partie introductive</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AA1077" w:rsidTr="0097579A">
        <w:trPr>
          <w:jc w:val="center"/>
        </w:trPr>
        <w:tc>
          <w:tcPr>
            <w:tcW w:w="4876" w:type="dxa"/>
            <w:hideMark/>
          </w:tcPr>
          <w:p w:rsidR="007D3698" w:rsidRPr="00810763" w:rsidRDefault="007D3698" w:rsidP="0097579A">
            <w:pPr>
              <w:pStyle w:val="Normal6"/>
              <w:rPr>
                <w:noProof/>
              </w:rPr>
            </w:pPr>
            <w:r w:rsidRPr="00810763">
              <w:t>1.</w:t>
            </w:r>
            <w:r w:rsidRPr="00810763">
              <w:tab/>
              <w:t>Le FEDER, le FSE+, le Fonds de cohésion et le FEAMP soutiennent les objectifs stratégiques suivants:</w:t>
            </w:r>
          </w:p>
        </w:tc>
        <w:tc>
          <w:tcPr>
            <w:tcW w:w="4876" w:type="dxa"/>
            <w:hideMark/>
          </w:tcPr>
          <w:p w:rsidR="007D3698" w:rsidRPr="00810763" w:rsidRDefault="007D3698" w:rsidP="0097579A">
            <w:pPr>
              <w:pStyle w:val="Normal6"/>
              <w:rPr>
                <w:noProof/>
                <w:szCs w:val="24"/>
              </w:rPr>
            </w:pPr>
            <w:r w:rsidRPr="00810763">
              <w:t>1.</w:t>
            </w:r>
            <w:r w:rsidRPr="00810763">
              <w:tab/>
              <w:t xml:space="preserve">Le FEDER, le FSE+, le Fonds de cohésion et le FEAMP soutiennent </w:t>
            </w:r>
            <w:r w:rsidRPr="00810763">
              <w:rPr>
                <w:b/>
                <w:i/>
              </w:rPr>
              <w:t xml:space="preserve">la convergence vers le haut, la solidarité et la cohésion dans l’Union, conformément </w:t>
            </w:r>
            <w:r w:rsidRPr="00810763">
              <w:rPr>
                <w:b/>
                <w:i/>
              </w:rPr>
              <w:lastRenderedPageBreak/>
              <w:t xml:space="preserve">à la stratégie Europe 2020, au socle européen des droits sociaux et au programme de développement durable à l’horizon 2030 des Nations unies, en poursuivant </w:t>
            </w:r>
            <w:r w:rsidRPr="00810763">
              <w:t>les objectifs stratégiques suivants:</w:t>
            </w:r>
          </w:p>
        </w:tc>
      </w:tr>
    </w:tbl>
    <w:p w:rsidR="007D3698" w:rsidRPr="00AA1077" w:rsidRDefault="007D3698" w:rsidP="007D3698">
      <w:pPr>
        <w:rPr>
          <w:noProof/>
        </w:rPr>
      </w:pPr>
      <w:r>
        <w:rPr>
          <w:rStyle w:val="HideTWBExt"/>
        </w:rPr>
        <w:lastRenderedPageBreak/>
        <w:t>&lt;/Amend&gt;</w:t>
      </w:r>
    </w:p>
    <w:p w:rsidR="007D3698" w:rsidRPr="00AA1077" w:rsidRDefault="007D3698" w:rsidP="007D3698">
      <w:pPr>
        <w:pStyle w:val="AMNumberTabs"/>
        <w:rPr>
          <w:noProof/>
        </w:rPr>
      </w:pPr>
      <w:r>
        <w:rPr>
          <w:rStyle w:val="HideTWBExt"/>
          <w:b w:val="0"/>
          <w:szCs w:val="24"/>
        </w:rPr>
        <w:t>&lt;Amend&gt;</w:t>
      </w:r>
      <w:r w:rsidRPr="00810763">
        <w:t>Amendement</w:t>
      </w:r>
      <w:r w:rsidRPr="00810763">
        <w:tab/>
      </w:r>
      <w:r w:rsidRPr="00810763">
        <w:tab/>
      </w:r>
      <w:r>
        <w:rPr>
          <w:rStyle w:val="HideTWBExt"/>
          <w:b w:val="0"/>
          <w:szCs w:val="24"/>
        </w:rPr>
        <w:t>&lt;NumAm&gt;</w:t>
      </w:r>
      <w:r w:rsidRPr="00810763">
        <w:t>28</w:t>
      </w:r>
      <w:r>
        <w:rPr>
          <w:rStyle w:val="HideTWBExt"/>
          <w:b w:val="0"/>
          <w:szCs w:val="24"/>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F15B66" w:rsidRDefault="007D3698" w:rsidP="007D3698">
      <w:pPr>
        <w:pStyle w:val="NormalBold"/>
        <w:rPr>
          <w:noProof/>
        </w:rPr>
      </w:pPr>
      <w:r>
        <w:rPr>
          <w:rStyle w:val="HideTWBExt"/>
          <w:b w:val="0"/>
          <w:szCs w:val="24"/>
        </w:rPr>
        <w:t>&lt;Article&gt;</w:t>
      </w:r>
      <w:r w:rsidRPr="00810763">
        <w:t>Article 4 – paragraphe 1 – point c</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F15B66"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rPr>
                <w:b/>
                <w:i/>
              </w:rPr>
              <w:t>(</w:t>
            </w:r>
            <w:r w:rsidRPr="00810763">
              <w:t>c)</w:t>
            </w:r>
            <w:r w:rsidRPr="00810763">
              <w:tab/>
              <w:t>une Europe plus connectée par l’amélioration de la mobilité et de la connectivité régionale aux TIC;</w:t>
            </w:r>
          </w:p>
        </w:tc>
        <w:tc>
          <w:tcPr>
            <w:tcW w:w="4876" w:type="dxa"/>
            <w:hideMark/>
          </w:tcPr>
          <w:p w:rsidR="007D3698" w:rsidRPr="00810763" w:rsidRDefault="007D3698" w:rsidP="0097579A">
            <w:pPr>
              <w:pStyle w:val="Normal6"/>
              <w:rPr>
                <w:noProof/>
                <w:szCs w:val="24"/>
              </w:rPr>
            </w:pPr>
            <w:r w:rsidRPr="00810763">
              <w:t>c)</w:t>
            </w:r>
            <w:r w:rsidRPr="00810763">
              <w:tab/>
              <w:t>une Europe plus connectée par l’amélioration de la mobilité</w:t>
            </w:r>
            <w:r w:rsidRPr="00810763">
              <w:rPr>
                <w:b/>
                <w:i/>
              </w:rPr>
              <w:t xml:space="preserve"> durable</w:t>
            </w:r>
            <w:r w:rsidRPr="00810763">
              <w:t xml:space="preserve"> et de la connectivité régionale aux TIC;</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29</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4 – paragraphe 1 – point d</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rPr>
                <w:b/>
                <w:i/>
              </w:rPr>
              <w:t>(</w:t>
            </w:r>
            <w:r w:rsidRPr="00810763">
              <w:t>d)</w:t>
            </w:r>
            <w:r w:rsidRPr="00810763">
              <w:tab/>
              <w:t xml:space="preserve">une Europe plus </w:t>
            </w:r>
            <w:r w:rsidRPr="00810763">
              <w:rPr>
                <w:b/>
                <w:i/>
              </w:rPr>
              <w:t>sociale</w:t>
            </w:r>
            <w:r w:rsidRPr="00810763">
              <w:t xml:space="preserve"> mettant en œuvre le socle européen des droits sociaux;</w:t>
            </w:r>
          </w:p>
        </w:tc>
        <w:tc>
          <w:tcPr>
            <w:tcW w:w="4876" w:type="dxa"/>
            <w:hideMark/>
          </w:tcPr>
          <w:p w:rsidR="007D3698" w:rsidRPr="00810763" w:rsidRDefault="007D3698" w:rsidP="0097579A">
            <w:pPr>
              <w:pStyle w:val="Normal6"/>
              <w:rPr>
                <w:noProof/>
                <w:szCs w:val="24"/>
              </w:rPr>
            </w:pPr>
            <w:r w:rsidRPr="00810763">
              <w:t>d)</w:t>
            </w:r>
            <w:r w:rsidRPr="00810763">
              <w:tab/>
              <w:t xml:space="preserve">une Europe plus </w:t>
            </w:r>
            <w:r w:rsidRPr="00810763">
              <w:rPr>
                <w:b/>
                <w:i/>
              </w:rPr>
              <w:t>juste, plus solidaire et plus qualifiée, reposant sur l’égalité des chances et</w:t>
            </w:r>
            <w:r w:rsidRPr="00810763">
              <w:t xml:space="preserve"> mettant en œuvre </w:t>
            </w:r>
            <w:r w:rsidRPr="00810763">
              <w:rPr>
                <w:b/>
                <w:i/>
              </w:rPr>
              <w:t xml:space="preserve">les droits et les principes fixés et envisagés par </w:t>
            </w:r>
            <w:r w:rsidRPr="00810763">
              <w:t>le socle européen des droits sociaux</w:t>
            </w:r>
            <w:r w:rsidRPr="00810763">
              <w:rPr>
                <w:b/>
                <w:i/>
              </w:rPr>
              <w:t>, la charte sociale européenne et la charte des droits fondamentaux de l’Union européenne, et notamment le titre III («égalité») et le titre IV («solidarité»)</w:t>
            </w:r>
            <w:r w:rsidRPr="00810763">
              <w:t>;</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30</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F15B66" w:rsidRDefault="007D3698" w:rsidP="007D3698">
      <w:pPr>
        <w:pStyle w:val="NormalBold"/>
        <w:rPr>
          <w:noProof/>
        </w:rPr>
      </w:pPr>
      <w:r>
        <w:rPr>
          <w:rStyle w:val="HideTWBExt"/>
          <w:b w:val="0"/>
          <w:szCs w:val="24"/>
        </w:rPr>
        <w:t>&lt;Article&gt;</w:t>
      </w:r>
      <w:r w:rsidRPr="00810763">
        <w:t>Article 4 – paragraphe 1 – point e</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F15B66"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rPr>
                <w:b/>
                <w:i/>
              </w:rPr>
              <w:t>(</w:t>
            </w:r>
            <w:r w:rsidRPr="00810763">
              <w:t>e)</w:t>
            </w:r>
            <w:r w:rsidRPr="00810763">
              <w:tab/>
              <w:t xml:space="preserve">une Europe plus proche des citoyens par l’encouragement du développement durable et intégré des zones urbaines, rurales et côtières au moyen </w:t>
            </w:r>
            <w:r w:rsidRPr="00810763">
              <w:lastRenderedPageBreak/>
              <w:t>d’initiatives locales.</w:t>
            </w:r>
          </w:p>
        </w:tc>
        <w:tc>
          <w:tcPr>
            <w:tcW w:w="4876" w:type="dxa"/>
            <w:hideMark/>
          </w:tcPr>
          <w:p w:rsidR="007D3698" w:rsidRPr="00810763" w:rsidRDefault="007D3698" w:rsidP="0097579A">
            <w:pPr>
              <w:pStyle w:val="Normal6"/>
              <w:rPr>
                <w:noProof/>
                <w:szCs w:val="24"/>
              </w:rPr>
            </w:pPr>
            <w:r w:rsidRPr="00810763">
              <w:lastRenderedPageBreak/>
              <w:t>e)</w:t>
            </w:r>
            <w:r w:rsidRPr="00810763">
              <w:tab/>
              <w:t>une Europe plus proche des citoyens par l’encouragement du développement durable et intégré des zones urbaines, rurales et côtières au moyen</w:t>
            </w:r>
            <w:r w:rsidRPr="00810763">
              <w:rPr>
                <w:b/>
                <w:i/>
              </w:rPr>
              <w:t xml:space="preserve"> de </w:t>
            </w:r>
            <w:r w:rsidRPr="00810763">
              <w:rPr>
                <w:b/>
                <w:i/>
              </w:rPr>
              <w:lastRenderedPageBreak/>
              <w:t>partenariats entre les zones urbaines et rurales ainsi que</w:t>
            </w:r>
            <w:r w:rsidRPr="00810763">
              <w:t xml:space="preserve"> d’initiatives locales.</w:t>
            </w:r>
          </w:p>
        </w:tc>
      </w:tr>
    </w:tbl>
    <w:p w:rsidR="007D3698" w:rsidRPr="007D3698" w:rsidRDefault="007D3698" w:rsidP="007D3698">
      <w:pPr>
        <w:rPr>
          <w:noProof/>
        </w:rPr>
      </w:pPr>
      <w:r w:rsidRPr="00930809">
        <w:rPr>
          <w:rStyle w:val="HideTWBExt"/>
          <w:lang w:val="fr-BE"/>
        </w:rPr>
        <w:lastRenderedPageBreak/>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31</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4 – paragraphe 1 – point e bis (nouveau)</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p>
        </w:tc>
        <w:tc>
          <w:tcPr>
            <w:tcW w:w="4876" w:type="dxa"/>
            <w:hideMark/>
          </w:tcPr>
          <w:p w:rsidR="007D3698" w:rsidRPr="00810763" w:rsidRDefault="007D3698" w:rsidP="0097579A">
            <w:pPr>
              <w:pStyle w:val="Normal6"/>
              <w:rPr>
                <w:noProof/>
                <w:szCs w:val="24"/>
              </w:rPr>
            </w:pPr>
            <w:r w:rsidRPr="00810763">
              <w:rPr>
                <w:b/>
                <w:i/>
              </w:rPr>
              <w:t>e bis)</w:t>
            </w:r>
            <w:r w:rsidRPr="00810763">
              <w:rPr>
                <w:b/>
                <w:i/>
              </w:rPr>
              <w:tab/>
              <w:t>le soutien aux États membres afin de les aider à améliorer l’accès de tous les demandeurs d’emploi à un emploi de qualité, en particulier les jeunes, les chômeurs de longue durée, les femmes, les personnes handicapées et les migrants.</w:t>
            </w:r>
          </w:p>
        </w:tc>
      </w:tr>
    </w:tbl>
    <w:p w:rsidR="007D3698" w:rsidRPr="007D3698" w:rsidRDefault="007D3698" w:rsidP="007D3698">
      <w:pPr>
        <w:pStyle w:val="JustificationTitle"/>
        <w:rPr>
          <w:noProof/>
        </w:rPr>
      </w:pPr>
      <w:r w:rsidRPr="00930809">
        <w:rPr>
          <w:rStyle w:val="HideTWBExt"/>
          <w:i w:val="0"/>
          <w:szCs w:val="24"/>
          <w:lang w:val="fr-BE"/>
        </w:rPr>
        <w:t>&lt;TitreJust&gt;</w:t>
      </w:r>
      <w:r w:rsidRPr="00810763">
        <w:t>Justification</w:t>
      </w:r>
      <w:r w:rsidRPr="00930809">
        <w:rPr>
          <w:rStyle w:val="HideTWBExt"/>
          <w:i w:val="0"/>
          <w:szCs w:val="24"/>
          <w:lang w:val="fr-BE"/>
        </w:rPr>
        <w:t>&lt;/TitreJust&gt;</w:t>
      </w:r>
    </w:p>
    <w:p w:rsidR="007D3698" w:rsidRPr="007D3698" w:rsidRDefault="007D3698" w:rsidP="007D3698">
      <w:pPr>
        <w:pStyle w:val="Normal12Italic"/>
        <w:rPr>
          <w:noProof/>
        </w:rPr>
      </w:pPr>
      <w:r>
        <w:t>Nouveau point f).</w:t>
      </w:r>
    </w:p>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32</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F15B66" w:rsidRDefault="007D3698" w:rsidP="007D3698">
      <w:pPr>
        <w:pStyle w:val="NormalBold"/>
        <w:rPr>
          <w:noProof/>
        </w:rPr>
      </w:pPr>
      <w:r>
        <w:rPr>
          <w:rStyle w:val="HideTWBExt"/>
          <w:b w:val="0"/>
          <w:szCs w:val="24"/>
        </w:rPr>
        <w:t>&lt;Article&gt;</w:t>
      </w:r>
      <w:r w:rsidRPr="00810763">
        <w:t>Article 4 – paragraphe 2 – point 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F15B66"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930809">
              <w:rPr>
                <w:b/>
                <w:i/>
              </w:rPr>
              <w:t>(</w:t>
            </w:r>
            <w:r w:rsidRPr="00810763">
              <w:t>a)</w:t>
            </w:r>
            <w:r w:rsidRPr="00810763">
              <w:tab/>
              <w:t xml:space="preserve">«Investissement pour l’emploi </w:t>
            </w:r>
            <w:r w:rsidRPr="00810763">
              <w:rPr>
                <w:b/>
                <w:i/>
              </w:rPr>
              <w:t>et</w:t>
            </w:r>
            <w:r w:rsidRPr="00810763">
              <w:t xml:space="preserve"> la croissance» dans les États membres et les régions, objectif bénéficiant du soutien du FEDER, du FSE+ et du Fonds de cohésion; et</w:t>
            </w:r>
          </w:p>
        </w:tc>
        <w:tc>
          <w:tcPr>
            <w:tcW w:w="4876" w:type="dxa"/>
            <w:hideMark/>
          </w:tcPr>
          <w:p w:rsidR="007D3698" w:rsidRPr="00810763" w:rsidRDefault="007D3698" w:rsidP="0097579A">
            <w:pPr>
              <w:pStyle w:val="Normal6"/>
              <w:rPr>
                <w:noProof/>
                <w:szCs w:val="24"/>
              </w:rPr>
            </w:pPr>
            <w:r w:rsidRPr="00810763">
              <w:t>a)</w:t>
            </w:r>
            <w:r w:rsidRPr="00810763">
              <w:tab/>
              <w:t>«Investissement pour l’emploi</w:t>
            </w:r>
            <w:r w:rsidRPr="00810763">
              <w:rPr>
                <w:b/>
                <w:i/>
              </w:rPr>
              <w:t>,</w:t>
            </w:r>
            <w:r w:rsidRPr="00810763">
              <w:t xml:space="preserve"> la croissance</w:t>
            </w:r>
            <w:r w:rsidRPr="00810763">
              <w:rPr>
                <w:b/>
                <w:i/>
              </w:rPr>
              <w:t>, l’inclusion sociale et la convergence ascendante», y compris les investissements stratégiques dans les infrastructures</w:t>
            </w:r>
            <w:r w:rsidRPr="00810763">
              <w:t xml:space="preserve"> dans les États membres et les régions </w:t>
            </w:r>
            <w:r w:rsidRPr="00810763">
              <w:rPr>
                <w:b/>
                <w:i/>
              </w:rPr>
              <w:t>les plus touchés</w:t>
            </w:r>
            <w:r w:rsidRPr="00810763">
              <w:t>, objectif bénéficiant du soutien du FEDER, du FSE+ et du Fonds de cohésion; et</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33</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5 – paragraphe 2</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2.</w:t>
            </w:r>
            <w:r w:rsidRPr="00810763">
              <w:tab/>
              <w:t xml:space="preserve">Toutefois, la Commission met en </w:t>
            </w:r>
            <w:r w:rsidRPr="00810763">
              <w:lastRenderedPageBreak/>
              <w:t>œuvre le montant du soutien transféré du Fonds de cohésion au mécanisme pour l’interconnexion en Europe (ci-après le «MIE»), l’initiative urbaine européenne, les investissements interrégionaux en matière d’innovation, le montant du soutien transféré du FSE+ à la coopération transnationale</w:t>
            </w:r>
            <w:r w:rsidRPr="00810763">
              <w:rPr>
                <w:b/>
                <w:i/>
              </w:rPr>
              <w:t>, les contributions à InvestEU</w:t>
            </w:r>
            <w:r w:rsidRPr="00810763">
              <w:rPr>
                <w:b/>
                <w:i/>
                <w:vertAlign w:val="superscript"/>
              </w:rPr>
              <w:t>37</w:t>
            </w:r>
            <w:r w:rsidRPr="00810763">
              <w:t xml:space="preserve"> et l’assistance technique à l’initiative de la Commission, en gestion directe ou indirecte, conformément à [l’article 62, paragraphe 1, points a) et c)] du règlement financier.</w:t>
            </w:r>
          </w:p>
        </w:tc>
        <w:tc>
          <w:tcPr>
            <w:tcW w:w="4876" w:type="dxa"/>
            <w:hideMark/>
          </w:tcPr>
          <w:p w:rsidR="007D3698" w:rsidRPr="00810763" w:rsidRDefault="007D3698" w:rsidP="0097579A">
            <w:pPr>
              <w:pStyle w:val="Normal6"/>
              <w:rPr>
                <w:noProof/>
                <w:szCs w:val="24"/>
              </w:rPr>
            </w:pPr>
            <w:r w:rsidRPr="00810763">
              <w:lastRenderedPageBreak/>
              <w:t>2.</w:t>
            </w:r>
            <w:r w:rsidRPr="00810763">
              <w:tab/>
              <w:t xml:space="preserve">Toutefois, la Commission met en </w:t>
            </w:r>
            <w:r w:rsidRPr="00810763">
              <w:lastRenderedPageBreak/>
              <w:t>œuvre le montant du soutien transféré du Fonds de cohésion au mécanisme pour l’interconnexion en Europe (ci-après le «MIE»), l’initiative urbaine européenne, les investissements interrégionaux en matière d’innovation, le montant du soutien transféré du FSE+ à la coopération transnationale et l’assistance technique à l’initiative de la Commission, en gestion directe ou indirecte, conformément à [l’article 62, paragraphe 1, points a) et c)] du règlement financier.</w:t>
            </w:r>
          </w:p>
        </w:tc>
      </w:tr>
      <w:tr w:rsidR="007D3698" w:rsidRPr="00AA1077" w:rsidTr="0097579A">
        <w:trPr>
          <w:jc w:val="center"/>
        </w:trPr>
        <w:tc>
          <w:tcPr>
            <w:tcW w:w="4876" w:type="dxa"/>
            <w:hideMark/>
          </w:tcPr>
          <w:p w:rsidR="007D3698" w:rsidRPr="00810763" w:rsidRDefault="007D3698" w:rsidP="0097579A">
            <w:pPr>
              <w:pStyle w:val="Normal6"/>
              <w:rPr>
                <w:noProof/>
              </w:rPr>
            </w:pPr>
            <w:r w:rsidRPr="00810763">
              <w:lastRenderedPageBreak/>
              <w:t>__________________</w:t>
            </w:r>
          </w:p>
        </w:tc>
        <w:tc>
          <w:tcPr>
            <w:tcW w:w="4876" w:type="dxa"/>
          </w:tcPr>
          <w:p w:rsidR="007D3698" w:rsidRPr="00810763" w:rsidRDefault="007D3698" w:rsidP="0097579A">
            <w:pPr>
              <w:pStyle w:val="Normal6"/>
              <w:rPr>
                <w:noProof/>
                <w:szCs w:val="24"/>
              </w:rPr>
            </w:pPr>
          </w:p>
        </w:tc>
      </w:tr>
      <w:tr w:rsidR="007D3698" w:rsidRPr="00200381" w:rsidTr="0097579A">
        <w:trPr>
          <w:jc w:val="center"/>
        </w:trPr>
        <w:tc>
          <w:tcPr>
            <w:tcW w:w="4876" w:type="dxa"/>
            <w:hideMark/>
          </w:tcPr>
          <w:p w:rsidR="007D3698" w:rsidRPr="00810763" w:rsidRDefault="007D3698" w:rsidP="0097579A">
            <w:pPr>
              <w:pStyle w:val="Normal6"/>
              <w:rPr>
                <w:b/>
                <w:bCs/>
                <w:i/>
                <w:iCs/>
                <w:noProof/>
              </w:rPr>
            </w:pPr>
            <w:r w:rsidRPr="00810763">
              <w:rPr>
                <w:b/>
                <w:bCs/>
                <w:i/>
                <w:iCs/>
                <w:vertAlign w:val="superscript"/>
              </w:rPr>
              <w:t>37</w:t>
            </w:r>
            <w:r w:rsidRPr="00810763">
              <w:rPr>
                <w:b/>
                <w:bCs/>
                <w:i/>
                <w:iCs/>
              </w:rPr>
              <w:t xml:space="preserve"> [Règlement (UE) nº [...] du [...] relatif [...] (JO L [...] du [...], p. [...])].</w:t>
            </w:r>
          </w:p>
        </w:tc>
        <w:tc>
          <w:tcPr>
            <w:tcW w:w="4876" w:type="dxa"/>
          </w:tcPr>
          <w:p w:rsidR="007D3698" w:rsidRPr="00810763" w:rsidRDefault="007D3698" w:rsidP="0097579A">
            <w:pPr>
              <w:pStyle w:val="Normal6"/>
              <w:rPr>
                <w:b/>
                <w:bCs/>
                <w:i/>
                <w:iCs/>
                <w:noProof/>
              </w:rPr>
            </w:pPr>
          </w:p>
        </w:tc>
      </w:tr>
    </w:tbl>
    <w:p w:rsidR="007D3698" w:rsidRPr="00AA1077" w:rsidRDefault="007D3698" w:rsidP="007D3698">
      <w:pPr>
        <w:rPr>
          <w:noProof/>
        </w:rPr>
      </w:pPr>
      <w:r>
        <w:rPr>
          <w:rStyle w:val="HideTWBExt"/>
        </w:rPr>
        <w:t>&lt;/Amend&gt;</w:t>
      </w:r>
    </w:p>
    <w:p w:rsidR="007D3698" w:rsidRPr="00AA1077" w:rsidRDefault="007D3698" w:rsidP="007D3698">
      <w:pPr>
        <w:pStyle w:val="AMNumberTabs"/>
        <w:rPr>
          <w:noProof/>
        </w:rPr>
      </w:pPr>
      <w:r>
        <w:rPr>
          <w:rStyle w:val="HideTWBExt"/>
          <w:b w:val="0"/>
          <w:szCs w:val="24"/>
        </w:rPr>
        <w:t>&lt;Amend&gt;</w:t>
      </w:r>
      <w:r w:rsidRPr="00810763">
        <w:t>Amendement</w:t>
      </w:r>
      <w:r w:rsidRPr="00810763">
        <w:tab/>
      </w:r>
      <w:r w:rsidRPr="00810763">
        <w:tab/>
      </w:r>
      <w:r>
        <w:rPr>
          <w:rStyle w:val="HideTWBExt"/>
          <w:b w:val="0"/>
          <w:szCs w:val="24"/>
        </w:rPr>
        <w:t>&lt;NumAm&gt;</w:t>
      </w:r>
      <w:r w:rsidRPr="00810763">
        <w:t>34</w:t>
      </w:r>
      <w:r>
        <w:rPr>
          <w:rStyle w:val="HideTWBExt"/>
          <w:b w:val="0"/>
          <w:szCs w:val="24"/>
        </w:rPr>
        <w:t>&lt;/NumAm&gt;</w:t>
      </w:r>
    </w:p>
    <w:p w:rsidR="007D3698" w:rsidRPr="007D3698" w:rsidRDefault="007D3698" w:rsidP="007D3698">
      <w:pPr>
        <w:pStyle w:val="NormalBold12b"/>
        <w:rPr>
          <w:noProof/>
        </w:rPr>
      </w:pPr>
      <w:r>
        <w:rPr>
          <w:rStyle w:val="HideTWBExt"/>
          <w:b w:val="0"/>
          <w:szCs w:val="24"/>
          <w:lang w:val="en-GB"/>
        </w:rPr>
        <w:t>&lt;DocAmend&gt;</w:t>
      </w:r>
      <w:r w:rsidRPr="00810763">
        <w:t>Proposition de règlement</w:t>
      </w:r>
      <w:r>
        <w:rPr>
          <w:rStyle w:val="HideTWBExt"/>
          <w:b w:val="0"/>
          <w:szCs w:val="24"/>
          <w:lang w:val="en-GB"/>
        </w:rPr>
        <w:t>&lt;/DocAmend&gt;</w:t>
      </w:r>
    </w:p>
    <w:p w:rsidR="007D3698" w:rsidRPr="00AA1077" w:rsidRDefault="007D3698" w:rsidP="007D3698">
      <w:pPr>
        <w:pStyle w:val="NormalBold"/>
        <w:rPr>
          <w:noProof/>
        </w:rPr>
      </w:pPr>
      <w:r>
        <w:rPr>
          <w:rStyle w:val="HideTWBExt"/>
          <w:b w:val="0"/>
          <w:szCs w:val="24"/>
        </w:rPr>
        <w:t>&lt;Article&gt;</w:t>
      </w:r>
      <w:r w:rsidRPr="00810763">
        <w:t>Article 6 – paragraphe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1.</w:t>
            </w:r>
            <w:r w:rsidRPr="00810763">
              <w:tab/>
            </w:r>
            <w:r w:rsidRPr="00810763">
              <w:rPr>
                <w:b/>
                <w:i/>
              </w:rPr>
              <w:t>Chaque</w:t>
            </w:r>
            <w:r w:rsidRPr="00810763">
              <w:t xml:space="preserve"> État membre organise un partenariat avec les autorités régionales et locales compétentes. </w:t>
            </w:r>
            <w:r w:rsidRPr="00810763">
              <w:rPr>
                <w:b/>
                <w:i/>
              </w:rPr>
              <w:t>Ce</w:t>
            </w:r>
            <w:r w:rsidRPr="00810763">
              <w:t xml:space="preserve"> partenariat associe au moins les partenaires suivants:</w:t>
            </w:r>
          </w:p>
        </w:tc>
        <w:tc>
          <w:tcPr>
            <w:tcW w:w="4876" w:type="dxa"/>
            <w:hideMark/>
          </w:tcPr>
          <w:p w:rsidR="007D3698" w:rsidRPr="00810763" w:rsidRDefault="007D3698" w:rsidP="0097579A">
            <w:pPr>
              <w:pStyle w:val="Normal6"/>
              <w:rPr>
                <w:noProof/>
                <w:szCs w:val="24"/>
              </w:rPr>
            </w:pPr>
            <w:r w:rsidRPr="00810763">
              <w:rPr>
                <w:szCs w:val="24"/>
              </w:rPr>
              <w:t>1.</w:t>
            </w:r>
            <w:r w:rsidRPr="00810763">
              <w:rPr>
                <w:szCs w:val="24"/>
              </w:rPr>
              <w:tab/>
            </w:r>
            <w:r w:rsidRPr="00810763">
              <w:rPr>
                <w:b/>
                <w:i/>
                <w:szCs w:val="24"/>
              </w:rPr>
              <w:t>Pour chaque accord de partenariat, chaque</w:t>
            </w:r>
            <w:r w:rsidRPr="00810763">
              <w:rPr>
                <w:szCs w:val="24"/>
              </w:rPr>
              <w:t xml:space="preserve"> État membre organise un partenariat avec les autorités régionales et locales compétentes. </w:t>
            </w:r>
            <w:r w:rsidRPr="00810763">
              <w:rPr>
                <w:b/>
                <w:bCs/>
                <w:i/>
                <w:iCs/>
                <w:szCs w:val="24"/>
              </w:rPr>
              <w:t xml:space="preserve">Pour les programmes transfrontaliers, les États membres participants associent les partenaires de tous les États membres participants. </w:t>
            </w:r>
            <w:r w:rsidRPr="00810763">
              <w:rPr>
                <w:b/>
                <w:i/>
                <w:szCs w:val="24"/>
              </w:rPr>
              <w:t>Dans les deux cas, le</w:t>
            </w:r>
            <w:r w:rsidRPr="00810763">
              <w:rPr>
                <w:szCs w:val="24"/>
              </w:rPr>
              <w:t xml:space="preserve"> partenariat associe au moins les partenaires suivants:</w:t>
            </w:r>
          </w:p>
        </w:tc>
      </w:tr>
      <w:tr w:rsidR="007D3698" w:rsidRPr="007D3698" w:rsidTr="0097579A">
        <w:trPr>
          <w:jc w:val="center"/>
        </w:trPr>
        <w:tc>
          <w:tcPr>
            <w:tcW w:w="4876" w:type="dxa"/>
          </w:tcPr>
          <w:p w:rsidR="007D3698" w:rsidRPr="00810763" w:rsidRDefault="007D3698" w:rsidP="0097579A">
            <w:pPr>
              <w:pStyle w:val="Normal6"/>
              <w:rPr>
                <w:rFonts w:hAnsi="Arial Unicode MS"/>
                <w:noProof/>
              </w:rPr>
            </w:pPr>
            <w:r w:rsidRPr="00810763">
              <w:rPr>
                <w:b/>
                <w:i/>
              </w:rPr>
              <w:t>(</w:t>
            </w:r>
            <w:r w:rsidRPr="00810763">
              <w:t>a)</w:t>
            </w:r>
            <w:r w:rsidRPr="00810763">
              <w:tab/>
              <w:t>les autorités urbaines et autres autorités publiques;</w:t>
            </w:r>
          </w:p>
        </w:tc>
        <w:tc>
          <w:tcPr>
            <w:tcW w:w="4876" w:type="dxa"/>
          </w:tcPr>
          <w:p w:rsidR="007D3698" w:rsidRPr="00810763" w:rsidRDefault="007D3698" w:rsidP="0097579A">
            <w:pPr>
              <w:pStyle w:val="Normal6"/>
              <w:rPr>
                <w:rFonts w:eastAsia="Arial Unicode MS" w:cs="Arial Unicode MS"/>
                <w:noProof/>
                <w:sz w:val="23"/>
                <w:szCs w:val="23"/>
              </w:rPr>
            </w:pPr>
            <w:r w:rsidRPr="00810763">
              <w:t>a)</w:t>
            </w:r>
            <w:r w:rsidRPr="00810763">
              <w:tab/>
              <w:t>les autorités</w:t>
            </w:r>
            <w:r w:rsidRPr="00810763">
              <w:rPr>
                <w:b/>
                <w:i/>
              </w:rPr>
              <w:t xml:space="preserve"> locales, régionales,</w:t>
            </w:r>
            <w:r w:rsidRPr="00810763">
              <w:t xml:space="preserve"> urbaines et autres autorités publiques;</w:t>
            </w:r>
          </w:p>
        </w:tc>
      </w:tr>
      <w:tr w:rsidR="007D3698" w:rsidRPr="007D3698" w:rsidTr="0097579A">
        <w:trPr>
          <w:jc w:val="center"/>
        </w:trPr>
        <w:tc>
          <w:tcPr>
            <w:tcW w:w="4876" w:type="dxa"/>
          </w:tcPr>
          <w:p w:rsidR="007D3698" w:rsidRPr="00810763" w:rsidRDefault="007D3698" w:rsidP="0097579A">
            <w:pPr>
              <w:pStyle w:val="Normal6"/>
              <w:rPr>
                <w:rFonts w:hAnsi="Arial Unicode MS"/>
                <w:noProof/>
              </w:rPr>
            </w:pPr>
            <w:r w:rsidRPr="00810763">
              <w:rPr>
                <w:b/>
                <w:i/>
              </w:rPr>
              <w:t>(</w:t>
            </w:r>
            <w:r w:rsidRPr="00810763">
              <w:t>b)</w:t>
            </w:r>
            <w:r w:rsidRPr="00810763">
              <w:tab/>
              <w:t>les partenaires économiques et sociaux;</w:t>
            </w:r>
          </w:p>
        </w:tc>
        <w:tc>
          <w:tcPr>
            <w:tcW w:w="4876" w:type="dxa"/>
          </w:tcPr>
          <w:p w:rsidR="007D3698" w:rsidRPr="00810763" w:rsidRDefault="007D3698" w:rsidP="0097579A">
            <w:pPr>
              <w:pStyle w:val="Normal6"/>
              <w:rPr>
                <w:rFonts w:eastAsia="Arial Unicode MS" w:cs="Arial Unicode MS"/>
                <w:noProof/>
                <w:sz w:val="23"/>
                <w:szCs w:val="23"/>
              </w:rPr>
            </w:pPr>
            <w:r w:rsidRPr="00810763">
              <w:t>b)</w:t>
            </w:r>
            <w:r w:rsidRPr="00810763">
              <w:tab/>
              <w:t xml:space="preserve">les partenaires économiques et sociaux; </w:t>
            </w:r>
          </w:p>
        </w:tc>
      </w:tr>
      <w:tr w:rsidR="007D3698" w:rsidRPr="007D3698" w:rsidTr="0097579A">
        <w:trPr>
          <w:jc w:val="center"/>
        </w:trPr>
        <w:tc>
          <w:tcPr>
            <w:tcW w:w="4876" w:type="dxa"/>
          </w:tcPr>
          <w:p w:rsidR="007D3698" w:rsidRPr="00810763" w:rsidRDefault="007D3698" w:rsidP="0097579A">
            <w:pPr>
              <w:pStyle w:val="Normal6"/>
              <w:rPr>
                <w:rFonts w:hAnsi="Arial Unicode MS"/>
                <w:noProof/>
              </w:rPr>
            </w:pPr>
            <w:r w:rsidRPr="00810763">
              <w:rPr>
                <w:b/>
                <w:i/>
              </w:rPr>
              <w:t>(</w:t>
            </w:r>
            <w:r w:rsidRPr="00810763">
              <w:t>c)</w:t>
            </w:r>
            <w:r w:rsidRPr="00810763">
              <w:tab/>
              <w:t>les organismes représentant la société civile concernés, les partenaires environnementaux et les organismes chargés de promouvoir l’inclusion sociale, les droits fondamentaux, les droits des personnes handicapées, l’égalité entre les femmes et les hommes et la non-</w:t>
            </w:r>
            <w:r w:rsidRPr="00810763">
              <w:lastRenderedPageBreak/>
              <w:t>discrimination.</w:t>
            </w:r>
          </w:p>
        </w:tc>
        <w:tc>
          <w:tcPr>
            <w:tcW w:w="4876" w:type="dxa"/>
          </w:tcPr>
          <w:p w:rsidR="007D3698" w:rsidRPr="00810763" w:rsidRDefault="007D3698" w:rsidP="0097579A">
            <w:pPr>
              <w:pStyle w:val="Normal6"/>
              <w:rPr>
                <w:rFonts w:eastAsia="Arial Unicode MS" w:cs="Arial Unicode MS"/>
                <w:noProof/>
                <w:sz w:val="23"/>
                <w:szCs w:val="23"/>
              </w:rPr>
            </w:pPr>
            <w:r w:rsidRPr="00810763">
              <w:lastRenderedPageBreak/>
              <w:t>c)</w:t>
            </w:r>
            <w:r w:rsidRPr="00810763">
              <w:tab/>
              <w:t xml:space="preserve">les organismes représentant la société civile concernés, </w:t>
            </w:r>
            <w:r w:rsidRPr="00810763">
              <w:rPr>
                <w:b/>
                <w:i/>
              </w:rPr>
              <w:t xml:space="preserve">y compris </w:t>
            </w:r>
            <w:r w:rsidRPr="00810763">
              <w:t>les partenaires environnementaux</w:t>
            </w:r>
            <w:r w:rsidRPr="00810763">
              <w:rPr>
                <w:b/>
                <w:i/>
              </w:rPr>
              <w:t>, les organisations non gouvernementales</w:t>
            </w:r>
            <w:r w:rsidRPr="00810763">
              <w:t xml:space="preserve"> et les organismes chargés de promouvoir l’inclusion sociale, les droits fondamentaux, les droits des personnes handicapées, l’égalité entre les femmes et </w:t>
            </w:r>
            <w:r w:rsidRPr="00810763">
              <w:lastRenderedPageBreak/>
              <w:t>les hommes et la non-discrimination</w:t>
            </w:r>
            <w:r w:rsidRPr="00810763">
              <w:rPr>
                <w:b/>
                <w:i/>
              </w:rPr>
              <w:t xml:space="preserve"> et ceux désignés comme bénéficiaires</w:t>
            </w:r>
            <w:r w:rsidRPr="00810763">
              <w:t>.</w:t>
            </w:r>
          </w:p>
        </w:tc>
      </w:tr>
    </w:tbl>
    <w:p w:rsidR="007D3698" w:rsidRPr="007D3698" w:rsidRDefault="007D3698" w:rsidP="007D3698">
      <w:pPr>
        <w:rPr>
          <w:noProof/>
        </w:rPr>
      </w:pPr>
      <w:r w:rsidRPr="00930809">
        <w:rPr>
          <w:rStyle w:val="HideTWBExt"/>
          <w:lang w:val="fr-BE"/>
        </w:rPr>
        <w:lastRenderedPageBreak/>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35</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6 – paragraphe 2</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2.</w:t>
            </w:r>
            <w:r w:rsidRPr="00810763">
              <w:tab/>
              <w:t>Conformément au principe de gouvernance à plusieurs niveaux, l’État membre implique les partenaires dans l’élaboration des accords de partenariat, ainsi que tout au long de la préparation</w:t>
            </w:r>
            <w:r w:rsidRPr="00810763">
              <w:rPr>
                <w:b/>
                <w:i/>
              </w:rPr>
              <w:t xml:space="preserve"> et</w:t>
            </w:r>
            <w:r w:rsidRPr="00810763">
              <w:t xml:space="preserve"> de la mise en œuvre des programmes, notamment en les faisant participer aux comités de suivi conformément à l’article 34.</w:t>
            </w:r>
          </w:p>
        </w:tc>
        <w:tc>
          <w:tcPr>
            <w:tcW w:w="4876" w:type="dxa"/>
            <w:hideMark/>
          </w:tcPr>
          <w:p w:rsidR="007D3698" w:rsidRPr="00810763" w:rsidRDefault="007D3698" w:rsidP="0097579A">
            <w:pPr>
              <w:pStyle w:val="Normal6"/>
              <w:rPr>
                <w:noProof/>
                <w:szCs w:val="24"/>
              </w:rPr>
            </w:pPr>
            <w:r w:rsidRPr="00810763">
              <w:t>2.</w:t>
            </w:r>
            <w:r w:rsidRPr="00810763">
              <w:tab/>
              <w:t>Conformément au principe de gouvernance à plusieurs niveaux, l’État membre implique les partenaires dans l’élaboration des accords de partenariat, ainsi que tout au long de la préparation</w:t>
            </w:r>
            <w:r w:rsidRPr="00810763">
              <w:rPr>
                <w:b/>
                <w:i/>
              </w:rPr>
              <w:t>,</w:t>
            </w:r>
            <w:r w:rsidRPr="00810763">
              <w:t xml:space="preserve"> de la mise en œuvre</w:t>
            </w:r>
            <w:r w:rsidRPr="00810763">
              <w:rPr>
                <w:b/>
                <w:i/>
              </w:rPr>
              <w:t xml:space="preserve"> et de l’évaluation</w:t>
            </w:r>
            <w:r w:rsidRPr="00810763">
              <w:t xml:space="preserve"> des programmes, notamment en les faisant participer aux comités de suivi conformément à l’article 34.</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36</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8 – alinéa 1 – point 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rPr>
                <w:b/>
                <w:i/>
              </w:rPr>
              <w:t>(</w:t>
            </w:r>
            <w:r w:rsidRPr="00810763">
              <w:t>a)</w:t>
            </w:r>
            <w:r w:rsidRPr="00810763">
              <w:tab/>
              <w:t>les objectifs stratégiques retenus indiquant par lesquels des Fonds et des programmes ils seront poursuivis, assorti d’une justification</w:t>
            </w:r>
            <w:r w:rsidRPr="00810763">
              <w:rPr>
                <w:b/>
                <w:i/>
              </w:rPr>
              <w:t xml:space="preserve"> et, le cas échéant, une justification du recours au mode de mise en œuvre de InvestEU</w:t>
            </w:r>
            <w:r w:rsidRPr="00810763">
              <w:t>, en tenant compte des recommandations par pays pertinentes;</w:t>
            </w:r>
          </w:p>
        </w:tc>
        <w:tc>
          <w:tcPr>
            <w:tcW w:w="4876" w:type="dxa"/>
            <w:hideMark/>
          </w:tcPr>
          <w:p w:rsidR="007D3698" w:rsidRPr="00810763" w:rsidRDefault="007D3698" w:rsidP="0097579A">
            <w:pPr>
              <w:pStyle w:val="Normal6"/>
              <w:rPr>
                <w:noProof/>
                <w:szCs w:val="24"/>
              </w:rPr>
            </w:pPr>
            <w:r w:rsidRPr="00810763">
              <w:t>a)</w:t>
            </w:r>
            <w:r w:rsidRPr="00810763">
              <w:tab/>
              <w:t>les objectifs stratégiques retenus indiquant par lesquels des Fonds et des programmes ils seront poursuivis, assorti d’une justification, en tenant compte des recommandations par pays pertinentes;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37</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8 – alinéa 1 – point b – sous-point i</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i)</w:t>
            </w:r>
            <w:r w:rsidRPr="00810763">
              <w:tab/>
              <w:t>un résumé des choix stratégiques et des principaux résultats escomptés pour chacun des Fonds</w:t>
            </w:r>
            <w:r w:rsidRPr="00810763">
              <w:rPr>
                <w:b/>
                <w:i/>
              </w:rPr>
              <w:t xml:space="preserve">, y compris, le cas </w:t>
            </w:r>
            <w:r w:rsidRPr="00810763">
              <w:rPr>
                <w:b/>
                <w:i/>
              </w:rPr>
              <w:lastRenderedPageBreak/>
              <w:t>échéant, grâce au recours à InvestEU</w:t>
            </w:r>
            <w:r w:rsidRPr="00810763">
              <w:t>;</w:t>
            </w:r>
          </w:p>
        </w:tc>
        <w:tc>
          <w:tcPr>
            <w:tcW w:w="4876" w:type="dxa"/>
            <w:hideMark/>
          </w:tcPr>
          <w:p w:rsidR="007D3698" w:rsidRPr="00810763" w:rsidRDefault="007D3698" w:rsidP="0097579A">
            <w:pPr>
              <w:pStyle w:val="Normal6"/>
              <w:rPr>
                <w:noProof/>
                <w:szCs w:val="24"/>
              </w:rPr>
            </w:pPr>
            <w:r w:rsidRPr="00810763">
              <w:lastRenderedPageBreak/>
              <w:t>i)</w:t>
            </w:r>
            <w:r w:rsidRPr="00810763">
              <w:tab/>
              <w:t>un résumé des choix stratégiques et des principaux résultats escomptés pour chacun des Fonds;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38</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8 – alinéa 1 – point b – sous-point iii</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iii)</w:t>
            </w:r>
            <w:r w:rsidRPr="00810763">
              <w:tab/>
              <w:t>les complémentarités entre les Fonds et d’autres instruments de l’Union, notamment des projets intégrés stratégiques et des projets de stratégiques «Nature» LIFE;</w:t>
            </w:r>
          </w:p>
        </w:tc>
        <w:tc>
          <w:tcPr>
            <w:tcW w:w="4876" w:type="dxa"/>
            <w:hideMark/>
          </w:tcPr>
          <w:p w:rsidR="007D3698" w:rsidRPr="00810763" w:rsidRDefault="007D3698" w:rsidP="0097579A">
            <w:pPr>
              <w:pStyle w:val="Normal6"/>
              <w:rPr>
                <w:noProof/>
                <w:szCs w:val="24"/>
              </w:rPr>
            </w:pPr>
            <w:r w:rsidRPr="00810763">
              <w:t>iii)</w:t>
            </w:r>
            <w:r w:rsidRPr="00810763">
              <w:tab/>
              <w:t>les complémentarités entre les Fonds et d’autres instruments</w:t>
            </w:r>
            <w:r w:rsidRPr="00810763">
              <w:rPr>
                <w:b/>
                <w:i/>
              </w:rPr>
              <w:t>, fonds et programmes</w:t>
            </w:r>
            <w:r w:rsidRPr="00810763">
              <w:t xml:space="preserve"> de l’Union, notamment des projets intégrés stratégiques et des projets de stratégiques «Nature» LIFE;</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39</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8 – alinéa 1 – point e</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AA1077" w:rsidTr="0097579A">
        <w:trPr>
          <w:jc w:val="center"/>
        </w:trPr>
        <w:tc>
          <w:tcPr>
            <w:tcW w:w="4876" w:type="dxa"/>
            <w:hideMark/>
          </w:tcPr>
          <w:p w:rsidR="007D3698" w:rsidRPr="00810763" w:rsidRDefault="007D3698" w:rsidP="0097579A">
            <w:pPr>
              <w:pStyle w:val="Normal6"/>
              <w:rPr>
                <w:b/>
                <w:bCs/>
                <w:i/>
                <w:iCs/>
                <w:noProof/>
              </w:rPr>
            </w:pPr>
            <w:r w:rsidRPr="00810763">
              <w:rPr>
                <w:b/>
                <w:bCs/>
                <w:i/>
                <w:iCs/>
              </w:rPr>
              <w:t>(e)</w:t>
            </w:r>
            <w:r w:rsidRPr="00810763">
              <w:rPr>
                <w:b/>
                <w:bCs/>
                <w:i/>
                <w:iCs/>
              </w:rPr>
              <w:tab/>
              <w:t>les contributions à verser à InvestEU par Fonds et par catégorie de régions;</w:t>
            </w:r>
          </w:p>
        </w:tc>
        <w:tc>
          <w:tcPr>
            <w:tcW w:w="4876" w:type="dxa"/>
            <w:hideMark/>
          </w:tcPr>
          <w:p w:rsidR="007D3698" w:rsidRPr="00810763" w:rsidRDefault="007D3698" w:rsidP="0097579A">
            <w:pPr>
              <w:pStyle w:val="Normal6"/>
              <w:rPr>
                <w:b/>
                <w:bCs/>
                <w:i/>
                <w:iCs/>
                <w:noProof/>
                <w:szCs w:val="24"/>
              </w:rPr>
            </w:pPr>
            <w:r w:rsidRPr="00810763">
              <w:rPr>
                <w:b/>
                <w:bCs/>
                <w:i/>
                <w:iCs/>
              </w:rPr>
              <w:t>supprimé</w:t>
            </w:r>
          </w:p>
        </w:tc>
      </w:tr>
    </w:tbl>
    <w:p w:rsidR="007D3698" w:rsidRPr="00AA1077" w:rsidRDefault="007D3698" w:rsidP="007D3698">
      <w:pPr>
        <w:rPr>
          <w:noProof/>
        </w:rPr>
      </w:pPr>
      <w:r>
        <w:rPr>
          <w:rStyle w:val="HideTWBExt"/>
        </w:rPr>
        <w:t>&lt;/Amend&gt;</w:t>
      </w:r>
    </w:p>
    <w:p w:rsidR="007D3698" w:rsidRPr="00AA1077" w:rsidRDefault="007D3698" w:rsidP="007D3698">
      <w:pPr>
        <w:pStyle w:val="AMNumberTabs"/>
        <w:rPr>
          <w:noProof/>
        </w:rPr>
      </w:pPr>
      <w:r>
        <w:rPr>
          <w:rStyle w:val="HideTWBExt"/>
          <w:b w:val="0"/>
          <w:szCs w:val="24"/>
        </w:rPr>
        <w:t>&lt;Amend&gt;</w:t>
      </w:r>
      <w:r w:rsidRPr="00810763">
        <w:t>Amendement</w:t>
      </w:r>
      <w:r w:rsidRPr="00810763">
        <w:tab/>
      </w:r>
      <w:r w:rsidRPr="00810763">
        <w:tab/>
      </w:r>
      <w:r>
        <w:rPr>
          <w:rStyle w:val="HideTWBExt"/>
          <w:b w:val="0"/>
          <w:szCs w:val="24"/>
        </w:rPr>
        <w:t>&lt;NumAm&gt;</w:t>
      </w:r>
      <w:r w:rsidRPr="00810763">
        <w:t>40</w:t>
      </w:r>
      <w:r>
        <w:rPr>
          <w:rStyle w:val="HideTWBExt"/>
          <w:b w:val="0"/>
          <w:szCs w:val="24"/>
        </w:rPr>
        <w:t>&lt;/NumAm&gt;</w:t>
      </w:r>
    </w:p>
    <w:p w:rsidR="007D3698" w:rsidRPr="007D3698" w:rsidRDefault="007D3698" w:rsidP="007D3698">
      <w:pPr>
        <w:pStyle w:val="NormalBold12b"/>
        <w:rPr>
          <w:noProof/>
        </w:rPr>
      </w:pPr>
      <w:r>
        <w:rPr>
          <w:rStyle w:val="HideTWBExt"/>
          <w:b w:val="0"/>
          <w:szCs w:val="24"/>
          <w:lang w:val="en-GB"/>
        </w:rPr>
        <w:t>&lt;DocAmend&gt;</w:t>
      </w:r>
      <w:r w:rsidRPr="00810763">
        <w:t>Proposition de règlement</w:t>
      </w:r>
      <w:r>
        <w:rPr>
          <w:rStyle w:val="HideTWBExt"/>
          <w:b w:val="0"/>
          <w:szCs w:val="24"/>
          <w:lang w:val="en-GB"/>
        </w:rPr>
        <w:t>&lt;/DocAmend&gt;</w:t>
      </w:r>
    </w:p>
    <w:p w:rsidR="007D3698" w:rsidRPr="00AA1077" w:rsidRDefault="007D3698" w:rsidP="007D3698">
      <w:pPr>
        <w:pStyle w:val="NormalBold"/>
        <w:rPr>
          <w:noProof/>
        </w:rPr>
      </w:pPr>
      <w:r>
        <w:rPr>
          <w:rStyle w:val="HideTWBExt"/>
          <w:b w:val="0"/>
          <w:szCs w:val="24"/>
        </w:rPr>
        <w:t>&lt;Article&gt;</w:t>
      </w:r>
      <w:r w:rsidRPr="00810763">
        <w:t>Article 10</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AA1077" w:rsidTr="0097579A">
        <w:trPr>
          <w:jc w:val="center"/>
        </w:trPr>
        <w:tc>
          <w:tcPr>
            <w:tcW w:w="4876" w:type="dxa"/>
            <w:hideMark/>
          </w:tcPr>
          <w:p w:rsidR="007D3698" w:rsidRPr="00810763" w:rsidRDefault="007D3698" w:rsidP="0097579A">
            <w:pPr>
              <w:pStyle w:val="Normal6"/>
              <w:rPr>
                <w:b/>
                <w:bCs/>
                <w:i/>
                <w:iCs/>
                <w:noProof/>
              </w:rPr>
            </w:pPr>
            <w:r w:rsidRPr="00810763">
              <w:rPr>
                <w:b/>
                <w:bCs/>
                <w:i/>
                <w:iCs/>
              </w:rPr>
              <w:t>[…]</w:t>
            </w:r>
          </w:p>
        </w:tc>
        <w:tc>
          <w:tcPr>
            <w:tcW w:w="4876" w:type="dxa"/>
            <w:hideMark/>
          </w:tcPr>
          <w:p w:rsidR="007D3698" w:rsidRPr="00810763" w:rsidRDefault="007D3698" w:rsidP="0097579A">
            <w:pPr>
              <w:pStyle w:val="Normal6"/>
              <w:rPr>
                <w:b/>
                <w:bCs/>
                <w:i/>
                <w:iCs/>
                <w:noProof/>
                <w:szCs w:val="24"/>
              </w:rPr>
            </w:pPr>
            <w:r w:rsidRPr="00810763">
              <w:rPr>
                <w:b/>
                <w:bCs/>
                <w:i/>
                <w:iCs/>
              </w:rPr>
              <w:t>supprimé</w:t>
            </w:r>
          </w:p>
        </w:tc>
      </w:tr>
    </w:tbl>
    <w:p w:rsidR="007D3698" w:rsidRPr="00AA1077" w:rsidRDefault="007D3698" w:rsidP="007D3698">
      <w:pPr>
        <w:rPr>
          <w:noProof/>
        </w:rPr>
      </w:pPr>
      <w:r>
        <w:rPr>
          <w:rStyle w:val="HideTWBExt"/>
        </w:rPr>
        <w:t>&lt;/Amend&gt;</w:t>
      </w:r>
    </w:p>
    <w:p w:rsidR="007D3698" w:rsidRPr="00AA1077" w:rsidRDefault="007D3698" w:rsidP="007D3698">
      <w:pPr>
        <w:pStyle w:val="AMNumberTabs"/>
        <w:rPr>
          <w:noProof/>
        </w:rPr>
      </w:pPr>
      <w:r>
        <w:rPr>
          <w:rStyle w:val="HideTWBExt"/>
          <w:b w:val="0"/>
          <w:szCs w:val="24"/>
        </w:rPr>
        <w:t>&lt;Amend&gt;</w:t>
      </w:r>
      <w:r w:rsidRPr="00810763">
        <w:t>Amendement</w:t>
      </w:r>
      <w:r w:rsidRPr="00810763">
        <w:tab/>
      </w:r>
      <w:r w:rsidRPr="00810763">
        <w:tab/>
      </w:r>
      <w:r>
        <w:rPr>
          <w:rStyle w:val="HideTWBExt"/>
          <w:b w:val="0"/>
          <w:szCs w:val="24"/>
        </w:rPr>
        <w:t>&lt;NumAm&gt;</w:t>
      </w:r>
      <w:r w:rsidRPr="00810763">
        <w:t>41</w:t>
      </w:r>
      <w:r>
        <w:rPr>
          <w:rStyle w:val="HideTWBExt"/>
          <w:b w:val="0"/>
          <w:szCs w:val="24"/>
        </w:rPr>
        <w:t>&lt;/NumAm&gt;</w:t>
      </w:r>
    </w:p>
    <w:p w:rsidR="007D3698" w:rsidRPr="007D3698" w:rsidRDefault="007D3698" w:rsidP="007D3698">
      <w:pPr>
        <w:pStyle w:val="NormalBold12b"/>
        <w:rPr>
          <w:noProof/>
        </w:rPr>
      </w:pPr>
      <w:r>
        <w:rPr>
          <w:rStyle w:val="HideTWBExt"/>
          <w:b w:val="0"/>
          <w:szCs w:val="24"/>
          <w:lang w:val="en-GB"/>
        </w:rPr>
        <w:t>&lt;DocAmend&gt;</w:t>
      </w:r>
      <w:r w:rsidRPr="00810763">
        <w:t>Proposition de règlement</w:t>
      </w:r>
      <w:r>
        <w:rPr>
          <w:rStyle w:val="HideTWBExt"/>
          <w:b w:val="0"/>
          <w:szCs w:val="24"/>
          <w:lang w:val="en-GB"/>
        </w:rPr>
        <w:t>&lt;/DocAmend&gt;</w:t>
      </w:r>
    </w:p>
    <w:p w:rsidR="007D3698" w:rsidRPr="00AA1077" w:rsidRDefault="007D3698" w:rsidP="007D3698">
      <w:pPr>
        <w:pStyle w:val="NormalBold"/>
        <w:rPr>
          <w:noProof/>
        </w:rPr>
      </w:pPr>
      <w:r>
        <w:rPr>
          <w:rStyle w:val="HideTWBExt"/>
          <w:b w:val="0"/>
          <w:szCs w:val="24"/>
        </w:rPr>
        <w:t>&lt;Article&gt;</w:t>
      </w:r>
      <w:r w:rsidRPr="00810763">
        <w:t>Article 12 – paragraphe 2</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2.</w:t>
            </w:r>
            <w:r w:rsidRPr="00810763">
              <w:tab/>
              <w:t xml:space="preserve">Des valeurs intermédiaires et des valeurs cibles sont fixées pour chaque objectif spécifique au sein d’un </w:t>
            </w:r>
            <w:r w:rsidRPr="00810763">
              <w:lastRenderedPageBreak/>
              <w:t xml:space="preserve">programme, à l’exception de l’assistance technique et de l’objectif spécifique consistant à lutter contre la privation matérielle, énoncé à l’article [4, </w:t>
            </w:r>
            <w:r w:rsidRPr="00810763">
              <w:rPr>
                <w:b/>
                <w:i/>
              </w:rPr>
              <w:t>point</w:t>
            </w:r>
            <w:r w:rsidRPr="00810763">
              <w:t> </w:t>
            </w:r>
            <w:r w:rsidRPr="00810763">
              <w:rPr>
                <w:b/>
                <w:i/>
              </w:rPr>
              <w:t>c)</w:t>
            </w:r>
            <w:r w:rsidRPr="00810763">
              <w:t> </w:t>
            </w:r>
            <w:r w:rsidRPr="00810763">
              <w:rPr>
                <w:b/>
                <w:i/>
              </w:rPr>
              <w:t>vii</w:t>
            </w:r>
            <w:r w:rsidRPr="00810763">
              <w:t>),] du règlement FSE+.</w:t>
            </w:r>
          </w:p>
        </w:tc>
        <w:tc>
          <w:tcPr>
            <w:tcW w:w="4876" w:type="dxa"/>
            <w:hideMark/>
          </w:tcPr>
          <w:p w:rsidR="007D3698" w:rsidRPr="00810763" w:rsidRDefault="007D3698" w:rsidP="0097579A">
            <w:pPr>
              <w:pStyle w:val="Normal6"/>
              <w:rPr>
                <w:noProof/>
                <w:szCs w:val="24"/>
              </w:rPr>
            </w:pPr>
            <w:r w:rsidRPr="00810763">
              <w:lastRenderedPageBreak/>
              <w:t>2.</w:t>
            </w:r>
            <w:r w:rsidRPr="00810763">
              <w:tab/>
              <w:t xml:space="preserve">Des valeurs intermédiaires et des valeurs cibles sont fixées pour chaque objectif spécifique au sein d’un </w:t>
            </w:r>
            <w:r w:rsidRPr="00810763">
              <w:lastRenderedPageBreak/>
              <w:t xml:space="preserve">programme, à l’exception de l’assistance technique et de l’objectif spécifique consistant à lutter contre la privation matérielle, énoncé à l’article [4, </w:t>
            </w:r>
            <w:r w:rsidRPr="00810763">
              <w:rPr>
                <w:b/>
                <w:i/>
              </w:rPr>
              <w:t>paragraphe</w:t>
            </w:r>
            <w:r w:rsidRPr="00810763">
              <w:t> </w:t>
            </w:r>
            <w:r w:rsidRPr="00810763">
              <w:rPr>
                <w:b/>
                <w:i/>
              </w:rPr>
              <w:t>1, point</w:t>
            </w:r>
            <w:r w:rsidRPr="00810763">
              <w:t> </w:t>
            </w:r>
            <w:r w:rsidRPr="00810763">
              <w:rPr>
                <w:b/>
                <w:i/>
              </w:rPr>
              <w:t>xi</w:t>
            </w:r>
            <w:r w:rsidRPr="00810763">
              <w:t>),] du règlement FSE+.</w:t>
            </w:r>
          </w:p>
        </w:tc>
      </w:tr>
    </w:tbl>
    <w:p w:rsidR="007D3698" w:rsidRPr="007D3698" w:rsidRDefault="007D3698" w:rsidP="007D3698">
      <w:pPr>
        <w:rPr>
          <w:noProof/>
        </w:rPr>
      </w:pPr>
      <w:r w:rsidRPr="00930809">
        <w:rPr>
          <w:rStyle w:val="HideTWBExt"/>
          <w:lang w:val="fr-BE"/>
        </w:rPr>
        <w:lastRenderedPageBreak/>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42</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F15B66" w:rsidRDefault="007D3698" w:rsidP="007D3698">
      <w:pPr>
        <w:pStyle w:val="NormalBold"/>
        <w:rPr>
          <w:noProof/>
        </w:rPr>
      </w:pPr>
      <w:r>
        <w:rPr>
          <w:rStyle w:val="HideTWBExt"/>
          <w:b w:val="0"/>
          <w:szCs w:val="24"/>
        </w:rPr>
        <w:t>&lt;Article&gt;</w:t>
      </w:r>
      <w:r w:rsidRPr="00810763">
        <w:t>Article 14 – paragraphe 1 – point 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F15B66"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rPr>
                <w:b/>
                <w:i/>
              </w:rPr>
              <w:t>(</w:t>
            </w:r>
            <w:r w:rsidRPr="00810763">
              <w:t>a)</w:t>
            </w:r>
            <w:r w:rsidRPr="00810763">
              <w:tab/>
              <w:t>les défis recensés dans les recommandations par pays pertinentes adoptées en 2024;</w:t>
            </w:r>
          </w:p>
        </w:tc>
        <w:tc>
          <w:tcPr>
            <w:tcW w:w="4876" w:type="dxa"/>
            <w:hideMark/>
          </w:tcPr>
          <w:p w:rsidR="007D3698" w:rsidRPr="00810763" w:rsidRDefault="007D3698" w:rsidP="0097579A">
            <w:pPr>
              <w:pStyle w:val="Normal6"/>
              <w:rPr>
                <w:noProof/>
                <w:szCs w:val="24"/>
              </w:rPr>
            </w:pPr>
            <w:r w:rsidRPr="00810763">
              <w:t>a)</w:t>
            </w:r>
            <w:r w:rsidRPr="00810763">
              <w:tab/>
              <w:t>les</w:t>
            </w:r>
            <w:r w:rsidRPr="00810763">
              <w:rPr>
                <w:b/>
                <w:i/>
              </w:rPr>
              <w:t xml:space="preserve"> nouveaux</w:t>
            </w:r>
            <w:r w:rsidRPr="00810763">
              <w:t xml:space="preserve"> défis recensés dans les recommandations par pays pertinentes adoptées en 2024;</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43</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14 – paragraphe 1 – point b</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rPr>
                <w:b/>
                <w:i/>
              </w:rPr>
              <w:t>(</w:t>
            </w:r>
            <w:r w:rsidRPr="00810763">
              <w:t>b)</w:t>
            </w:r>
            <w:r w:rsidRPr="00810763">
              <w:tab/>
              <w:t>la situation socio-économique de l’État membre ou de la région concerné;</w:t>
            </w:r>
          </w:p>
        </w:tc>
        <w:tc>
          <w:tcPr>
            <w:tcW w:w="4876" w:type="dxa"/>
            <w:hideMark/>
          </w:tcPr>
          <w:p w:rsidR="007D3698" w:rsidRPr="00810763" w:rsidRDefault="007D3698" w:rsidP="0097579A">
            <w:pPr>
              <w:pStyle w:val="Normal6"/>
              <w:rPr>
                <w:noProof/>
                <w:szCs w:val="24"/>
              </w:rPr>
            </w:pPr>
            <w:r w:rsidRPr="00810763">
              <w:t>b)</w:t>
            </w:r>
            <w:r w:rsidRPr="00810763">
              <w:tab/>
              <w:t>la situation socio-économique de l’État membre ou de la région concerné</w:t>
            </w:r>
            <w:r w:rsidRPr="00810763">
              <w:rPr>
                <w:b/>
                <w:i/>
              </w:rPr>
              <w:t>, y compris les problèmes auxquels l’État membre est confronté et que le tableau de bord social et le rapport conjoint sur l’emploi ont mis en évidence,</w:t>
            </w:r>
            <w:r w:rsidRPr="00810763">
              <w:t xml:space="preserve"> </w:t>
            </w:r>
            <w:r w:rsidRPr="00810763">
              <w:rPr>
                <w:b/>
                <w:i/>
              </w:rPr>
              <w:t>en prenant comme point de référence le socle européen des droits sociaux</w:t>
            </w:r>
            <w:r w:rsidRPr="00810763">
              <w:t>;</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44</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14 – paragraphe 1 – point d bis (nouveau)</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p>
        </w:tc>
        <w:tc>
          <w:tcPr>
            <w:tcW w:w="4876" w:type="dxa"/>
            <w:hideMark/>
          </w:tcPr>
          <w:p w:rsidR="007D3698" w:rsidRPr="00810763" w:rsidRDefault="007D3698" w:rsidP="0097579A">
            <w:pPr>
              <w:pStyle w:val="Normal6"/>
              <w:rPr>
                <w:noProof/>
                <w:szCs w:val="24"/>
              </w:rPr>
            </w:pPr>
            <w:r w:rsidRPr="00810763">
              <w:rPr>
                <w:b/>
                <w:i/>
              </w:rPr>
              <w:t>d bis)</w:t>
            </w:r>
            <w:r w:rsidRPr="00810763">
              <w:rPr>
                <w:b/>
                <w:i/>
              </w:rPr>
              <w:tab/>
              <w:t>toute évolution financière ou économique négative majeure qui nécessite un ajustement des programmes.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lastRenderedPageBreak/>
        <w:t>&lt;Amend&gt;</w:t>
      </w:r>
      <w:r w:rsidRPr="00810763">
        <w:t>Amendement</w:t>
      </w:r>
      <w:r w:rsidRPr="00810763">
        <w:tab/>
      </w:r>
      <w:r w:rsidRPr="00810763">
        <w:tab/>
      </w:r>
      <w:r w:rsidRPr="00930809">
        <w:rPr>
          <w:rStyle w:val="HideTWBExt"/>
          <w:b w:val="0"/>
          <w:szCs w:val="24"/>
          <w:lang w:val="fr-BE"/>
        </w:rPr>
        <w:t>&lt;NumAm&gt;</w:t>
      </w:r>
      <w:r w:rsidRPr="00810763">
        <w:t>45</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15</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AA1077" w:rsidTr="0097579A">
        <w:trPr>
          <w:jc w:val="center"/>
        </w:trPr>
        <w:tc>
          <w:tcPr>
            <w:tcW w:w="4876" w:type="dxa"/>
            <w:hideMark/>
          </w:tcPr>
          <w:p w:rsidR="007D3698" w:rsidRPr="00810763" w:rsidRDefault="007D3698" w:rsidP="0097579A">
            <w:pPr>
              <w:pStyle w:val="Normal6"/>
              <w:rPr>
                <w:b/>
                <w:bCs/>
                <w:i/>
                <w:iCs/>
                <w:noProof/>
              </w:rPr>
            </w:pPr>
            <w:r w:rsidRPr="00810763">
              <w:rPr>
                <w:b/>
                <w:bCs/>
                <w:i/>
                <w:iCs/>
              </w:rPr>
              <w:t>[...]</w:t>
            </w:r>
          </w:p>
        </w:tc>
        <w:tc>
          <w:tcPr>
            <w:tcW w:w="4876" w:type="dxa"/>
            <w:hideMark/>
          </w:tcPr>
          <w:p w:rsidR="007D3698" w:rsidRPr="00810763" w:rsidRDefault="007D3698" w:rsidP="0097579A">
            <w:pPr>
              <w:pStyle w:val="Normal6"/>
              <w:rPr>
                <w:b/>
                <w:bCs/>
                <w:i/>
                <w:iCs/>
                <w:noProof/>
                <w:szCs w:val="24"/>
              </w:rPr>
            </w:pPr>
            <w:r w:rsidRPr="00810763">
              <w:rPr>
                <w:b/>
                <w:bCs/>
                <w:i/>
                <w:iCs/>
              </w:rPr>
              <w:t>supprimé</w:t>
            </w:r>
          </w:p>
        </w:tc>
      </w:tr>
    </w:tbl>
    <w:p w:rsidR="007D3698" w:rsidRPr="00AA1077" w:rsidRDefault="007D3698" w:rsidP="007D3698">
      <w:pPr>
        <w:rPr>
          <w:noProof/>
        </w:rPr>
      </w:pPr>
      <w:r>
        <w:rPr>
          <w:rStyle w:val="HideTWBExt"/>
        </w:rPr>
        <w:t>&lt;/Amend&gt;</w:t>
      </w:r>
    </w:p>
    <w:p w:rsidR="007D3698" w:rsidRPr="00AA1077" w:rsidRDefault="007D3698" w:rsidP="007D3698">
      <w:pPr>
        <w:pStyle w:val="AMNumberTabs"/>
        <w:rPr>
          <w:noProof/>
        </w:rPr>
      </w:pPr>
      <w:r>
        <w:rPr>
          <w:rStyle w:val="HideTWBExt"/>
          <w:b w:val="0"/>
          <w:szCs w:val="24"/>
        </w:rPr>
        <w:t>&lt;Amend&gt;</w:t>
      </w:r>
      <w:r w:rsidRPr="00810763">
        <w:t>Amendement</w:t>
      </w:r>
      <w:r w:rsidRPr="00810763">
        <w:tab/>
      </w:r>
      <w:r w:rsidRPr="00810763">
        <w:tab/>
      </w:r>
      <w:r>
        <w:rPr>
          <w:rStyle w:val="HideTWBExt"/>
          <w:b w:val="0"/>
          <w:szCs w:val="24"/>
        </w:rPr>
        <w:t>&lt;NumAm&gt;</w:t>
      </w:r>
      <w:r w:rsidRPr="00810763">
        <w:t>46</w:t>
      </w:r>
      <w:r>
        <w:rPr>
          <w:rStyle w:val="HideTWBExt"/>
          <w:b w:val="0"/>
          <w:szCs w:val="24"/>
        </w:rPr>
        <w:t>&lt;/NumAm&gt;</w:t>
      </w:r>
    </w:p>
    <w:p w:rsidR="007D3698" w:rsidRPr="007D3698" w:rsidRDefault="007D3698" w:rsidP="007D3698">
      <w:pPr>
        <w:pStyle w:val="NormalBold12b"/>
        <w:rPr>
          <w:noProof/>
        </w:rPr>
      </w:pPr>
      <w:r>
        <w:rPr>
          <w:rStyle w:val="HideTWBExt"/>
          <w:b w:val="0"/>
          <w:szCs w:val="24"/>
          <w:lang w:val="en-GB"/>
        </w:rPr>
        <w:t>&lt;DocAmend&gt;</w:t>
      </w:r>
      <w:r w:rsidRPr="00810763">
        <w:t>Proposition de règlement</w:t>
      </w:r>
      <w:r>
        <w:rPr>
          <w:rStyle w:val="HideTWBExt"/>
          <w:b w:val="0"/>
          <w:szCs w:val="24"/>
          <w:lang w:val="en-GB"/>
        </w:rPr>
        <w:t>&lt;/DocAmend&gt;</w:t>
      </w:r>
    </w:p>
    <w:p w:rsidR="007D3698" w:rsidRPr="00AA1077" w:rsidRDefault="007D3698" w:rsidP="007D3698">
      <w:pPr>
        <w:pStyle w:val="NormalBold"/>
        <w:rPr>
          <w:noProof/>
        </w:rPr>
      </w:pPr>
      <w:r>
        <w:rPr>
          <w:rStyle w:val="HideTWBExt"/>
          <w:b w:val="0"/>
          <w:szCs w:val="24"/>
        </w:rPr>
        <w:t>&lt;Article&gt;</w:t>
      </w:r>
      <w:r w:rsidRPr="00810763">
        <w:t>Article 17 – paragraphe 3 – alinéa 1 – point d – sous-point vi</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vi)</w:t>
            </w:r>
            <w:r w:rsidRPr="00810763">
              <w:tab/>
              <w:t>l’utilisation prévue d’instruments financiers;</w:t>
            </w:r>
          </w:p>
        </w:tc>
        <w:tc>
          <w:tcPr>
            <w:tcW w:w="4876" w:type="dxa"/>
            <w:hideMark/>
          </w:tcPr>
          <w:p w:rsidR="007D3698" w:rsidRPr="00810763" w:rsidRDefault="007D3698" w:rsidP="0097579A">
            <w:pPr>
              <w:pStyle w:val="Normal6"/>
              <w:rPr>
                <w:noProof/>
                <w:szCs w:val="24"/>
              </w:rPr>
            </w:pPr>
            <w:r w:rsidRPr="00810763">
              <w:t>vi)</w:t>
            </w:r>
            <w:r w:rsidRPr="00810763">
              <w:tab/>
              <w:t>l’utilisation prévue d’instruments financiers</w:t>
            </w:r>
            <w:r w:rsidRPr="00810763">
              <w:rPr>
                <w:b/>
                <w:i/>
              </w:rPr>
              <w:t>, le cas échéant</w:t>
            </w:r>
            <w:r w:rsidRPr="00810763">
              <w:t>;</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47</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18 – paragraphe 4</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4.</w:t>
            </w:r>
            <w:r w:rsidRPr="00810763">
              <w:tab/>
              <w:t xml:space="preserve">La Commission adopte, au moyen d’un acte d’exécution, une décision portant approbation du programme au plus tard </w:t>
            </w:r>
            <w:r w:rsidRPr="00810763">
              <w:rPr>
                <w:b/>
                <w:i/>
              </w:rPr>
              <w:t>six</w:t>
            </w:r>
            <w:r w:rsidRPr="00810763">
              <w:t xml:space="preserve"> mois après la date de soumission de ce programme par l’État membre.</w:t>
            </w:r>
          </w:p>
        </w:tc>
        <w:tc>
          <w:tcPr>
            <w:tcW w:w="4876" w:type="dxa"/>
            <w:hideMark/>
          </w:tcPr>
          <w:p w:rsidR="007D3698" w:rsidRPr="00810763" w:rsidRDefault="007D3698" w:rsidP="0097579A">
            <w:pPr>
              <w:pStyle w:val="Normal6"/>
              <w:rPr>
                <w:noProof/>
                <w:szCs w:val="24"/>
              </w:rPr>
            </w:pPr>
            <w:r w:rsidRPr="00810763">
              <w:t>4.</w:t>
            </w:r>
            <w:r w:rsidRPr="00810763">
              <w:tab/>
              <w:t xml:space="preserve">La Commission adopte, au moyen d’un acte d’exécution, une décision portant approbation du programme au plus tard </w:t>
            </w:r>
            <w:r w:rsidRPr="00810763">
              <w:rPr>
                <w:b/>
                <w:i/>
              </w:rPr>
              <w:t>quatre</w:t>
            </w:r>
            <w:r w:rsidRPr="00810763">
              <w:t xml:space="preserve"> mois après la date de soumission de ce programme par l’État membre.</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48</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19 – paragraphe 4</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4.</w:t>
            </w:r>
            <w:r w:rsidRPr="00810763">
              <w:tab/>
              <w:t xml:space="preserve">La Commission approuve la modification d’un programme au plus tard </w:t>
            </w:r>
            <w:r w:rsidRPr="00810763">
              <w:rPr>
                <w:b/>
                <w:i/>
              </w:rPr>
              <w:t>six</w:t>
            </w:r>
            <w:r w:rsidRPr="00810763">
              <w:t xml:space="preserve"> mois après la soumission de celle-ci par l’État membre.</w:t>
            </w:r>
          </w:p>
        </w:tc>
        <w:tc>
          <w:tcPr>
            <w:tcW w:w="4876" w:type="dxa"/>
            <w:hideMark/>
          </w:tcPr>
          <w:p w:rsidR="007D3698" w:rsidRPr="00810763" w:rsidRDefault="007D3698" w:rsidP="0097579A">
            <w:pPr>
              <w:pStyle w:val="Normal6"/>
              <w:rPr>
                <w:noProof/>
                <w:szCs w:val="24"/>
              </w:rPr>
            </w:pPr>
            <w:r w:rsidRPr="00810763">
              <w:t>4.</w:t>
            </w:r>
            <w:r w:rsidRPr="00810763">
              <w:tab/>
              <w:t xml:space="preserve">La Commission approuve la modification d’un programme au plus tard </w:t>
            </w:r>
            <w:r w:rsidRPr="00810763">
              <w:rPr>
                <w:b/>
                <w:i/>
              </w:rPr>
              <w:t>quatre</w:t>
            </w:r>
            <w:r w:rsidRPr="00810763">
              <w:t xml:space="preserve"> mois après la soumission de celle-ci par l’État membre.</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49</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lastRenderedPageBreak/>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20 – paragraphe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1.</w:t>
            </w:r>
            <w:r w:rsidRPr="00810763">
              <w:tab/>
              <w:t xml:space="preserve">Le FEDER, le FSE+ et le Fonds de cohésion peuvent apporter un soutien conjoint aux programmes relevant de l’objectif «Investissement pour l’emploi </w:t>
            </w:r>
            <w:r w:rsidRPr="00810763">
              <w:rPr>
                <w:b/>
                <w:i/>
              </w:rPr>
              <w:t>et</w:t>
            </w:r>
            <w:r w:rsidRPr="00810763">
              <w:t xml:space="preserve"> la croissance».</w:t>
            </w:r>
          </w:p>
        </w:tc>
        <w:tc>
          <w:tcPr>
            <w:tcW w:w="4876" w:type="dxa"/>
            <w:hideMark/>
          </w:tcPr>
          <w:p w:rsidR="007D3698" w:rsidRPr="00810763" w:rsidRDefault="007D3698" w:rsidP="0097579A">
            <w:pPr>
              <w:pStyle w:val="Normal6"/>
              <w:rPr>
                <w:noProof/>
                <w:szCs w:val="24"/>
              </w:rPr>
            </w:pPr>
            <w:r w:rsidRPr="00810763">
              <w:t>1.</w:t>
            </w:r>
            <w:r w:rsidRPr="00810763">
              <w:tab/>
              <w:t>Le FEDER, le FSE+ et le Fonds de cohésion peuvent apporter un soutien conjoint aux programmes relevant de l’objectif «Investissement pour l’emploi</w:t>
            </w:r>
            <w:r w:rsidRPr="00810763">
              <w:rPr>
                <w:b/>
                <w:i/>
              </w:rPr>
              <w:t>,</w:t>
            </w:r>
            <w:r w:rsidRPr="00810763">
              <w:t xml:space="preserve"> la croissance</w:t>
            </w:r>
            <w:r w:rsidRPr="00810763">
              <w:rPr>
                <w:b/>
                <w:i/>
              </w:rPr>
              <w:t>, l’inclusion sociale et la convergence ascendante</w:t>
            </w:r>
            <w:r w:rsidRPr="00810763">
              <w:t>».</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50</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21 – paragraphe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1.</w:t>
            </w:r>
            <w:r w:rsidRPr="00810763">
              <w:tab/>
              <w:t>Les États membres peuvent demander le transfert d’un montant maximal de 5</w:t>
            </w:r>
            <w:r w:rsidRPr="00810763">
              <w:rPr>
                <w:b/>
                <w:i/>
              </w:rPr>
              <w:t> </w:t>
            </w:r>
            <w:r w:rsidRPr="00810763">
              <w:t xml:space="preserve">% des dotations financières des programmes par l’un quelconque des Fonds </w:t>
            </w:r>
            <w:r w:rsidRPr="00810763">
              <w:rPr>
                <w:b/>
                <w:i/>
              </w:rPr>
              <w:t>à tout autre Fonds faisant l’objet d’une gestion partagée ou tout instrument en gestion directe ou indirecte</w:t>
            </w:r>
            <w:r w:rsidRPr="00810763">
              <w:t>.</w:t>
            </w:r>
          </w:p>
        </w:tc>
        <w:tc>
          <w:tcPr>
            <w:tcW w:w="4876" w:type="dxa"/>
            <w:hideMark/>
          </w:tcPr>
          <w:p w:rsidR="007D3698" w:rsidRPr="00810763" w:rsidRDefault="007D3698" w:rsidP="0097579A">
            <w:pPr>
              <w:pStyle w:val="Normal6"/>
              <w:rPr>
                <w:noProof/>
                <w:szCs w:val="24"/>
              </w:rPr>
            </w:pPr>
            <w:r w:rsidRPr="00810763">
              <w:t>1.</w:t>
            </w:r>
            <w:r w:rsidRPr="00810763">
              <w:tab/>
              <w:t>Les États membres peuvent demander le transfert d’un montant maximal de 5</w:t>
            </w:r>
            <w:r w:rsidRPr="00810763">
              <w:rPr>
                <w:b/>
                <w:i/>
              </w:rPr>
              <w:t xml:space="preserve"> </w:t>
            </w:r>
            <w:r w:rsidRPr="00810763">
              <w:t xml:space="preserve">% des dotations financières des programmes par l’un quelconque des Fonds </w:t>
            </w:r>
            <w:r w:rsidRPr="00810763">
              <w:rPr>
                <w:b/>
                <w:i/>
              </w:rPr>
              <w:t>au Fonds européen de développement régional, au Fonds social européen plus ou au Fonds de cohésion</w:t>
            </w:r>
            <w:r w:rsidRPr="00810763">
              <w:t>.</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51</w:t>
      </w:r>
      <w:r w:rsidRPr="00930809">
        <w:rPr>
          <w:rStyle w:val="HideTWBExt"/>
          <w:b w:val="0"/>
          <w:szCs w:val="24"/>
          <w:lang w:val="fr-BE"/>
        </w:rPr>
        <w:t>&lt;/NumAm&gt;</w:t>
      </w:r>
    </w:p>
    <w:p w:rsidR="007D3698" w:rsidRPr="007D3698" w:rsidRDefault="007D3698" w:rsidP="007D3698">
      <w:pPr>
        <w:pStyle w:val="NormalBold12b"/>
        <w:keepNext/>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F15B66" w:rsidRDefault="007D3698" w:rsidP="007D3698">
      <w:pPr>
        <w:pStyle w:val="NormalBold"/>
        <w:rPr>
          <w:noProof/>
        </w:rPr>
      </w:pPr>
      <w:r>
        <w:rPr>
          <w:rStyle w:val="HideTWBExt"/>
          <w:b w:val="0"/>
          <w:szCs w:val="24"/>
        </w:rPr>
        <w:t>&lt;Article&gt;</w:t>
      </w:r>
      <w:r w:rsidRPr="00810763">
        <w:t>Article 25 – paragraphe 2 – point b</w:t>
      </w:r>
      <w:r>
        <w:rPr>
          <w:rStyle w:val="HideTWBExt"/>
          <w:b w:val="0"/>
          <w:szCs w:val="24"/>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3698" w:rsidRPr="00F15B66" w:rsidTr="0097579A">
        <w:trPr>
          <w:jc w:val="center"/>
        </w:trPr>
        <w:tc>
          <w:tcPr>
            <w:tcW w:w="9752" w:type="dxa"/>
            <w:gridSpan w:val="2"/>
          </w:tcPr>
          <w:p w:rsidR="007D3698" w:rsidRPr="00F15B66" w:rsidRDefault="007D3698" w:rsidP="0097579A">
            <w:pPr>
              <w:keepNext/>
              <w:rPr>
                <w:noProof/>
              </w:rPr>
            </w:pPr>
          </w:p>
        </w:tc>
      </w:tr>
      <w:tr w:rsidR="007D3698" w:rsidRPr="00AA1077" w:rsidTr="0097579A">
        <w:trPr>
          <w:jc w:val="center"/>
        </w:trPr>
        <w:tc>
          <w:tcPr>
            <w:tcW w:w="4876" w:type="dxa"/>
          </w:tcPr>
          <w:p w:rsidR="007D3698" w:rsidRPr="00810763" w:rsidRDefault="007D3698" w:rsidP="0097579A">
            <w:pPr>
              <w:pStyle w:val="ColumnHeading"/>
              <w:keepNext/>
              <w:rPr>
                <w:noProof/>
              </w:rPr>
            </w:pPr>
            <w:r w:rsidRPr="00810763">
              <w:t>Texte proposé par la Commission</w:t>
            </w:r>
          </w:p>
        </w:tc>
        <w:tc>
          <w:tcPr>
            <w:tcW w:w="4876" w:type="dxa"/>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r w:rsidRPr="00930809">
              <w:rPr>
                <w:b/>
                <w:i/>
              </w:rPr>
              <w:t>(</w:t>
            </w:r>
            <w:r w:rsidRPr="00810763">
              <w:t>b)</w:t>
            </w:r>
            <w:r w:rsidRPr="00810763">
              <w:tab/>
              <w:t>dirigé par des groupes d’action locale composés de représentants des intérêts socioéconomiques publics et privés locaux, dans lesquels la prise de décision n’appartient à aucun groupe d’intérêt en particulier;</w:t>
            </w:r>
          </w:p>
        </w:tc>
        <w:tc>
          <w:tcPr>
            <w:tcW w:w="4876" w:type="dxa"/>
          </w:tcPr>
          <w:p w:rsidR="007D3698" w:rsidRPr="00810763" w:rsidRDefault="007D3698" w:rsidP="0097579A">
            <w:pPr>
              <w:pStyle w:val="Normal6"/>
              <w:rPr>
                <w:noProof/>
                <w:szCs w:val="24"/>
              </w:rPr>
            </w:pPr>
            <w:r w:rsidRPr="00810763">
              <w:t>b)</w:t>
            </w:r>
            <w:r w:rsidRPr="00810763">
              <w:tab/>
              <w:t xml:space="preserve">dirigé par des groupes d’action locale </w:t>
            </w:r>
            <w:r w:rsidRPr="00810763">
              <w:rPr>
                <w:b/>
                <w:i/>
              </w:rPr>
              <w:t xml:space="preserve">ou régionale </w:t>
            </w:r>
            <w:r w:rsidRPr="00810763">
              <w:t>composés</w:t>
            </w:r>
            <w:r w:rsidRPr="00810763">
              <w:rPr>
                <w:b/>
                <w:i/>
              </w:rPr>
              <w:t xml:space="preserve"> de représentants de la société civile, de partenaires sociaux ainsi que</w:t>
            </w:r>
            <w:r w:rsidRPr="00810763">
              <w:t xml:space="preserve"> de représentants des intérêts socioéconomiques publics et privés locaux, dans lesquels la prise de décision n’appartient à aucun groupe d’intérêt en particulier;</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52</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lastRenderedPageBreak/>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31 – paragraphe 2 – point a</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rPr>
                <w:b/>
                <w:i/>
              </w:rPr>
              <w:t>(</w:t>
            </w:r>
            <w:r w:rsidRPr="00810763">
              <w:t>a)</w:t>
            </w:r>
            <w:r w:rsidRPr="00810763">
              <w:tab/>
              <w:t xml:space="preserve">pour le soutien fourni par le FEDER au titre de l’objectif «Investissement pour l’emploi </w:t>
            </w:r>
            <w:r w:rsidRPr="00810763">
              <w:rPr>
                <w:b/>
                <w:i/>
              </w:rPr>
              <w:t>et</w:t>
            </w:r>
            <w:r w:rsidRPr="00810763">
              <w:t xml:space="preserve"> la croissance», ainsi que pour le soutien du Fonds de cohésion: 2,5 %;</w:t>
            </w:r>
          </w:p>
        </w:tc>
        <w:tc>
          <w:tcPr>
            <w:tcW w:w="4876" w:type="dxa"/>
            <w:hideMark/>
          </w:tcPr>
          <w:p w:rsidR="007D3698" w:rsidRPr="00810763" w:rsidRDefault="007D3698" w:rsidP="0097579A">
            <w:pPr>
              <w:pStyle w:val="Normal6"/>
              <w:rPr>
                <w:noProof/>
                <w:szCs w:val="24"/>
              </w:rPr>
            </w:pPr>
            <w:r w:rsidRPr="00810763">
              <w:t>a)</w:t>
            </w:r>
            <w:r w:rsidRPr="00810763">
              <w:tab/>
              <w:t>pour le soutien fourni par le FEDER au titre de l’objectif «Investissement pour l’emploi</w:t>
            </w:r>
            <w:r w:rsidRPr="00810763">
              <w:rPr>
                <w:b/>
                <w:i/>
              </w:rPr>
              <w:t>,</w:t>
            </w:r>
            <w:r w:rsidRPr="00810763">
              <w:t xml:space="preserve"> la croissance</w:t>
            </w:r>
            <w:r w:rsidRPr="00810763">
              <w:rPr>
                <w:b/>
                <w:i/>
              </w:rPr>
              <w:t>, l’inclusion sociale et la convergence ascendante</w:t>
            </w:r>
            <w:r w:rsidRPr="00810763">
              <w:t>», ainsi que pour le soutien du Fonds de cohésion: 2,5 %;</w:t>
            </w:r>
          </w:p>
        </w:tc>
      </w:tr>
      <w:tr w:rsidR="007D3698" w:rsidRPr="007D3698" w:rsidTr="0097579A">
        <w:trPr>
          <w:jc w:val="center"/>
        </w:trPr>
        <w:tc>
          <w:tcPr>
            <w:tcW w:w="4876" w:type="dxa"/>
          </w:tcPr>
          <w:p w:rsidR="007D3698" w:rsidRPr="00930809" w:rsidRDefault="007D3698" w:rsidP="0097579A">
            <w:pPr>
              <w:pStyle w:val="Normal6"/>
              <w:rPr>
                <w:noProof/>
                <w:lang w:val="fr-BE"/>
              </w:rPr>
            </w:pPr>
          </w:p>
        </w:tc>
        <w:tc>
          <w:tcPr>
            <w:tcW w:w="4876" w:type="dxa"/>
            <w:hideMark/>
          </w:tcPr>
          <w:p w:rsidR="007D3698" w:rsidRPr="00930809" w:rsidRDefault="007D3698" w:rsidP="0097579A">
            <w:pPr>
              <w:pStyle w:val="Normal6"/>
              <w:rPr>
                <w:noProof/>
                <w:szCs w:val="24"/>
                <w:lang w:val="fr-BE"/>
              </w:rPr>
            </w:pP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53</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F15B66" w:rsidRDefault="007D3698" w:rsidP="007D3698">
      <w:pPr>
        <w:pStyle w:val="NormalBold"/>
        <w:rPr>
          <w:noProof/>
        </w:rPr>
      </w:pPr>
      <w:r>
        <w:rPr>
          <w:rStyle w:val="HideTWBExt"/>
          <w:b w:val="0"/>
          <w:szCs w:val="24"/>
        </w:rPr>
        <w:t>&lt;Article&gt;</w:t>
      </w:r>
      <w:r w:rsidRPr="00810763">
        <w:t>Article 31 – paragraphe 2 – point b</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F15B66"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AA1077" w:rsidTr="0097579A">
        <w:trPr>
          <w:jc w:val="center"/>
        </w:trPr>
        <w:tc>
          <w:tcPr>
            <w:tcW w:w="4876" w:type="dxa"/>
            <w:hideMark/>
          </w:tcPr>
          <w:p w:rsidR="007D3698" w:rsidRPr="00810763" w:rsidRDefault="007D3698" w:rsidP="0097579A">
            <w:pPr>
              <w:pStyle w:val="Normal6"/>
              <w:rPr>
                <w:noProof/>
              </w:rPr>
            </w:pPr>
            <w:r w:rsidRPr="00810763">
              <w:rPr>
                <w:b/>
                <w:i/>
              </w:rPr>
              <w:t>(</w:t>
            </w:r>
            <w:r w:rsidRPr="00810763">
              <w:t>b)</w:t>
            </w:r>
            <w:r w:rsidRPr="00810763">
              <w:tab/>
              <w:t xml:space="preserve">pour le </w:t>
            </w:r>
            <w:r w:rsidRPr="00810763">
              <w:rPr>
                <w:b/>
                <w:i/>
              </w:rPr>
              <w:t xml:space="preserve">soutien du </w:t>
            </w:r>
            <w:r w:rsidRPr="00810763">
              <w:t>FSE</w:t>
            </w:r>
            <w:r w:rsidRPr="00810763">
              <w:rPr>
                <w:b/>
                <w:i/>
              </w:rPr>
              <w:t xml:space="preserve"> +: 4 %, et pour les programmes au titre de l’article 4, paragraphe 1, point c) vii), du règlement FSE </w:t>
            </w:r>
            <w:r w:rsidRPr="00810763">
              <w:t>+: 5 %;</w:t>
            </w:r>
          </w:p>
        </w:tc>
        <w:tc>
          <w:tcPr>
            <w:tcW w:w="4876" w:type="dxa"/>
            <w:hideMark/>
          </w:tcPr>
          <w:p w:rsidR="007D3698" w:rsidRPr="00810763" w:rsidRDefault="007D3698" w:rsidP="0097579A">
            <w:pPr>
              <w:pStyle w:val="Normal6"/>
              <w:rPr>
                <w:noProof/>
                <w:szCs w:val="24"/>
              </w:rPr>
            </w:pPr>
            <w:r w:rsidRPr="00810763">
              <w:t>b)</w:t>
            </w:r>
            <w:r w:rsidRPr="00810763">
              <w:tab/>
              <w:t>pour le FSE+: 5 %;</w:t>
            </w:r>
          </w:p>
        </w:tc>
      </w:tr>
    </w:tbl>
    <w:p w:rsidR="007D3698" w:rsidRPr="00AA1077" w:rsidRDefault="007D3698" w:rsidP="007D3698">
      <w:pPr>
        <w:rPr>
          <w:noProof/>
        </w:rPr>
      </w:pPr>
      <w:r>
        <w:rPr>
          <w:rStyle w:val="HideTWBExt"/>
        </w:rPr>
        <w:t>&lt;/Amend&gt;</w:t>
      </w:r>
    </w:p>
    <w:p w:rsidR="007D3698" w:rsidRPr="00AA1077" w:rsidRDefault="007D3698" w:rsidP="007D3698">
      <w:pPr>
        <w:pStyle w:val="AMNumberTabs"/>
        <w:rPr>
          <w:noProof/>
        </w:rPr>
      </w:pPr>
      <w:r>
        <w:rPr>
          <w:rStyle w:val="HideTWBExt"/>
          <w:b w:val="0"/>
          <w:szCs w:val="24"/>
        </w:rPr>
        <w:t>&lt;Amend&gt;</w:t>
      </w:r>
      <w:r w:rsidRPr="00810763">
        <w:t>Amendement</w:t>
      </w:r>
      <w:r w:rsidRPr="00810763">
        <w:tab/>
      </w:r>
      <w:r w:rsidRPr="00810763">
        <w:tab/>
      </w:r>
      <w:r>
        <w:rPr>
          <w:rStyle w:val="HideTWBExt"/>
          <w:b w:val="0"/>
          <w:szCs w:val="24"/>
        </w:rPr>
        <w:t>&lt;NumAm&gt;</w:t>
      </w:r>
      <w:r w:rsidRPr="00810763">
        <w:t>54</w:t>
      </w:r>
      <w:r>
        <w:rPr>
          <w:rStyle w:val="HideTWBExt"/>
          <w:b w:val="0"/>
          <w:szCs w:val="24"/>
        </w:rPr>
        <w:t>&lt;/NumAm&gt;</w:t>
      </w:r>
    </w:p>
    <w:p w:rsidR="007D3698" w:rsidRPr="007D3698" w:rsidRDefault="007D3698" w:rsidP="007D3698">
      <w:pPr>
        <w:pStyle w:val="NormalBold12b"/>
        <w:keepNext/>
        <w:rPr>
          <w:noProof/>
        </w:rPr>
      </w:pPr>
      <w:r>
        <w:rPr>
          <w:rStyle w:val="HideTWBExt"/>
          <w:b w:val="0"/>
          <w:szCs w:val="24"/>
          <w:lang w:val="en-GB"/>
        </w:rPr>
        <w:t>&lt;DocAmend&gt;</w:t>
      </w:r>
      <w:r w:rsidRPr="00810763">
        <w:t>Proposition de règlement</w:t>
      </w:r>
      <w:r>
        <w:rPr>
          <w:rStyle w:val="HideTWBExt"/>
          <w:b w:val="0"/>
          <w:szCs w:val="24"/>
          <w:lang w:val="en-GB"/>
        </w:rPr>
        <w:t>&lt;/DocAmend&gt;</w:t>
      </w:r>
    </w:p>
    <w:p w:rsidR="007D3698" w:rsidRPr="00AA1077" w:rsidRDefault="007D3698" w:rsidP="007D3698">
      <w:pPr>
        <w:pStyle w:val="NormalBold"/>
        <w:rPr>
          <w:noProof/>
        </w:rPr>
      </w:pPr>
      <w:r>
        <w:rPr>
          <w:rStyle w:val="HideTWBExt"/>
          <w:b w:val="0"/>
          <w:szCs w:val="24"/>
        </w:rPr>
        <w:t>&lt;Article&gt;</w:t>
      </w:r>
      <w:r w:rsidRPr="00810763">
        <w:t>Article 35 – paragraphe 1 – point c bis (nouveau)</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trHeight w:val="1116"/>
          <w:jc w:val="center"/>
        </w:trPr>
        <w:tc>
          <w:tcPr>
            <w:tcW w:w="4876" w:type="dxa"/>
          </w:tcPr>
          <w:p w:rsidR="007D3698" w:rsidRPr="00810763" w:rsidRDefault="007D3698" w:rsidP="0097579A">
            <w:pPr>
              <w:pStyle w:val="Normal6"/>
              <w:rPr>
                <w:noProof/>
              </w:rPr>
            </w:pPr>
          </w:p>
        </w:tc>
        <w:tc>
          <w:tcPr>
            <w:tcW w:w="4876" w:type="dxa"/>
            <w:hideMark/>
          </w:tcPr>
          <w:p w:rsidR="007D3698" w:rsidRPr="00810763" w:rsidRDefault="007D3698" w:rsidP="0097579A">
            <w:pPr>
              <w:pStyle w:val="Normal6"/>
              <w:rPr>
                <w:noProof/>
                <w:szCs w:val="24"/>
              </w:rPr>
            </w:pPr>
            <w:r w:rsidRPr="00810763">
              <w:rPr>
                <w:b/>
                <w:i/>
              </w:rPr>
              <w:t>c bis)</w:t>
            </w:r>
            <w:r w:rsidRPr="00810763">
              <w:rPr>
                <w:b/>
                <w:i/>
              </w:rPr>
              <w:tab/>
              <w:t>en cas d’épuisement prématuré des ressources (financières), la manière dont les objectifs du programme peuvent encore être atteints au cours de la période 2021-2027;</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55</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F15B66" w:rsidRDefault="007D3698" w:rsidP="007D3698">
      <w:pPr>
        <w:pStyle w:val="NormalBold"/>
        <w:rPr>
          <w:noProof/>
        </w:rPr>
      </w:pPr>
      <w:r>
        <w:rPr>
          <w:rStyle w:val="HideTWBExt"/>
          <w:b w:val="0"/>
          <w:szCs w:val="24"/>
        </w:rPr>
        <w:t>&lt;Article&gt;</w:t>
      </w:r>
      <w:r w:rsidRPr="00810763">
        <w:t>Article 35 – paragraphe 1 – point i bis (nouveau)</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F15B66"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p>
        </w:tc>
        <w:tc>
          <w:tcPr>
            <w:tcW w:w="4876" w:type="dxa"/>
            <w:hideMark/>
          </w:tcPr>
          <w:p w:rsidR="007D3698" w:rsidRPr="00810763" w:rsidRDefault="007D3698" w:rsidP="0097579A">
            <w:pPr>
              <w:pStyle w:val="Normal6"/>
              <w:rPr>
                <w:noProof/>
                <w:szCs w:val="24"/>
              </w:rPr>
            </w:pPr>
            <w:r w:rsidRPr="00810763">
              <w:rPr>
                <w:b/>
                <w:i/>
              </w:rPr>
              <w:t>i bis)</w:t>
            </w:r>
            <w:r w:rsidRPr="00810763">
              <w:rPr>
                <w:b/>
                <w:i/>
              </w:rPr>
              <w:tab/>
              <w:t>les mesures liées aux options simplifiées en matière de coûts.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56</w:t>
      </w:r>
      <w:r w:rsidRPr="00930809">
        <w:rPr>
          <w:rStyle w:val="HideTWBExt"/>
          <w:b w:val="0"/>
          <w:szCs w:val="24"/>
          <w:lang w:val="fr-BE"/>
        </w:rPr>
        <w:t>&lt;/NumAm&gt;</w:t>
      </w:r>
    </w:p>
    <w:p w:rsidR="007D3698" w:rsidRPr="007D3698" w:rsidRDefault="007D3698" w:rsidP="007D3698">
      <w:pPr>
        <w:pStyle w:val="NormalBold12b"/>
        <w:keepNext/>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35 – paragraphe 1 – point i ter (nouveau)</w:t>
      </w:r>
      <w:r>
        <w:rPr>
          <w:rStyle w:val="HideTWBExt"/>
          <w:b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tcPr>
          <w:p w:rsidR="007D3698" w:rsidRPr="00810763" w:rsidRDefault="007D3698" w:rsidP="0097579A">
            <w:pPr>
              <w:pStyle w:val="ColumnHeading"/>
              <w:keepNext/>
              <w:rPr>
                <w:noProof/>
              </w:rPr>
            </w:pPr>
            <w:r w:rsidRPr="00810763">
              <w:t>Texte proposé par la Commission</w:t>
            </w:r>
          </w:p>
        </w:tc>
        <w:tc>
          <w:tcPr>
            <w:tcW w:w="4876" w:type="dxa"/>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p>
        </w:tc>
        <w:tc>
          <w:tcPr>
            <w:tcW w:w="4876" w:type="dxa"/>
          </w:tcPr>
          <w:p w:rsidR="007D3698" w:rsidRPr="00810763" w:rsidRDefault="007D3698" w:rsidP="0097579A">
            <w:pPr>
              <w:pStyle w:val="Normal6"/>
              <w:rPr>
                <w:noProof/>
                <w:szCs w:val="24"/>
              </w:rPr>
            </w:pPr>
            <w:r w:rsidRPr="00810763">
              <w:rPr>
                <w:b/>
                <w:i/>
              </w:rPr>
              <w:t>i ter)</w:t>
            </w:r>
            <w:r w:rsidRPr="00810763">
              <w:rPr>
                <w:b/>
                <w:i/>
              </w:rPr>
              <w:tab/>
              <w:t>l’incidence spécifique du programme sur les personnes les plus exposées au risque de pauvreté ou d’exclusion sociale ainsi que les personnes handicapées, les chômeurs de longue durée et les jeunes sans emploi.</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57</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35 – paragraphe 2 – point d bis (nouveau)</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p>
        </w:tc>
        <w:tc>
          <w:tcPr>
            <w:tcW w:w="4876" w:type="dxa"/>
            <w:hideMark/>
          </w:tcPr>
          <w:p w:rsidR="007D3698" w:rsidRPr="00810763" w:rsidRDefault="007D3698" w:rsidP="0097579A">
            <w:pPr>
              <w:pStyle w:val="Normal6"/>
              <w:rPr>
                <w:noProof/>
                <w:szCs w:val="24"/>
              </w:rPr>
            </w:pPr>
            <w:r w:rsidRPr="00810763">
              <w:rPr>
                <w:b/>
                <w:i/>
              </w:rPr>
              <w:t>d bis)</w:t>
            </w:r>
            <w:r w:rsidRPr="00810763">
              <w:rPr>
                <w:b/>
                <w:i/>
              </w:rPr>
              <w:tab/>
              <w:t>les mesures prises pour garantir aux bénéficiaires une option simplifiée en matière de coûts.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58</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67 – paragraphe 3 – point j bis (nouveau)</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p>
        </w:tc>
        <w:tc>
          <w:tcPr>
            <w:tcW w:w="4876" w:type="dxa"/>
            <w:hideMark/>
          </w:tcPr>
          <w:p w:rsidR="007D3698" w:rsidRPr="00810763" w:rsidRDefault="007D3698" w:rsidP="0097579A">
            <w:pPr>
              <w:pStyle w:val="Normal6"/>
              <w:rPr>
                <w:noProof/>
                <w:szCs w:val="24"/>
              </w:rPr>
            </w:pPr>
            <w:r w:rsidRPr="00810763">
              <w:rPr>
                <w:b/>
                <w:i/>
              </w:rPr>
              <w:t>j bis)</w:t>
            </w:r>
            <w:r w:rsidRPr="00810763">
              <w:rPr>
                <w:b/>
                <w:i/>
              </w:rPr>
              <w:tab/>
              <w:t>assure la compatibilité avec l’environnement et la biodiversité de tous les investissements;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59</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lastRenderedPageBreak/>
        <w:t>&lt;Article&gt;</w:t>
      </w:r>
      <w:r w:rsidRPr="00810763">
        <w:t>Article 84 – paragraphe 2</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2.</w:t>
            </w:r>
            <w:r w:rsidRPr="00810763">
              <w:tab/>
              <w:t>Le préfinancement est versé pour chaque Fonds en tranches annuelles, avant le 1</w:t>
            </w:r>
            <w:r w:rsidRPr="00810763">
              <w:rPr>
                <w:vertAlign w:val="superscript"/>
              </w:rPr>
              <w:t>er</w:t>
            </w:r>
            <w:r w:rsidRPr="00810763">
              <w:t> juillet de chaque année, sous réserve de la disponibilité des fonds, de la manière suivante:</w:t>
            </w:r>
          </w:p>
        </w:tc>
        <w:tc>
          <w:tcPr>
            <w:tcW w:w="4876" w:type="dxa"/>
            <w:hideMark/>
          </w:tcPr>
          <w:p w:rsidR="007D3698" w:rsidRPr="00810763" w:rsidRDefault="007D3698" w:rsidP="0097579A">
            <w:pPr>
              <w:pStyle w:val="Normal6"/>
              <w:rPr>
                <w:noProof/>
                <w:szCs w:val="24"/>
              </w:rPr>
            </w:pPr>
            <w:r w:rsidRPr="00810763">
              <w:t>2.</w:t>
            </w:r>
            <w:r w:rsidRPr="00810763">
              <w:tab/>
              <w:t>Le préfinancement est versé pour chaque Fonds en tranches annuelles, avant le 1</w:t>
            </w:r>
            <w:r w:rsidRPr="00810763">
              <w:rPr>
                <w:vertAlign w:val="superscript"/>
              </w:rPr>
              <w:t>er</w:t>
            </w:r>
            <w:r w:rsidRPr="00810763">
              <w:t> juillet de chaque année, sous réserve de la disponibilité des fonds, de la manière suivante:</w:t>
            </w:r>
          </w:p>
        </w:tc>
      </w:tr>
      <w:tr w:rsidR="007D3698" w:rsidRPr="00AA1077" w:rsidTr="0097579A">
        <w:trPr>
          <w:jc w:val="center"/>
        </w:trPr>
        <w:tc>
          <w:tcPr>
            <w:tcW w:w="4876" w:type="dxa"/>
            <w:hideMark/>
          </w:tcPr>
          <w:p w:rsidR="007D3698" w:rsidRPr="00810763" w:rsidRDefault="007D3698" w:rsidP="0097579A">
            <w:pPr>
              <w:pStyle w:val="Normal6"/>
              <w:rPr>
                <w:noProof/>
              </w:rPr>
            </w:pPr>
            <w:r w:rsidRPr="00810763">
              <w:rPr>
                <w:b/>
                <w:i/>
              </w:rPr>
              <w:t>(</w:t>
            </w:r>
            <w:r w:rsidRPr="00810763">
              <w:t>a)</w:t>
            </w:r>
            <w:r w:rsidRPr="00810763">
              <w:tab/>
              <w:t xml:space="preserve">2021: </w:t>
            </w:r>
            <w:r w:rsidRPr="00810763">
              <w:rPr>
                <w:b/>
                <w:i/>
              </w:rPr>
              <w:t>0,5</w:t>
            </w:r>
            <w:r w:rsidRPr="00810763">
              <w:t xml:space="preserve"> %;</w:t>
            </w:r>
          </w:p>
        </w:tc>
        <w:tc>
          <w:tcPr>
            <w:tcW w:w="4876" w:type="dxa"/>
            <w:hideMark/>
          </w:tcPr>
          <w:p w:rsidR="007D3698" w:rsidRPr="00810763" w:rsidRDefault="007D3698" w:rsidP="0097579A">
            <w:pPr>
              <w:pStyle w:val="Normal6"/>
              <w:rPr>
                <w:noProof/>
                <w:szCs w:val="24"/>
              </w:rPr>
            </w:pPr>
            <w:r w:rsidRPr="00810763">
              <w:t>a)</w:t>
            </w:r>
            <w:r w:rsidRPr="00810763">
              <w:tab/>
              <w:t xml:space="preserve">2021: </w:t>
            </w:r>
            <w:r w:rsidRPr="00810763">
              <w:rPr>
                <w:b/>
                <w:i/>
              </w:rPr>
              <w:t>1</w:t>
            </w:r>
            <w:r w:rsidRPr="00810763">
              <w:t xml:space="preserve"> %;</w:t>
            </w:r>
          </w:p>
        </w:tc>
      </w:tr>
      <w:tr w:rsidR="007D3698" w:rsidRPr="00AA1077" w:rsidTr="0097579A">
        <w:trPr>
          <w:jc w:val="center"/>
        </w:trPr>
        <w:tc>
          <w:tcPr>
            <w:tcW w:w="4876" w:type="dxa"/>
            <w:hideMark/>
          </w:tcPr>
          <w:p w:rsidR="007D3698" w:rsidRPr="00810763" w:rsidRDefault="007D3698" w:rsidP="0097579A">
            <w:pPr>
              <w:pStyle w:val="Normal6"/>
              <w:rPr>
                <w:noProof/>
              </w:rPr>
            </w:pPr>
            <w:r w:rsidRPr="00810763">
              <w:rPr>
                <w:b/>
                <w:i/>
              </w:rPr>
              <w:t>(</w:t>
            </w:r>
            <w:r w:rsidRPr="00810763">
              <w:t>b)</w:t>
            </w:r>
            <w:r w:rsidRPr="00810763">
              <w:tab/>
              <w:t xml:space="preserve">2022: </w:t>
            </w:r>
            <w:r w:rsidRPr="00810763">
              <w:rPr>
                <w:b/>
                <w:i/>
              </w:rPr>
              <w:t>0,5</w:t>
            </w:r>
            <w:r w:rsidRPr="00810763">
              <w:t xml:space="preserve"> %;</w:t>
            </w:r>
          </w:p>
        </w:tc>
        <w:tc>
          <w:tcPr>
            <w:tcW w:w="4876" w:type="dxa"/>
            <w:hideMark/>
          </w:tcPr>
          <w:p w:rsidR="007D3698" w:rsidRPr="00810763" w:rsidRDefault="007D3698" w:rsidP="0097579A">
            <w:pPr>
              <w:pStyle w:val="Normal6"/>
              <w:rPr>
                <w:noProof/>
                <w:szCs w:val="24"/>
              </w:rPr>
            </w:pPr>
            <w:r w:rsidRPr="00810763">
              <w:t>b)</w:t>
            </w:r>
            <w:r w:rsidRPr="00810763">
              <w:tab/>
              <w:t xml:space="preserve">2022: </w:t>
            </w:r>
            <w:r w:rsidRPr="00810763">
              <w:rPr>
                <w:b/>
                <w:i/>
              </w:rPr>
              <w:t>1</w:t>
            </w:r>
            <w:r w:rsidRPr="00810763">
              <w:t xml:space="preserve"> %;</w:t>
            </w:r>
          </w:p>
        </w:tc>
      </w:tr>
      <w:tr w:rsidR="007D3698" w:rsidRPr="00AA1077" w:rsidTr="0097579A">
        <w:trPr>
          <w:jc w:val="center"/>
        </w:trPr>
        <w:tc>
          <w:tcPr>
            <w:tcW w:w="4876" w:type="dxa"/>
            <w:hideMark/>
          </w:tcPr>
          <w:p w:rsidR="007D3698" w:rsidRPr="00810763" w:rsidRDefault="007D3698" w:rsidP="0097579A">
            <w:pPr>
              <w:pStyle w:val="Normal6"/>
              <w:rPr>
                <w:noProof/>
              </w:rPr>
            </w:pPr>
            <w:r w:rsidRPr="00810763">
              <w:rPr>
                <w:b/>
                <w:i/>
              </w:rPr>
              <w:t>(</w:t>
            </w:r>
            <w:r w:rsidRPr="00810763">
              <w:t>c)</w:t>
            </w:r>
            <w:r w:rsidRPr="00810763">
              <w:tab/>
              <w:t xml:space="preserve">2023: </w:t>
            </w:r>
            <w:r w:rsidRPr="00810763">
              <w:rPr>
                <w:b/>
                <w:i/>
              </w:rPr>
              <w:t>0,5</w:t>
            </w:r>
            <w:r w:rsidRPr="00810763">
              <w:t xml:space="preserve"> %;</w:t>
            </w:r>
          </w:p>
        </w:tc>
        <w:tc>
          <w:tcPr>
            <w:tcW w:w="4876" w:type="dxa"/>
            <w:hideMark/>
          </w:tcPr>
          <w:p w:rsidR="007D3698" w:rsidRPr="00810763" w:rsidRDefault="007D3698" w:rsidP="0097579A">
            <w:pPr>
              <w:pStyle w:val="Normal6"/>
              <w:rPr>
                <w:noProof/>
                <w:szCs w:val="24"/>
              </w:rPr>
            </w:pPr>
            <w:r w:rsidRPr="00810763">
              <w:t>c)</w:t>
            </w:r>
            <w:r w:rsidRPr="00810763">
              <w:tab/>
              <w:t xml:space="preserve">2023: </w:t>
            </w:r>
            <w:r w:rsidRPr="00810763">
              <w:rPr>
                <w:b/>
                <w:i/>
              </w:rPr>
              <w:t>1,5</w:t>
            </w:r>
            <w:r w:rsidRPr="00810763">
              <w:t xml:space="preserve"> %;</w:t>
            </w:r>
          </w:p>
        </w:tc>
      </w:tr>
      <w:tr w:rsidR="007D3698" w:rsidRPr="00AA1077" w:rsidTr="0097579A">
        <w:trPr>
          <w:jc w:val="center"/>
        </w:trPr>
        <w:tc>
          <w:tcPr>
            <w:tcW w:w="4876" w:type="dxa"/>
            <w:hideMark/>
          </w:tcPr>
          <w:p w:rsidR="007D3698" w:rsidRPr="00810763" w:rsidRDefault="007D3698" w:rsidP="0097579A">
            <w:pPr>
              <w:pStyle w:val="Normal6"/>
              <w:rPr>
                <w:noProof/>
              </w:rPr>
            </w:pPr>
            <w:r w:rsidRPr="00810763">
              <w:rPr>
                <w:b/>
                <w:i/>
              </w:rPr>
              <w:t>(</w:t>
            </w:r>
            <w:r w:rsidRPr="00810763">
              <w:t>d)</w:t>
            </w:r>
            <w:r w:rsidRPr="00810763">
              <w:tab/>
              <w:t xml:space="preserve">2024: </w:t>
            </w:r>
            <w:r w:rsidRPr="00810763">
              <w:rPr>
                <w:b/>
                <w:i/>
              </w:rPr>
              <w:t>0,5</w:t>
            </w:r>
            <w:r w:rsidRPr="00810763">
              <w:t xml:space="preserve"> %;</w:t>
            </w:r>
          </w:p>
        </w:tc>
        <w:tc>
          <w:tcPr>
            <w:tcW w:w="4876" w:type="dxa"/>
            <w:hideMark/>
          </w:tcPr>
          <w:p w:rsidR="007D3698" w:rsidRPr="00810763" w:rsidRDefault="007D3698" w:rsidP="0097579A">
            <w:pPr>
              <w:pStyle w:val="Normal6"/>
              <w:rPr>
                <w:noProof/>
                <w:szCs w:val="24"/>
              </w:rPr>
            </w:pPr>
            <w:r w:rsidRPr="00810763">
              <w:t>d)</w:t>
            </w:r>
            <w:r w:rsidRPr="00810763">
              <w:tab/>
              <w:t xml:space="preserve">2024: </w:t>
            </w:r>
            <w:r w:rsidRPr="00810763">
              <w:rPr>
                <w:b/>
                <w:i/>
              </w:rPr>
              <w:t>2</w:t>
            </w:r>
            <w:r w:rsidRPr="00810763">
              <w:t xml:space="preserve"> %;</w:t>
            </w:r>
          </w:p>
        </w:tc>
      </w:tr>
      <w:tr w:rsidR="007D3698" w:rsidRPr="00AA1077" w:rsidTr="0097579A">
        <w:trPr>
          <w:jc w:val="center"/>
        </w:trPr>
        <w:tc>
          <w:tcPr>
            <w:tcW w:w="4876" w:type="dxa"/>
            <w:hideMark/>
          </w:tcPr>
          <w:p w:rsidR="007D3698" w:rsidRPr="00810763" w:rsidRDefault="007D3698" w:rsidP="0097579A">
            <w:pPr>
              <w:pStyle w:val="Normal6"/>
              <w:rPr>
                <w:noProof/>
              </w:rPr>
            </w:pPr>
            <w:r w:rsidRPr="00810763">
              <w:rPr>
                <w:b/>
                <w:i/>
              </w:rPr>
              <w:t>(</w:t>
            </w:r>
            <w:r w:rsidRPr="00810763">
              <w:t>e)</w:t>
            </w:r>
            <w:r w:rsidRPr="00810763">
              <w:tab/>
              <w:t xml:space="preserve">2025: </w:t>
            </w:r>
            <w:r w:rsidRPr="00810763">
              <w:rPr>
                <w:b/>
                <w:i/>
              </w:rPr>
              <w:t>0,5</w:t>
            </w:r>
            <w:r w:rsidRPr="00810763">
              <w:t xml:space="preserve"> %;</w:t>
            </w:r>
          </w:p>
        </w:tc>
        <w:tc>
          <w:tcPr>
            <w:tcW w:w="4876" w:type="dxa"/>
            <w:hideMark/>
          </w:tcPr>
          <w:p w:rsidR="007D3698" w:rsidRPr="00810763" w:rsidRDefault="007D3698" w:rsidP="0097579A">
            <w:pPr>
              <w:pStyle w:val="Normal6"/>
              <w:rPr>
                <w:noProof/>
                <w:szCs w:val="24"/>
              </w:rPr>
            </w:pPr>
            <w:r w:rsidRPr="00810763">
              <w:t>e)</w:t>
            </w:r>
            <w:r w:rsidRPr="00810763">
              <w:tab/>
              <w:t xml:space="preserve">2025: </w:t>
            </w:r>
            <w:r w:rsidRPr="00810763">
              <w:rPr>
                <w:b/>
                <w:i/>
              </w:rPr>
              <w:t>2</w:t>
            </w:r>
            <w:r w:rsidRPr="00810763">
              <w:t xml:space="preserve"> %;</w:t>
            </w:r>
          </w:p>
        </w:tc>
      </w:tr>
      <w:tr w:rsidR="007D3698" w:rsidRPr="00AA1077" w:rsidTr="0097579A">
        <w:trPr>
          <w:jc w:val="center"/>
        </w:trPr>
        <w:tc>
          <w:tcPr>
            <w:tcW w:w="4876" w:type="dxa"/>
            <w:hideMark/>
          </w:tcPr>
          <w:p w:rsidR="007D3698" w:rsidRPr="00810763" w:rsidRDefault="007D3698" w:rsidP="0097579A">
            <w:pPr>
              <w:pStyle w:val="Normal6"/>
              <w:rPr>
                <w:noProof/>
              </w:rPr>
            </w:pPr>
            <w:r w:rsidRPr="00810763">
              <w:rPr>
                <w:b/>
                <w:i/>
              </w:rPr>
              <w:t>(</w:t>
            </w:r>
            <w:r w:rsidRPr="00810763">
              <w:t>f)</w:t>
            </w:r>
            <w:r w:rsidRPr="00810763">
              <w:tab/>
              <w:t xml:space="preserve">2026: </w:t>
            </w:r>
            <w:r w:rsidRPr="00810763">
              <w:rPr>
                <w:b/>
                <w:i/>
              </w:rPr>
              <w:t>0,5 %</w:t>
            </w:r>
          </w:p>
        </w:tc>
        <w:tc>
          <w:tcPr>
            <w:tcW w:w="4876" w:type="dxa"/>
            <w:hideMark/>
          </w:tcPr>
          <w:p w:rsidR="007D3698" w:rsidRPr="00810763" w:rsidRDefault="007D3698" w:rsidP="0097579A">
            <w:pPr>
              <w:pStyle w:val="Normal6"/>
              <w:rPr>
                <w:noProof/>
                <w:szCs w:val="24"/>
              </w:rPr>
            </w:pPr>
            <w:r w:rsidRPr="00810763">
              <w:t>f)</w:t>
            </w:r>
            <w:r w:rsidRPr="00810763">
              <w:tab/>
              <w:t xml:space="preserve">2026: </w:t>
            </w:r>
            <w:r w:rsidRPr="00810763">
              <w:rPr>
                <w:b/>
                <w:i/>
              </w:rPr>
              <w:t>2,5</w:t>
            </w:r>
            <w:r w:rsidRPr="00810763">
              <w:t xml:space="preserve"> %</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Lorsqu’un programme est adopté après le 1</w:t>
            </w:r>
            <w:r w:rsidRPr="00810763">
              <w:rPr>
                <w:vertAlign w:val="superscript"/>
              </w:rPr>
              <w:t>er</w:t>
            </w:r>
            <w:r w:rsidRPr="00810763">
              <w:t xml:space="preserve"> juillet 2021, les sommes antérieures correspondant aux tranches sont versées au cours de l’année d’adoption.</w:t>
            </w:r>
          </w:p>
        </w:tc>
        <w:tc>
          <w:tcPr>
            <w:tcW w:w="4876" w:type="dxa"/>
            <w:hideMark/>
          </w:tcPr>
          <w:p w:rsidR="007D3698" w:rsidRPr="00810763" w:rsidRDefault="007D3698" w:rsidP="0097579A">
            <w:pPr>
              <w:pStyle w:val="Normal6"/>
              <w:rPr>
                <w:noProof/>
                <w:szCs w:val="24"/>
              </w:rPr>
            </w:pPr>
            <w:r w:rsidRPr="00810763">
              <w:t>Lorsqu’un programme est adopté après le 1</w:t>
            </w:r>
            <w:r w:rsidRPr="00810763">
              <w:rPr>
                <w:vertAlign w:val="superscript"/>
              </w:rPr>
              <w:t>er</w:t>
            </w:r>
            <w:r w:rsidRPr="00810763">
              <w:t xml:space="preserve"> juillet 2021, les sommes antérieures correspondant aux tranches sont versées au cours de l’année d’adoption.</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60</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F15B66" w:rsidRDefault="007D3698" w:rsidP="007D3698">
      <w:pPr>
        <w:pStyle w:val="NormalBold"/>
        <w:rPr>
          <w:noProof/>
        </w:rPr>
      </w:pPr>
      <w:r>
        <w:rPr>
          <w:rStyle w:val="HideTWBExt"/>
          <w:b w:val="0"/>
          <w:szCs w:val="24"/>
        </w:rPr>
        <w:t>&lt;Article&gt;</w:t>
      </w:r>
      <w:r w:rsidRPr="00810763">
        <w:t>Article 91 – paragraphe 1 – point e</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F15B66"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AA1077" w:rsidTr="0097579A">
        <w:trPr>
          <w:jc w:val="center"/>
        </w:trPr>
        <w:tc>
          <w:tcPr>
            <w:tcW w:w="4876" w:type="dxa"/>
            <w:hideMark/>
          </w:tcPr>
          <w:p w:rsidR="007D3698" w:rsidRPr="00810763" w:rsidRDefault="007D3698" w:rsidP="0097579A">
            <w:pPr>
              <w:pStyle w:val="Normal6"/>
              <w:rPr>
                <w:noProof/>
              </w:rPr>
            </w:pPr>
            <w:r w:rsidRPr="00810763">
              <w:rPr>
                <w:b/>
                <w:i/>
              </w:rPr>
              <w:t>(e)</w:t>
            </w:r>
            <w:r w:rsidRPr="00810763">
              <w:rPr>
                <w:b/>
                <w:i/>
              </w:rPr>
              <w:tab/>
              <w:t>l’État membre n’a pas pris les mesures nécessaires conformément à l’article 15, paragraphe 6.</w:t>
            </w:r>
          </w:p>
        </w:tc>
        <w:tc>
          <w:tcPr>
            <w:tcW w:w="4876" w:type="dxa"/>
            <w:hideMark/>
          </w:tcPr>
          <w:p w:rsidR="007D3698" w:rsidRPr="00810763" w:rsidRDefault="007D3698" w:rsidP="0097579A">
            <w:pPr>
              <w:pStyle w:val="Normal6"/>
              <w:rPr>
                <w:noProof/>
                <w:szCs w:val="24"/>
              </w:rPr>
            </w:pPr>
            <w:r w:rsidRPr="00810763">
              <w:rPr>
                <w:b/>
                <w:i/>
              </w:rPr>
              <w:t>supprimé</w:t>
            </w:r>
          </w:p>
        </w:tc>
      </w:tr>
    </w:tbl>
    <w:p w:rsidR="007D3698" w:rsidRPr="00AA1077" w:rsidRDefault="007D3698" w:rsidP="007D3698">
      <w:pPr>
        <w:rPr>
          <w:noProof/>
        </w:rPr>
      </w:pPr>
      <w:r>
        <w:rPr>
          <w:rStyle w:val="HideTWBExt"/>
        </w:rPr>
        <w:t>&lt;/Amend&gt;</w:t>
      </w:r>
    </w:p>
    <w:p w:rsidR="007D3698" w:rsidRPr="00AA1077" w:rsidRDefault="007D3698" w:rsidP="007D3698">
      <w:pPr>
        <w:pStyle w:val="AMNumberTabs"/>
        <w:rPr>
          <w:noProof/>
        </w:rPr>
      </w:pPr>
      <w:r>
        <w:rPr>
          <w:rStyle w:val="HideTWBExt"/>
          <w:b w:val="0"/>
          <w:szCs w:val="24"/>
        </w:rPr>
        <w:t>&lt;Amend&gt;</w:t>
      </w:r>
      <w:r w:rsidRPr="00810763">
        <w:t>Amendement</w:t>
      </w:r>
      <w:r w:rsidRPr="00810763">
        <w:tab/>
      </w:r>
      <w:r w:rsidRPr="00810763">
        <w:tab/>
      </w:r>
      <w:r>
        <w:rPr>
          <w:rStyle w:val="HideTWBExt"/>
          <w:b w:val="0"/>
          <w:szCs w:val="24"/>
        </w:rPr>
        <w:t>&lt;NumAm&gt;</w:t>
      </w:r>
      <w:r w:rsidRPr="00810763">
        <w:t>61</w:t>
      </w:r>
      <w:r>
        <w:rPr>
          <w:rStyle w:val="HideTWBExt"/>
          <w:b w:val="0"/>
          <w:szCs w:val="24"/>
        </w:rPr>
        <w:t>&lt;/NumAm&gt;</w:t>
      </w:r>
    </w:p>
    <w:p w:rsidR="007D3698" w:rsidRPr="007D3698" w:rsidRDefault="007D3698" w:rsidP="007D3698">
      <w:pPr>
        <w:pStyle w:val="NormalBold12b"/>
        <w:rPr>
          <w:noProof/>
        </w:rPr>
      </w:pPr>
      <w:r>
        <w:rPr>
          <w:rStyle w:val="HideTWBExt"/>
          <w:b w:val="0"/>
          <w:szCs w:val="24"/>
          <w:lang w:val="en-GB"/>
        </w:rPr>
        <w:t>&lt;DocAmend&gt;</w:t>
      </w:r>
      <w:r w:rsidRPr="00810763">
        <w:t>Proposition de règlement</w:t>
      </w:r>
      <w:r>
        <w:rPr>
          <w:rStyle w:val="HideTWBExt"/>
          <w:b w:val="0"/>
          <w:szCs w:val="24"/>
          <w:lang w:val="en-GB"/>
        </w:rPr>
        <w:t>&lt;/DocAmend&gt;</w:t>
      </w:r>
    </w:p>
    <w:p w:rsidR="007D3698" w:rsidRPr="00AA1077" w:rsidRDefault="007D3698" w:rsidP="007D3698">
      <w:pPr>
        <w:pStyle w:val="NormalBold"/>
        <w:rPr>
          <w:noProof/>
        </w:rPr>
      </w:pPr>
      <w:r>
        <w:rPr>
          <w:rStyle w:val="HideTWBExt"/>
          <w:b w:val="0"/>
          <w:szCs w:val="24"/>
        </w:rPr>
        <w:t>&lt;Article&gt;</w:t>
      </w:r>
      <w:r w:rsidRPr="00810763">
        <w:t>Article 99 – paragraphe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1.</w:t>
            </w:r>
            <w:r w:rsidRPr="00810763">
              <w:tab/>
              <w:t xml:space="preserve">La Commission procède au dégagement de tout montant d’un programme qui n’a pas été utilisé aux fins du préfinancement, conformément à l’article 84, ou pour lequel aucune demande de paiement n’a été présentée, </w:t>
            </w:r>
            <w:r w:rsidRPr="00810763">
              <w:lastRenderedPageBreak/>
              <w:t xml:space="preserve">conformément aux articles 85 et 86, au plus tard le 26 décembre de la </w:t>
            </w:r>
            <w:r w:rsidRPr="00810763">
              <w:rPr>
                <w:b/>
                <w:i/>
              </w:rPr>
              <w:t>deuxième</w:t>
            </w:r>
            <w:r w:rsidRPr="00810763">
              <w:t xml:space="preserve"> année civile qui suit l’année des engagements budgétaires pour les années 2021 à 2026.</w:t>
            </w:r>
          </w:p>
        </w:tc>
        <w:tc>
          <w:tcPr>
            <w:tcW w:w="4876" w:type="dxa"/>
            <w:hideMark/>
          </w:tcPr>
          <w:p w:rsidR="007D3698" w:rsidRPr="00810763" w:rsidRDefault="007D3698" w:rsidP="0097579A">
            <w:pPr>
              <w:pStyle w:val="Normal6"/>
              <w:rPr>
                <w:noProof/>
                <w:szCs w:val="24"/>
              </w:rPr>
            </w:pPr>
            <w:r w:rsidRPr="00810763">
              <w:lastRenderedPageBreak/>
              <w:t>1.</w:t>
            </w:r>
            <w:r w:rsidRPr="00810763">
              <w:tab/>
              <w:t xml:space="preserve">La Commission procède au dégagement de tout montant d’un programme qui n’a pas été utilisé aux fins du préfinancement, conformément à l’article 84, ou pour lequel aucune demande de paiement n’a été présentée, </w:t>
            </w:r>
            <w:r w:rsidRPr="00810763">
              <w:lastRenderedPageBreak/>
              <w:t xml:space="preserve">conformément aux articles 85 et 86, au plus tard le 26 décembre de la </w:t>
            </w:r>
            <w:r w:rsidRPr="00810763">
              <w:rPr>
                <w:b/>
                <w:i/>
              </w:rPr>
              <w:t>troisième</w:t>
            </w:r>
            <w:r w:rsidRPr="00810763">
              <w:t xml:space="preserve"> année civile qui suit l’année des engagements budgétaires pour les années 2021 à 2026.</w:t>
            </w:r>
          </w:p>
        </w:tc>
      </w:tr>
    </w:tbl>
    <w:p w:rsidR="007D3698" w:rsidRPr="007D3698" w:rsidRDefault="007D3698" w:rsidP="007D3698">
      <w:pPr>
        <w:rPr>
          <w:noProof/>
        </w:rPr>
      </w:pPr>
      <w:r w:rsidRPr="00930809">
        <w:rPr>
          <w:rStyle w:val="HideTWBExt"/>
          <w:lang w:val="fr-BE"/>
        </w:rPr>
        <w:lastRenderedPageBreak/>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62</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102 – titre</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 xml:space="preserve">Couverture géographique du soutien au titre de l’objectif «Investissement pour l’emploi </w:t>
            </w:r>
            <w:r w:rsidRPr="00810763">
              <w:rPr>
                <w:b/>
                <w:i/>
              </w:rPr>
              <w:t>et</w:t>
            </w:r>
            <w:r w:rsidRPr="00810763">
              <w:t xml:space="preserve"> la croissance»</w:t>
            </w:r>
          </w:p>
        </w:tc>
        <w:tc>
          <w:tcPr>
            <w:tcW w:w="4876" w:type="dxa"/>
            <w:hideMark/>
          </w:tcPr>
          <w:p w:rsidR="007D3698" w:rsidRPr="00810763" w:rsidRDefault="007D3698" w:rsidP="0097579A">
            <w:pPr>
              <w:pStyle w:val="Normal6"/>
              <w:rPr>
                <w:noProof/>
                <w:szCs w:val="24"/>
              </w:rPr>
            </w:pPr>
            <w:r w:rsidRPr="00810763">
              <w:t>Couverture géographique du soutien au titre de l’objectif «Investissement pour l’emploi</w:t>
            </w:r>
            <w:r w:rsidRPr="00810763">
              <w:rPr>
                <w:b/>
                <w:i/>
              </w:rPr>
              <w:t>,</w:t>
            </w:r>
            <w:r w:rsidRPr="00810763">
              <w:t xml:space="preserve"> la croissance</w:t>
            </w:r>
            <w:r w:rsidRPr="00810763">
              <w:rPr>
                <w:b/>
                <w:i/>
              </w:rPr>
              <w:t>, l’inclusion sociale et la convergence ascendante</w:t>
            </w:r>
            <w:r w:rsidRPr="00810763">
              <w:t>»</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63</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102 – paragraphe 1</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1.</w:t>
            </w:r>
            <w:r w:rsidRPr="00810763">
              <w:tab/>
              <w:t xml:space="preserve">Le FEDER, le FSE+ et le Fonds de cohésion soutiennent l’objectif «Investissement pour l’emploi </w:t>
            </w:r>
            <w:r w:rsidRPr="00810763">
              <w:rPr>
                <w:b/>
                <w:i/>
              </w:rPr>
              <w:t>et</w:t>
            </w:r>
            <w:r w:rsidRPr="00810763">
              <w:t xml:space="preserve"> la croissance» dans toutes les régions correspondant au niveau 2 de la nomenclature commune des unités territoriales statistiques (ci-après dénommées «régions de niveau NUTS 2») établie par le règlement (CE) nº 1059/2003 modifié par le règlement (</w:t>
            </w:r>
            <w:r w:rsidRPr="00810763">
              <w:rPr>
                <w:b/>
                <w:i/>
              </w:rPr>
              <w:t>CE</w:t>
            </w:r>
            <w:r w:rsidRPr="00810763">
              <w:t>) nº 868/2014 de la Commission.</w:t>
            </w:r>
          </w:p>
        </w:tc>
        <w:tc>
          <w:tcPr>
            <w:tcW w:w="4876" w:type="dxa"/>
            <w:hideMark/>
          </w:tcPr>
          <w:p w:rsidR="007D3698" w:rsidRPr="00810763" w:rsidRDefault="007D3698" w:rsidP="0097579A">
            <w:pPr>
              <w:pStyle w:val="Normal6"/>
              <w:rPr>
                <w:noProof/>
                <w:szCs w:val="24"/>
              </w:rPr>
            </w:pPr>
            <w:r w:rsidRPr="00810763">
              <w:t>1.</w:t>
            </w:r>
            <w:r w:rsidRPr="00810763">
              <w:tab/>
              <w:t>Le FEDER, le FSE+ et le Fonds de cohésion soutiennent l’objectif «Investissement pour l’emploi</w:t>
            </w:r>
            <w:r w:rsidRPr="00810763">
              <w:rPr>
                <w:b/>
                <w:i/>
              </w:rPr>
              <w:t>,</w:t>
            </w:r>
            <w:r w:rsidRPr="00810763">
              <w:t xml:space="preserve"> la croissance</w:t>
            </w:r>
            <w:r w:rsidRPr="00810763">
              <w:rPr>
                <w:b/>
                <w:i/>
              </w:rPr>
              <w:t>, l’inclusion sociale et la convergence ascendante</w:t>
            </w:r>
            <w:r w:rsidRPr="00810763">
              <w:t>» dans toutes les régions correspondant au niveau 2 de la nomenclature commune des unités territoriales statistiques (ci-après dénommées «régions de niveau NUTS 2») établie par le règlement (CE) nº 1059/2003 modifié par le règlement (</w:t>
            </w:r>
            <w:r w:rsidRPr="00810763">
              <w:rPr>
                <w:b/>
                <w:i/>
              </w:rPr>
              <w:t>UE</w:t>
            </w:r>
            <w:r w:rsidRPr="00810763">
              <w:t xml:space="preserve">) nº 868/2014 </w:t>
            </w:r>
            <w:r w:rsidRPr="00810763">
              <w:rPr>
                <w:b/>
                <w:i/>
              </w:rPr>
              <w:t>et le règlement (UE) nº 2016/2066</w:t>
            </w:r>
            <w:r w:rsidRPr="00810763">
              <w:t xml:space="preserve"> de la Commission.</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64</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102 – paragraphe 2 – alinéa 1 – partie introductive</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 xml:space="preserve">Les ressources du FEDER et du FSE+ affectées à l’objectif «Investissement pour l’emploi </w:t>
            </w:r>
            <w:r w:rsidRPr="00810763">
              <w:rPr>
                <w:b/>
                <w:i/>
              </w:rPr>
              <w:t>et</w:t>
            </w:r>
            <w:r w:rsidRPr="00810763">
              <w:t xml:space="preserve"> la croissance» sont réparties entre les trois catégories suivantes de régions de niveau NUTS 2:</w:t>
            </w:r>
          </w:p>
        </w:tc>
        <w:tc>
          <w:tcPr>
            <w:tcW w:w="4876" w:type="dxa"/>
            <w:hideMark/>
          </w:tcPr>
          <w:p w:rsidR="007D3698" w:rsidRPr="00810763" w:rsidRDefault="007D3698" w:rsidP="0097579A">
            <w:pPr>
              <w:pStyle w:val="Normal6"/>
              <w:rPr>
                <w:noProof/>
                <w:szCs w:val="24"/>
              </w:rPr>
            </w:pPr>
            <w:r w:rsidRPr="00810763">
              <w:t>Les ressources du FEDER et du FSE+ affectées à l’objectif «Investissement pour l’emploi</w:t>
            </w:r>
            <w:r w:rsidRPr="00810763">
              <w:rPr>
                <w:b/>
                <w:i/>
              </w:rPr>
              <w:t>,</w:t>
            </w:r>
            <w:r w:rsidRPr="00810763">
              <w:t xml:space="preserve"> la croissance</w:t>
            </w:r>
            <w:r w:rsidRPr="00810763">
              <w:rPr>
                <w:b/>
                <w:i/>
              </w:rPr>
              <w:t>, l’inclusion sociale et la convergence ascendante</w:t>
            </w:r>
            <w:r w:rsidRPr="00810763">
              <w:t>» sont réparties entre les trois catégories suivantes de régions de niveau NUTS 2:</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65</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103 – paragraphe 1 – alinéa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Les ressources affectées à la cohésion économique, sociale et territoriale disponibles pour les engagements budgétaires, pour la période 2021-2027, s’élèvent à </w:t>
            </w:r>
            <w:r w:rsidRPr="00810763">
              <w:rPr>
                <w:b/>
                <w:i/>
              </w:rPr>
              <w:t>330</w:t>
            </w:r>
            <w:r w:rsidRPr="00810763">
              <w:t> </w:t>
            </w:r>
            <w:r w:rsidRPr="00810763">
              <w:rPr>
                <w:b/>
                <w:i/>
              </w:rPr>
              <w:t>624</w:t>
            </w:r>
            <w:r w:rsidRPr="00810763">
              <w:t> </w:t>
            </w:r>
            <w:r w:rsidRPr="00810763">
              <w:rPr>
                <w:b/>
                <w:i/>
              </w:rPr>
              <w:t>388</w:t>
            </w:r>
            <w:r w:rsidRPr="00810763">
              <w:t> </w:t>
            </w:r>
            <w:r w:rsidRPr="00810763">
              <w:rPr>
                <w:b/>
                <w:i/>
              </w:rPr>
              <w:t>630</w:t>
            </w:r>
            <w:r w:rsidRPr="00810763">
              <w:t> EUR aux prix de 2018.</w:t>
            </w:r>
          </w:p>
        </w:tc>
        <w:tc>
          <w:tcPr>
            <w:tcW w:w="4876" w:type="dxa"/>
            <w:hideMark/>
          </w:tcPr>
          <w:p w:rsidR="007D3698" w:rsidRPr="00810763" w:rsidRDefault="007D3698" w:rsidP="0097579A">
            <w:pPr>
              <w:pStyle w:val="Normal6"/>
              <w:rPr>
                <w:noProof/>
                <w:szCs w:val="24"/>
              </w:rPr>
            </w:pPr>
            <w:r w:rsidRPr="00810763">
              <w:t>Les ressources affectées à la cohésion économique, sociale et territoriale disponibles pour les engagements budgétaires, pour la période 2021-2027, s’élèvent à </w:t>
            </w:r>
            <w:r w:rsidRPr="00810763">
              <w:rPr>
                <w:b/>
                <w:i/>
              </w:rPr>
              <w:t>372</w:t>
            </w:r>
            <w:r w:rsidRPr="00810763">
              <w:t> </w:t>
            </w:r>
            <w:r w:rsidRPr="00810763">
              <w:rPr>
                <w:b/>
                <w:i/>
              </w:rPr>
              <w:t>197</w:t>
            </w:r>
            <w:r w:rsidRPr="00810763">
              <w:t> </w:t>
            </w:r>
            <w:r w:rsidRPr="00810763">
              <w:rPr>
                <w:b/>
                <w:i/>
              </w:rPr>
              <w:t>000</w:t>
            </w:r>
            <w:r w:rsidRPr="00810763">
              <w:t> </w:t>
            </w:r>
            <w:r w:rsidRPr="00810763">
              <w:rPr>
                <w:b/>
                <w:i/>
              </w:rPr>
              <w:t>000</w:t>
            </w:r>
            <w:r w:rsidRPr="00810763">
              <w:t> EUR aux prix de 2018.</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66</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103 – paragraphe 2 – alinéa 1</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 xml:space="preserve">La Commission adopte, par voie d’acte d’exécution, une décision établissant la ventilation annuelle des ressources globales par État membre au titre de l’objectif «Investissement pour l’emploi </w:t>
            </w:r>
            <w:r w:rsidRPr="00810763">
              <w:rPr>
                <w:b/>
                <w:i/>
              </w:rPr>
              <w:t>et</w:t>
            </w:r>
            <w:r w:rsidRPr="00810763">
              <w:t xml:space="preserve"> la croissance», par catégorie de régions, accompagnée de la liste des régions éligibles, conformément à la méthode définie à l’annexe XXII.</w:t>
            </w:r>
          </w:p>
        </w:tc>
        <w:tc>
          <w:tcPr>
            <w:tcW w:w="4876" w:type="dxa"/>
            <w:hideMark/>
          </w:tcPr>
          <w:p w:rsidR="007D3698" w:rsidRPr="00810763" w:rsidRDefault="007D3698" w:rsidP="0097579A">
            <w:pPr>
              <w:pStyle w:val="Normal6"/>
              <w:rPr>
                <w:noProof/>
                <w:szCs w:val="24"/>
              </w:rPr>
            </w:pPr>
            <w:r w:rsidRPr="00810763">
              <w:t>La Commission adopte, par voie d’acte d’exécution, une décision établissant la ventilation annuelle des ressources globales par État membre au titre de l’objectif «Investissement pour l’emploi</w:t>
            </w:r>
            <w:r w:rsidRPr="00810763">
              <w:rPr>
                <w:b/>
                <w:i/>
              </w:rPr>
              <w:t>,</w:t>
            </w:r>
            <w:r w:rsidRPr="00810763">
              <w:t xml:space="preserve"> la croissance</w:t>
            </w:r>
            <w:r w:rsidRPr="00810763">
              <w:rPr>
                <w:b/>
                <w:i/>
              </w:rPr>
              <w:t>, l’inclusion sociale et la convergence ascendante</w:t>
            </w:r>
            <w:r w:rsidRPr="00810763">
              <w:t>», par catégorie de régions, accompagnée de la liste des régions éligibles, conformément à la méthode définie à l’annexe XXII.</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67</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104 – titre</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 xml:space="preserve">Ressources pour les objectifs «Investissement pour l’emploi </w:t>
            </w:r>
            <w:r w:rsidRPr="00810763">
              <w:rPr>
                <w:b/>
                <w:i/>
              </w:rPr>
              <w:t>et</w:t>
            </w:r>
            <w:r w:rsidRPr="00810763">
              <w:t xml:space="preserve"> la croissance» et «Coopération territoriale européenne» (Interreg)</w:t>
            </w:r>
          </w:p>
        </w:tc>
        <w:tc>
          <w:tcPr>
            <w:tcW w:w="4876" w:type="dxa"/>
            <w:hideMark/>
          </w:tcPr>
          <w:p w:rsidR="007D3698" w:rsidRPr="00810763" w:rsidRDefault="007D3698" w:rsidP="0097579A">
            <w:pPr>
              <w:pStyle w:val="Normal6"/>
              <w:rPr>
                <w:noProof/>
                <w:szCs w:val="24"/>
              </w:rPr>
            </w:pPr>
            <w:r w:rsidRPr="00810763">
              <w:t>Ressources pour les objectifs «Investissement pour l’emploi</w:t>
            </w:r>
            <w:r w:rsidRPr="00810763">
              <w:rPr>
                <w:b/>
                <w:i/>
              </w:rPr>
              <w:t>,</w:t>
            </w:r>
            <w:r w:rsidRPr="00810763">
              <w:t xml:space="preserve"> la croissance</w:t>
            </w:r>
            <w:r w:rsidRPr="00810763">
              <w:rPr>
                <w:b/>
                <w:i/>
              </w:rPr>
              <w:t>, l’inclusion sociale et la convergence ascendante</w:t>
            </w:r>
            <w:r w:rsidRPr="00810763">
              <w:t>» et «Coopération territoriale européenne» (Interreg)</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68</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104 – paragraphe 1 – partie introductive</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1.</w:t>
            </w:r>
            <w:r w:rsidRPr="00810763">
              <w:tab/>
              <w:t xml:space="preserve">Les ressources destinées à l’objectif «Investissement pour l’emploi </w:t>
            </w:r>
            <w:r w:rsidRPr="00810763">
              <w:rPr>
                <w:b/>
                <w:i/>
              </w:rPr>
              <w:t>et</w:t>
            </w:r>
            <w:r w:rsidRPr="00810763">
              <w:t xml:space="preserve"> la croissance» s’élèvent à 97,5 % des ressources globales </w:t>
            </w:r>
            <w:r w:rsidRPr="00810763">
              <w:rPr>
                <w:b/>
                <w:i/>
              </w:rPr>
              <w:t>(</w:t>
            </w:r>
            <w:r w:rsidRPr="00810763">
              <w:t>soit un total de </w:t>
            </w:r>
            <w:r w:rsidRPr="00810763">
              <w:rPr>
                <w:b/>
                <w:i/>
              </w:rPr>
              <w:t>322 194 388 630</w:t>
            </w:r>
            <w:r w:rsidRPr="00810763">
              <w:t> EUR</w:t>
            </w:r>
            <w:r w:rsidRPr="00810763">
              <w:rPr>
                <w:b/>
                <w:i/>
              </w:rPr>
              <w:t>)</w:t>
            </w:r>
            <w:r w:rsidRPr="00810763">
              <w:t xml:space="preserve"> et sont réparties comme suit:</w:t>
            </w:r>
          </w:p>
        </w:tc>
        <w:tc>
          <w:tcPr>
            <w:tcW w:w="4876" w:type="dxa"/>
            <w:hideMark/>
          </w:tcPr>
          <w:p w:rsidR="007D3698" w:rsidRPr="00810763" w:rsidRDefault="007D3698" w:rsidP="0097579A">
            <w:pPr>
              <w:pStyle w:val="Normal6"/>
              <w:rPr>
                <w:noProof/>
                <w:szCs w:val="24"/>
              </w:rPr>
            </w:pPr>
            <w:r w:rsidRPr="00810763">
              <w:t>1.</w:t>
            </w:r>
            <w:r w:rsidRPr="00810763">
              <w:tab/>
              <w:t>Les ressources destinées à l’objectif «Investissement pour l’emploi</w:t>
            </w:r>
            <w:r w:rsidRPr="00810763">
              <w:rPr>
                <w:b/>
                <w:i/>
              </w:rPr>
              <w:t>,</w:t>
            </w:r>
            <w:r w:rsidRPr="00810763">
              <w:t xml:space="preserve"> la croissance</w:t>
            </w:r>
            <w:r w:rsidRPr="00810763">
              <w:rPr>
                <w:b/>
                <w:i/>
              </w:rPr>
              <w:t>, l’inclusion sociale et la convergence ascendante</w:t>
            </w:r>
            <w:r w:rsidRPr="00810763">
              <w:t>» s’élèvent à 97,5 % des ressources globales</w:t>
            </w:r>
            <w:r w:rsidRPr="00810763">
              <w:rPr>
                <w:b/>
                <w:i/>
              </w:rPr>
              <w:t>,</w:t>
            </w:r>
            <w:r w:rsidRPr="00810763">
              <w:t xml:space="preserve"> soit un total de </w:t>
            </w:r>
            <w:r w:rsidRPr="00810763">
              <w:rPr>
                <w:b/>
                <w:i/>
              </w:rPr>
              <w:t>366 754 090 000</w:t>
            </w:r>
            <w:r w:rsidRPr="00810763">
              <w:t xml:space="preserve"> EUR </w:t>
            </w:r>
            <w:r w:rsidRPr="00810763">
              <w:rPr>
                <w:b/>
                <w:i/>
              </w:rPr>
              <w:t>en prix constants 2018,</w:t>
            </w:r>
            <w:r w:rsidRPr="00810763">
              <w:t xml:space="preserve"> et sont réparties comme suit:</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69</w:t>
      </w:r>
      <w:r w:rsidRPr="00930809">
        <w:rPr>
          <w:rStyle w:val="HideTWBExt"/>
          <w:b w:val="0"/>
          <w:szCs w:val="24"/>
          <w:lang w:val="fr-BE"/>
        </w:rPr>
        <w:t>&lt;/NumAm&gt;</w:t>
      </w:r>
    </w:p>
    <w:p w:rsidR="007D3698" w:rsidRPr="007D3698" w:rsidRDefault="007D3698" w:rsidP="007D3698">
      <w:pPr>
        <w:pStyle w:val="NormalBold12b"/>
        <w:keepNext/>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104 – paragraphe 1 – point a</w:t>
      </w:r>
      <w:r>
        <w:rPr>
          <w:rStyle w:val="HideTWBExt"/>
          <w:b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tcPr>
          <w:p w:rsidR="007D3698" w:rsidRPr="00810763" w:rsidRDefault="007D3698" w:rsidP="0097579A">
            <w:pPr>
              <w:pStyle w:val="ColumnHeading"/>
              <w:keepNext/>
              <w:rPr>
                <w:noProof/>
              </w:rPr>
            </w:pPr>
            <w:r w:rsidRPr="00810763">
              <w:t>Texte proposé par la Commission</w:t>
            </w:r>
          </w:p>
        </w:tc>
        <w:tc>
          <w:tcPr>
            <w:tcW w:w="4876" w:type="dxa"/>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r w:rsidRPr="00930809">
              <w:rPr>
                <w:b/>
                <w:i/>
              </w:rPr>
              <w:t>(</w:t>
            </w:r>
            <w:r w:rsidRPr="00810763">
              <w:t>a)</w:t>
            </w:r>
            <w:r w:rsidRPr="00810763">
              <w:tab/>
              <w:t xml:space="preserve">61,6 % </w:t>
            </w:r>
            <w:r w:rsidRPr="00810763">
              <w:rPr>
                <w:b/>
                <w:i/>
              </w:rPr>
              <w:t xml:space="preserve">(soit un total de 198 621 593 157 EUR) </w:t>
            </w:r>
            <w:r w:rsidRPr="00810763">
              <w:t>pour les régions les moins développées;</w:t>
            </w:r>
          </w:p>
        </w:tc>
        <w:tc>
          <w:tcPr>
            <w:tcW w:w="4876" w:type="dxa"/>
          </w:tcPr>
          <w:p w:rsidR="007D3698" w:rsidRPr="00810763" w:rsidRDefault="007D3698" w:rsidP="0097579A">
            <w:pPr>
              <w:pStyle w:val="Normal6"/>
              <w:rPr>
                <w:noProof/>
                <w:szCs w:val="24"/>
              </w:rPr>
            </w:pPr>
            <w:r w:rsidRPr="00810763">
              <w:t>a)</w:t>
            </w:r>
            <w:r w:rsidRPr="00810763">
              <w:tab/>
              <w:t>61,6 % pour les régions les moins développées;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70</w:t>
      </w:r>
      <w:r w:rsidRPr="00930809">
        <w:rPr>
          <w:rStyle w:val="HideTWBExt"/>
          <w:b w:val="0"/>
          <w:szCs w:val="24"/>
          <w:lang w:val="fr-BE"/>
        </w:rPr>
        <w:t>&lt;/NumAm&gt;</w:t>
      </w:r>
    </w:p>
    <w:p w:rsidR="007D3698" w:rsidRPr="007D3698" w:rsidRDefault="007D3698" w:rsidP="007D3698">
      <w:pPr>
        <w:pStyle w:val="NormalBold12b"/>
        <w:keepNext/>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104 – paragraphe 1 – point b</w:t>
      </w:r>
      <w:r>
        <w:rPr>
          <w:rStyle w:val="HideTWBExt"/>
          <w:b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tcPr>
          <w:p w:rsidR="007D3698" w:rsidRPr="00810763" w:rsidRDefault="007D3698" w:rsidP="0097579A">
            <w:pPr>
              <w:pStyle w:val="ColumnHeading"/>
              <w:keepNext/>
              <w:rPr>
                <w:noProof/>
              </w:rPr>
            </w:pPr>
            <w:r w:rsidRPr="00810763">
              <w:t>Texte proposé par la Commission</w:t>
            </w:r>
          </w:p>
        </w:tc>
        <w:tc>
          <w:tcPr>
            <w:tcW w:w="4876" w:type="dxa"/>
          </w:tcPr>
          <w:p w:rsidR="007D3698" w:rsidRPr="00810763" w:rsidRDefault="007D3698" w:rsidP="0097579A">
            <w:pPr>
              <w:pStyle w:val="ColumnHeading"/>
              <w:keepNext/>
              <w:rPr>
                <w:noProof/>
              </w:rPr>
            </w:pPr>
            <w:r w:rsidRPr="00810763">
              <w:t>Amendement</w:t>
            </w:r>
          </w:p>
        </w:tc>
      </w:tr>
      <w:tr w:rsidR="007D3698" w:rsidRPr="00AA1077" w:rsidTr="0097579A">
        <w:trPr>
          <w:jc w:val="center"/>
        </w:trPr>
        <w:tc>
          <w:tcPr>
            <w:tcW w:w="4876" w:type="dxa"/>
          </w:tcPr>
          <w:p w:rsidR="007D3698" w:rsidRPr="00810763" w:rsidRDefault="007D3698" w:rsidP="0097579A">
            <w:pPr>
              <w:pStyle w:val="Normal6"/>
              <w:rPr>
                <w:noProof/>
              </w:rPr>
            </w:pPr>
            <w:r w:rsidRPr="00930809">
              <w:rPr>
                <w:b/>
                <w:i/>
              </w:rPr>
              <w:t>(</w:t>
            </w:r>
            <w:r w:rsidRPr="00810763">
              <w:t>b)</w:t>
            </w:r>
            <w:r w:rsidRPr="00810763">
              <w:tab/>
              <w:t xml:space="preserve">14,3 % </w:t>
            </w:r>
            <w:r w:rsidRPr="00810763">
              <w:rPr>
                <w:b/>
                <w:i/>
              </w:rPr>
              <w:t xml:space="preserve">(soit un total de 45 934 516 595 EUR) </w:t>
            </w:r>
            <w:r w:rsidRPr="00810763">
              <w:t xml:space="preserve">pour les régions </w:t>
            </w:r>
            <w:r w:rsidRPr="00810763">
              <w:lastRenderedPageBreak/>
              <w:t>en transition;</w:t>
            </w:r>
          </w:p>
        </w:tc>
        <w:tc>
          <w:tcPr>
            <w:tcW w:w="4876" w:type="dxa"/>
          </w:tcPr>
          <w:p w:rsidR="007D3698" w:rsidRPr="00810763" w:rsidRDefault="007D3698" w:rsidP="0097579A">
            <w:pPr>
              <w:pStyle w:val="Normal6"/>
              <w:rPr>
                <w:noProof/>
                <w:szCs w:val="24"/>
              </w:rPr>
            </w:pPr>
            <w:r w:rsidRPr="00810763">
              <w:lastRenderedPageBreak/>
              <w:t>b)</w:t>
            </w:r>
            <w:r w:rsidRPr="00810763">
              <w:tab/>
              <w:t>14,3 % pour les régions en transition;</w:t>
            </w:r>
          </w:p>
        </w:tc>
      </w:tr>
    </w:tbl>
    <w:p w:rsidR="007D3698" w:rsidRPr="00AA1077" w:rsidRDefault="007D3698" w:rsidP="007D3698">
      <w:pPr>
        <w:rPr>
          <w:noProof/>
        </w:rPr>
      </w:pPr>
      <w:r>
        <w:rPr>
          <w:rStyle w:val="HideTWBExt"/>
        </w:rPr>
        <w:t>&lt;/Amend&gt;</w:t>
      </w:r>
    </w:p>
    <w:p w:rsidR="007D3698" w:rsidRPr="00AA1077" w:rsidRDefault="007D3698" w:rsidP="007D3698">
      <w:pPr>
        <w:pStyle w:val="AMNumberTabs"/>
        <w:rPr>
          <w:noProof/>
        </w:rPr>
      </w:pPr>
      <w:r>
        <w:rPr>
          <w:rStyle w:val="HideTWBExt"/>
          <w:b w:val="0"/>
          <w:szCs w:val="24"/>
        </w:rPr>
        <w:t>&lt;Amend&gt;</w:t>
      </w:r>
      <w:r w:rsidRPr="00810763">
        <w:t>Amendement</w:t>
      </w:r>
      <w:r w:rsidRPr="00810763">
        <w:tab/>
      </w:r>
      <w:r w:rsidRPr="00810763">
        <w:tab/>
      </w:r>
      <w:r>
        <w:rPr>
          <w:rStyle w:val="HideTWBExt"/>
          <w:b w:val="0"/>
          <w:szCs w:val="24"/>
        </w:rPr>
        <w:t>&lt;NumAm&gt;</w:t>
      </w:r>
      <w:r w:rsidRPr="00810763">
        <w:t>71</w:t>
      </w:r>
      <w:r>
        <w:rPr>
          <w:rStyle w:val="HideTWBExt"/>
          <w:b w:val="0"/>
          <w:szCs w:val="24"/>
        </w:rPr>
        <w:t>&lt;/NumAm&gt;</w:t>
      </w:r>
    </w:p>
    <w:p w:rsidR="007D3698" w:rsidRPr="007D3698" w:rsidRDefault="007D3698" w:rsidP="007D3698">
      <w:pPr>
        <w:pStyle w:val="NormalBold12b"/>
        <w:keepNext/>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104 – paragraphe 1 – point c</w:t>
      </w:r>
      <w:r>
        <w:rPr>
          <w:rStyle w:val="HideTWBExt"/>
          <w:b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tcPr>
          <w:p w:rsidR="007D3698" w:rsidRPr="00810763" w:rsidRDefault="007D3698" w:rsidP="0097579A">
            <w:pPr>
              <w:pStyle w:val="ColumnHeading"/>
              <w:keepNext/>
              <w:rPr>
                <w:noProof/>
              </w:rPr>
            </w:pPr>
            <w:r w:rsidRPr="00810763">
              <w:t>Texte proposé par la Commission</w:t>
            </w:r>
          </w:p>
        </w:tc>
        <w:tc>
          <w:tcPr>
            <w:tcW w:w="4876" w:type="dxa"/>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r w:rsidRPr="00930809">
              <w:rPr>
                <w:b/>
                <w:i/>
              </w:rPr>
              <w:t>(</w:t>
            </w:r>
            <w:r w:rsidRPr="00810763">
              <w:t>c)</w:t>
            </w:r>
            <w:r w:rsidRPr="00810763">
              <w:tab/>
              <w:t xml:space="preserve">10,8 % </w:t>
            </w:r>
            <w:r w:rsidRPr="00810763">
              <w:rPr>
                <w:b/>
                <w:i/>
              </w:rPr>
              <w:t xml:space="preserve">(soit un total de 34 842 689 000 EUR) </w:t>
            </w:r>
            <w:r w:rsidRPr="00810763">
              <w:t>pour les régions les plus développées;</w:t>
            </w:r>
          </w:p>
        </w:tc>
        <w:tc>
          <w:tcPr>
            <w:tcW w:w="4876" w:type="dxa"/>
          </w:tcPr>
          <w:p w:rsidR="007D3698" w:rsidRPr="00810763" w:rsidRDefault="007D3698" w:rsidP="0097579A">
            <w:pPr>
              <w:pStyle w:val="Normal6"/>
              <w:rPr>
                <w:noProof/>
                <w:szCs w:val="24"/>
              </w:rPr>
            </w:pPr>
            <w:r w:rsidRPr="00810763">
              <w:t>c)</w:t>
            </w:r>
            <w:r w:rsidRPr="00810763">
              <w:tab/>
              <w:t>10,8 % pour les régions les plus développées;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72</w:t>
      </w:r>
      <w:r w:rsidRPr="00930809">
        <w:rPr>
          <w:rStyle w:val="HideTWBExt"/>
          <w:b w:val="0"/>
          <w:szCs w:val="24"/>
          <w:lang w:val="fr-BE"/>
        </w:rPr>
        <w:t>&lt;/NumAm&gt;</w:t>
      </w:r>
    </w:p>
    <w:p w:rsidR="007D3698" w:rsidRPr="007D3698" w:rsidRDefault="007D3698" w:rsidP="007D3698">
      <w:pPr>
        <w:pStyle w:val="NormalBold12b"/>
        <w:keepNext/>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104 – paragraphe 1 – point d</w:t>
      </w:r>
      <w:r>
        <w:rPr>
          <w:rStyle w:val="HideTWBExt"/>
          <w:b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tcPr>
          <w:p w:rsidR="007D3698" w:rsidRPr="00810763" w:rsidRDefault="007D3698" w:rsidP="0097579A">
            <w:pPr>
              <w:pStyle w:val="ColumnHeading"/>
              <w:keepNext/>
              <w:rPr>
                <w:noProof/>
              </w:rPr>
            </w:pPr>
            <w:r w:rsidRPr="00810763">
              <w:t>Texte proposé par la Commission</w:t>
            </w:r>
          </w:p>
        </w:tc>
        <w:tc>
          <w:tcPr>
            <w:tcW w:w="4876" w:type="dxa"/>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r w:rsidRPr="00930809">
              <w:rPr>
                <w:b/>
                <w:i/>
              </w:rPr>
              <w:t>(</w:t>
            </w:r>
            <w:r w:rsidRPr="00810763">
              <w:t>d)</w:t>
            </w:r>
            <w:r w:rsidRPr="00810763">
              <w:tab/>
              <w:t xml:space="preserve">12,8 % </w:t>
            </w:r>
            <w:r w:rsidRPr="00810763">
              <w:rPr>
                <w:b/>
                <w:i/>
              </w:rPr>
              <w:t xml:space="preserve">(soit un total de 41 348 556 877 EUR) </w:t>
            </w:r>
            <w:r w:rsidRPr="00810763">
              <w:t>pour les États membres bénéficiant du soutien du Fonds de cohésion;</w:t>
            </w:r>
          </w:p>
        </w:tc>
        <w:tc>
          <w:tcPr>
            <w:tcW w:w="4876" w:type="dxa"/>
          </w:tcPr>
          <w:p w:rsidR="007D3698" w:rsidRPr="00810763" w:rsidRDefault="007D3698" w:rsidP="0097579A">
            <w:pPr>
              <w:pStyle w:val="Normal6"/>
              <w:rPr>
                <w:noProof/>
                <w:szCs w:val="24"/>
              </w:rPr>
            </w:pPr>
            <w:r w:rsidRPr="00810763">
              <w:t>d)</w:t>
            </w:r>
            <w:r w:rsidRPr="00810763">
              <w:tab/>
              <w:t>12,8 % pour les États membres bénéficiant du soutien du Fonds de cohésion;</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73</w:t>
      </w:r>
      <w:r w:rsidRPr="00930809">
        <w:rPr>
          <w:rStyle w:val="HideTWBExt"/>
          <w:b w:val="0"/>
          <w:szCs w:val="24"/>
          <w:lang w:val="fr-BE"/>
        </w:rPr>
        <w:t>&lt;/NumAm&gt;</w:t>
      </w:r>
    </w:p>
    <w:p w:rsidR="007D3698" w:rsidRPr="007D3698" w:rsidRDefault="007D3698" w:rsidP="007D3698">
      <w:pPr>
        <w:pStyle w:val="NormalBold12b"/>
        <w:keepNext/>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104 – paragraphe 1 – point e</w:t>
      </w:r>
      <w:r>
        <w:rPr>
          <w:rStyle w:val="HideTWBExt"/>
          <w:b w:val="0"/>
          <w:szCs w:val="24"/>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tcPr>
          <w:p w:rsidR="007D3698" w:rsidRPr="00810763" w:rsidRDefault="007D3698" w:rsidP="0097579A">
            <w:pPr>
              <w:pStyle w:val="ColumnHeading"/>
              <w:keepNext/>
              <w:rPr>
                <w:noProof/>
              </w:rPr>
            </w:pPr>
            <w:r w:rsidRPr="00810763">
              <w:t>Texte proposé par la Commission</w:t>
            </w:r>
          </w:p>
        </w:tc>
        <w:tc>
          <w:tcPr>
            <w:tcW w:w="4876" w:type="dxa"/>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r w:rsidRPr="00810763">
              <w:rPr>
                <w:b/>
                <w:i/>
              </w:rPr>
              <w:t>(</w:t>
            </w:r>
            <w:r w:rsidRPr="00810763">
              <w:t>e)</w:t>
            </w:r>
            <w:r w:rsidRPr="00810763">
              <w:tab/>
              <w:t>0,4 %</w:t>
            </w:r>
            <w:r w:rsidRPr="00810763">
              <w:rPr>
                <w:b/>
                <w:i/>
              </w:rPr>
              <w:t xml:space="preserve"> (soit un total de 1 447 034 001 EUR)</w:t>
            </w:r>
            <w:r w:rsidRPr="00810763">
              <w:t xml:space="preserve"> en tant que financement supplémentaire pour les régions ultrapériphériques visées à l’article 349 du TFUE et les régions de niveau NUTS 2 répondant aux critères fixés à l’article 2 du protocole nº 6 annexé à l’acte d’adhésion de 1994.</w:t>
            </w:r>
          </w:p>
        </w:tc>
        <w:tc>
          <w:tcPr>
            <w:tcW w:w="4876" w:type="dxa"/>
          </w:tcPr>
          <w:p w:rsidR="007D3698" w:rsidRPr="00810763" w:rsidRDefault="007D3698" w:rsidP="0097579A">
            <w:pPr>
              <w:pStyle w:val="Normal6"/>
              <w:rPr>
                <w:noProof/>
                <w:szCs w:val="24"/>
              </w:rPr>
            </w:pPr>
            <w:r w:rsidRPr="00810763">
              <w:t>e)</w:t>
            </w:r>
            <w:r w:rsidRPr="00810763">
              <w:tab/>
              <w:t>0,4 % en tant que financement supplémentaire pour les régions ultrapériphériques visées à l’article 349 du TFUE et les régions de niveau NUTS 2 répondant aux critères fixés à l’article 2 du protocole nº 6 annexé à l’acte d’adhésion de 1994.</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74</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104 – paragraphe 2 – alinéa 1</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 xml:space="preserve">En 2024, la Commission, dans son ajustement technique pour l’année 2025 conformément à l’article [6] du règlement (UE, Euratom) [[...] (règlement CFP)], procède au réexamen des montants totaux alloués au titre de l’objectif «Investissement pour l’emploi </w:t>
            </w:r>
            <w:r w:rsidRPr="00810763">
              <w:rPr>
                <w:b/>
                <w:i/>
              </w:rPr>
              <w:t>et</w:t>
            </w:r>
            <w:r w:rsidRPr="00810763">
              <w:t xml:space="preserve"> la croissance» à chaque État membre pour la période 2025-2027.</w:t>
            </w:r>
          </w:p>
        </w:tc>
        <w:tc>
          <w:tcPr>
            <w:tcW w:w="4876" w:type="dxa"/>
            <w:hideMark/>
          </w:tcPr>
          <w:p w:rsidR="007D3698" w:rsidRPr="00810763" w:rsidRDefault="007D3698" w:rsidP="0097579A">
            <w:pPr>
              <w:pStyle w:val="Normal6"/>
              <w:rPr>
                <w:noProof/>
                <w:szCs w:val="24"/>
              </w:rPr>
            </w:pPr>
            <w:r w:rsidRPr="00810763">
              <w:t>En 2024, la Commission, dans son ajustement technique pour l’année 2025 conformément à l’article [6] du règlement (UE, Euratom) [[...] (règlement CFP)], procède au réexamen des montants totaux alloués au titre de l’objectif «Investissement pour l’emploi</w:t>
            </w:r>
            <w:r w:rsidRPr="00810763">
              <w:rPr>
                <w:b/>
                <w:i/>
              </w:rPr>
              <w:t>,</w:t>
            </w:r>
            <w:r w:rsidRPr="00810763">
              <w:t xml:space="preserve"> la croissance</w:t>
            </w:r>
            <w:r w:rsidRPr="00810763">
              <w:rPr>
                <w:b/>
                <w:i/>
              </w:rPr>
              <w:t>, l’inclusion sociale et la convergence ascendante</w:t>
            </w:r>
            <w:r w:rsidRPr="00810763">
              <w:t>» à chaque État membre pour la période 2025-2027.</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75</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104 – paragraphe 3 – alinéa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 xml:space="preserve">Le montant disponible pour le FSE+ au titre de l’objectif «Investissement pour l’emploi </w:t>
            </w:r>
            <w:r w:rsidRPr="00810763">
              <w:rPr>
                <w:b/>
                <w:i/>
              </w:rPr>
              <w:t>et</w:t>
            </w:r>
            <w:r w:rsidRPr="00810763">
              <w:t xml:space="preserve"> la croissance» est de </w:t>
            </w:r>
            <w:r w:rsidRPr="00810763">
              <w:rPr>
                <w:b/>
                <w:i/>
              </w:rPr>
              <w:t>88 646 194 590</w:t>
            </w:r>
            <w:r w:rsidRPr="00810763">
              <w:t> EUR.</w:t>
            </w:r>
          </w:p>
        </w:tc>
        <w:tc>
          <w:tcPr>
            <w:tcW w:w="4876" w:type="dxa"/>
            <w:hideMark/>
          </w:tcPr>
          <w:p w:rsidR="007D3698" w:rsidRPr="00810763" w:rsidRDefault="007D3698" w:rsidP="0097579A">
            <w:pPr>
              <w:pStyle w:val="Normal6"/>
              <w:rPr>
                <w:noProof/>
                <w:szCs w:val="24"/>
              </w:rPr>
            </w:pPr>
            <w:r w:rsidRPr="00810763">
              <w:t>Le montant disponible pour le FSE+ au titre de l’objectif «Investissement pour l’emploi</w:t>
            </w:r>
            <w:r w:rsidRPr="00810763">
              <w:rPr>
                <w:b/>
                <w:i/>
              </w:rPr>
              <w:t>,</w:t>
            </w:r>
            <w:r w:rsidRPr="00810763">
              <w:t xml:space="preserve"> la croissance</w:t>
            </w:r>
            <w:r w:rsidRPr="00810763">
              <w:rPr>
                <w:b/>
                <w:i/>
              </w:rPr>
              <w:t>, l’inclusion sociale et la convergence ascendante</w:t>
            </w:r>
            <w:r w:rsidRPr="00810763">
              <w:t xml:space="preserve">» est de </w:t>
            </w:r>
            <w:r w:rsidRPr="00810763">
              <w:rPr>
                <w:b/>
                <w:i/>
              </w:rPr>
              <w:t>105 686 000 000</w:t>
            </w:r>
            <w:r w:rsidRPr="00810763">
              <w:t xml:space="preserve"> EUR </w:t>
            </w:r>
            <w:r w:rsidRPr="00810763">
              <w:rPr>
                <w:b/>
                <w:i/>
              </w:rPr>
              <w:t>en prix constants 2018</w:t>
            </w:r>
            <w:r w:rsidRPr="00810763">
              <w:t xml:space="preserve">. </w:t>
            </w:r>
            <w:r w:rsidRPr="00810763">
              <w:rPr>
                <w:b/>
                <w:i/>
              </w:rPr>
              <w:t>Les États membres veillent à ce que, sur le total des ressources combinées de la politique de cohésion qu’ils reçoivent, la part utilisée pour les projets relevant du FSE+ ne soit pas inférieure à 27,5 %.</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76</w:t>
      </w:r>
      <w:r w:rsidRPr="00930809">
        <w:rPr>
          <w:rStyle w:val="HideTWBExt"/>
          <w:b w:val="0"/>
          <w:szCs w:val="24"/>
          <w:lang w:val="fr-BE"/>
        </w:rPr>
        <w:t>&lt;/NumAm&gt;</w:t>
      </w:r>
    </w:p>
    <w:p w:rsidR="007D3698" w:rsidRPr="007D3698" w:rsidRDefault="007D3698" w:rsidP="007D3698">
      <w:pPr>
        <w:pStyle w:val="NormalBold12b"/>
        <w:keepNext/>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F15B66" w:rsidRDefault="007D3698" w:rsidP="007D3698">
      <w:pPr>
        <w:pStyle w:val="NormalBold"/>
        <w:rPr>
          <w:noProof/>
        </w:rPr>
      </w:pPr>
      <w:r>
        <w:rPr>
          <w:rStyle w:val="HideTWBExt"/>
          <w:b w:val="0"/>
          <w:szCs w:val="24"/>
        </w:rPr>
        <w:t>&lt;Article&gt;</w:t>
      </w:r>
      <w:r w:rsidRPr="00810763">
        <w:t>Article 104 – paragraphe 3 – alinéa 2</w:t>
      </w:r>
      <w:r>
        <w:rPr>
          <w:rStyle w:val="HideTWBExt"/>
          <w:b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D3698" w:rsidRPr="00F15B66" w:rsidTr="0097579A">
        <w:trPr>
          <w:jc w:val="center"/>
        </w:trPr>
        <w:tc>
          <w:tcPr>
            <w:tcW w:w="9752" w:type="dxa"/>
            <w:gridSpan w:val="2"/>
          </w:tcPr>
          <w:p w:rsidR="007D3698" w:rsidRPr="00F15B66" w:rsidRDefault="007D3698" w:rsidP="0097579A">
            <w:pPr>
              <w:keepNext/>
              <w:rPr>
                <w:noProof/>
              </w:rPr>
            </w:pPr>
          </w:p>
        </w:tc>
      </w:tr>
      <w:tr w:rsidR="007D3698" w:rsidRPr="00AA1077" w:rsidTr="0097579A">
        <w:trPr>
          <w:jc w:val="center"/>
        </w:trPr>
        <w:tc>
          <w:tcPr>
            <w:tcW w:w="4876" w:type="dxa"/>
          </w:tcPr>
          <w:p w:rsidR="007D3698" w:rsidRPr="00810763" w:rsidRDefault="007D3698" w:rsidP="0097579A">
            <w:pPr>
              <w:pStyle w:val="ColumnHeading"/>
              <w:keepNext/>
              <w:rPr>
                <w:noProof/>
              </w:rPr>
            </w:pPr>
            <w:r w:rsidRPr="00810763">
              <w:t>Texte proposé par la Commission</w:t>
            </w:r>
          </w:p>
        </w:tc>
        <w:tc>
          <w:tcPr>
            <w:tcW w:w="4876" w:type="dxa"/>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r w:rsidRPr="00810763">
              <w:t>Le montant du financement supplémentaire pour les régions ultrapériphériques prévu au paragraphe 1, point e), alloué au FSE+ s’élève à </w:t>
            </w:r>
            <w:r w:rsidRPr="00810763">
              <w:rPr>
                <w:b/>
                <w:i/>
              </w:rPr>
              <w:t>376</w:t>
            </w:r>
            <w:r w:rsidRPr="00810763">
              <w:t> </w:t>
            </w:r>
            <w:r w:rsidRPr="00810763">
              <w:rPr>
                <w:b/>
                <w:i/>
              </w:rPr>
              <w:t>928</w:t>
            </w:r>
            <w:r w:rsidRPr="00810763">
              <w:t> </w:t>
            </w:r>
            <w:r w:rsidRPr="00810763">
              <w:rPr>
                <w:b/>
                <w:i/>
              </w:rPr>
              <w:t>934</w:t>
            </w:r>
            <w:r w:rsidRPr="00810763">
              <w:t> EUR.</w:t>
            </w:r>
          </w:p>
        </w:tc>
        <w:tc>
          <w:tcPr>
            <w:tcW w:w="4876" w:type="dxa"/>
          </w:tcPr>
          <w:p w:rsidR="007D3698" w:rsidRPr="00810763" w:rsidRDefault="007D3698" w:rsidP="0097579A">
            <w:pPr>
              <w:pStyle w:val="Normal6"/>
              <w:rPr>
                <w:noProof/>
                <w:szCs w:val="24"/>
              </w:rPr>
            </w:pPr>
            <w:r w:rsidRPr="00810763">
              <w:t>Le montant du financement supplémentaire pour les régions ultrapériphériques prévu au paragraphe 1, point e), alloué au FSE+ s’élève à </w:t>
            </w:r>
            <w:r w:rsidRPr="00810763">
              <w:rPr>
                <w:b/>
                <w:i/>
              </w:rPr>
              <w:t>424</w:t>
            </w:r>
            <w:r w:rsidRPr="00810763">
              <w:t> </w:t>
            </w:r>
            <w:r w:rsidRPr="00810763">
              <w:rPr>
                <w:b/>
                <w:i/>
              </w:rPr>
              <w:t>296</w:t>
            </w:r>
            <w:r w:rsidRPr="00810763">
              <w:t> </w:t>
            </w:r>
            <w:r w:rsidRPr="00810763">
              <w:rPr>
                <w:b/>
                <w:i/>
              </w:rPr>
              <w:t>054</w:t>
            </w:r>
            <w:r w:rsidRPr="00810763">
              <w:t> EUR</w:t>
            </w:r>
            <w:r w:rsidRPr="00810763">
              <w:rPr>
                <w:b/>
                <w:i/>
              </w:rPr>
              <w:t xml:space="preserve"> aux prix de 2018</w:t>
            </w:r>
            <w:r w:rsidRPr="00810763">
              <w:t>.</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lastRenderedPageBreak/>
        <w:t>&lt;Amend&gt;</w:t>
      </w:r>
      <w:r w:rsidRPr="00810763">
        <w:t>Amendement</w:t>
      </w:r>
      <w:r w:rsidRPr="00810763">
        <w:tab/>
      </w:r>
      <w:r w:rsidRPr="00810763">
        <w:tab/>
      </w:r>
      <w:r w:rsidRPr="00930809">
        <w:rPr>
          <w:rStyle w:val="HideTWBExt"/>
          <w:b w:val="0"/>
          <w:szCs w:val="24"/>
          <w:lang w:val="fr-BE"/>
        </w:rPr>
        <w:t>&lt;NumAm&gt;</w:t>
      </w:r>
      <w:r w:rsidRPr="00810763">
        <w:t>77</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104 – paragraphe 5</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5.</w:t>
            </w:r>
            <w:r w:rsidRPr="00810763">
              <w:tab/>
              <w:t xml:space="preserve">Un montant de </w:t>
            </w:r>
            <w:r w:rsidRPr="00810763">
              <w:rPr>
                <w:b/>
                <w:i/>
              </w:rPr>
              <w:t>500 000 000</w:t>
            </w:r>
            <w:r w:rsidRPr="00810763">
              <w:t xml:space="preserve"> EUR provenant des ressources consacrées à l’objectif «Investissement pour l’emploi </w:t>
            </w:r>
            <w:r w:rsidRPr="00810763">
              <w:rPr>
                <w:b/>
                <w:i/>
              </w:rPr>
              <w:t>et</w:t>
            </w:r>
            <w:r w:rsidRPr="00810763">
              <w:t xml:space="preserve"> la croissance» est affecté à l’initiative urbaine européenne gérée directement ou indirectement par la Commission.</w:t>
            </w:r>
          </w:p>
        </w:tc>
        <w:tc>
          <w:tcPr>
            <w:tcW w:w="4876" w:type="dxa"/>
            <w:hideMark/>
          </w:tcPr>
          <w:p w:rsidR="007D3698" w:rsidRPr="00810763" w:rsidRDefault="007D3698" w:rsidP="0097579A">
            <w:pPr>
              <w:pStyle w:val="Normal6"/>
              <w:rPr>
                <w:noProof/>
                <w:szCs w:val="24"/>
              </w:rPr>
            </w:pPr>
            <w:r w:rsidRPr="00810763">
              <w:t>5.</w:t>
            </w:r>
            <w:r w:rsidRPr="00810763">
              <w:tab/>
              <w:t xml:space="preserve">Un montant de </w:t>
            </w:r>
            <w:r w:rsidRPr="00810763">
              <w:rPr>
                <w:b/>
                <w:i/>
              </w:rPr>
              <w:t>560 000 000</w:t>
            </w:r>
            <w:r w:rsidRPr="00810763">
              <w:t> EUR provenant des ressources consacrées à l’objectif «Investissement pour l’emploi</w:t>
            </w:r>
            <w:r w:rsidRPr="00810763">
              <w:rPr>
                <w:b/>
                <w:i/>
              </w:rPr>
              <w:t>,</w:t>
            </w:r>
            <w:r w:rsidRPr="00810763">
              <w:t xml:space="preserve"> la croissance</w:t>
            </w:r>
            <w:r w:rsidRPr="00810763">
              <w:rPr>
                <w:b/>
                <w:i/>
              </w:rPr>
              <w:t>, l’inclusion sociale et la convergence ascendante</w:t>
            </w:r>
            <w:r w:rsidRPr="00810763">
              <w:t>» est affecté à l’initiative urbaine européenne gérée directement ou indirectement par la Commission.</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78</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104 – paragraphe 6</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6.</w:t>
            </w:r>
            <w:r w:rsidRPr="00810763">
              <w:tab/>
              <w:t xml:space="preserve">Un montant de </w:t>
            </w:r>
            <w:r w:rsidRPr="00810763">
              <w:rPr>
                <w:b/>
                <w:i/>
              </w:rPr>
              <w:t>175 000 000</w:t>
            </w:r>
            <w:r w:rsidRPr="00810763">
              <w:t xml:space="preserve"> EUR provenant des ressources du FSE+ consacrées à l’objectif «Investissement pour l’emploi </w:t>
            </w:r>
            <w:r w:rsidRPr="00810763">
              <w:rPr>
                <w:b/>
                <w:i/>
              </w:rPr>
              <w:t>et</w:t>
            </w:r>
            <w:r w:rsidRPr="00810763">
              <w:t xml:space="preserve"> la croissance» est affecté à la coopération transnationale soutenant des solutions innovantes en gestion directe ou indirecte.</w:t>
            </w:r>
          </w:p>
        </w:tc>
        <w:tc>
          <w:tcPr>
            <w:tcW w:w="4876" w:type="dxa"/>
            <w:hideMark/>
          </w:tcPr>
          <w:p w:rsidR="007D3698" w:rsidRPr="00810763" w:rsidRDefault="007D3698" w:rsidP="0097579A">
            <w:pPr>
              <w:pStyle w:val="Normal6"/>
              <w:rPr>
                <w:noProof/>
                <w:szCs w:val="24"/>
              </w:rPr>
            </w:pPr>
            <w:r w:rsidRPr="00810763">
              <w:t>6.</w:t>
            </w:r>
            <w:r w:rsidRPr="00810763">
              <w:tab/>
              <w:t xml:space="preserve">Un montant de </w:t>
            </w:r>
            <w:r w:rsidRPr="00810763">
              <w:rPr>
                <w:b/>
                <w:i/>
              </w:rPr>
              <w:t>196 000 000</w:t>
            </w:r>
            <w:r w:rsidRPr="00810763">
              <w:t> EUR provenant des ressources du FSE+ consacrées à l’objectif «Investissement pour l’emploi</w:t>
            </w:r>
            <w:r w:rsidRPr="00810763">
              <w:rPr>
                <w:b/>
                <w:i/>
              </w:rPr>
              <w:t>,</w:t>
            </w:r>
            <w:r w:rsidRPr="00810763">
              <w:t xml:space="preserve"> la croissance</w:t>
            </w:r>
            <w:r w:rsidRPr="00810763">
              <w:rPr>
                <w:b/>
                <w:i/>
              </w:rPr>
              <w:t>, l’inclusion sociale et la convergence ascendante</w:t>
            </w:r>
            <w:r w:rsidRPr="00810763">
              <w:t>» est affecté à la coopération transnationale soutenant des solutions innovantes en gestion directe ou indirecte.</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79</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105 – paragraphe 2</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2.</w:t>
            </w:r>
            <w:r w:rsidRPr="00810763">
              <w:tab/>
              <w:t xml:space="preserve">Les dotations totales allouées à chaque État membre au titre des objectifs «Investissement pour l’emploi </w:t>
            </w:r>
            <w:r w:rsidRPr="00810763">
              <w:rPr>
                <w:b/>
                <w:i/>
              </w:rPr>
              <w:t>et</w:t>
            </w:r>
            <w:r w:rsidRPr="00810763">
              <w:t xml:space="preserve"> la croissance » et «Coopération territoriale européenne» (Interreg) ne sont pas transférables entre ces objectifs.</w:t>
            </w:r>
          </w:p>
        </w:tc>
        <w:tc>
          <w:tcPr>
            <w:tcW w:w="4876" w:type="dxa"/>
            <w:hideMark/>
          </w:tcPr>
          <w:p w:rsidR="007D3698" w:rsidRPr="00810763" w:rsidRDefault="007D3698" w:rsidP="0097579A">
            <w:pPr>
              <w:pStyle w:val="Normal6"/>
              <w:rPr>
                <w:noProof/>
                <w:szCs w:val="24"/>
              </w:rPr>
            </w:pPr>
            <w:r w:rsidRPr="00810763">
              <w:t>2.</w:t>
            </w:r>
            <w:r w:rsidRPr="00810763">
              <w:tab/>
              <w:t>Les dotations totales allouées à chaque État membre au titre des objectifs «Investissement pour l’emploi</w:t>
            </w:r>
            <w:r w:rsidRPr="00810763">
              <w:rPr>
                <w:b/>
                <w:i/>
              </w:rPr>
              <w:t>,</w:t>
            </w:r>
            <w:r w:rsidRPr="00810763">
              <w:t xml:space="preserve"> la croissance</w:t>
            </w:r>
            <w:r w:rsidRPr="00810763">
              <w:rPr>
                <w:b/>
                <w:i/>
              </w:rPr>
              <w:t>, l’inclusion sociale et la convergence ascendante</w:t>
            </w:r>
            <w:r w:rsidRPr="00810763">
              <w:t>» et «Coopération territoriale européenne» (Interreg) ne sont pas transférables entre ces objectifs.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lastRenderedPageBreak/>
        <w:t>&lt;Amend&gt;</w:t>
      </w:r>
      <w:r w:rsidRPr="00810763">
        <w:t>Amendement</w:t>
      </w:r>
      <w:r w:rsidRPr="00810763">
        <w:tab/>
      </w:r>
      <w:r w:rsidRPr="00810763">
        <w:tab/>
      </w:r>
      <w:r w:rsidRPr="00930809">
        <w:rPr>
          <w:rStyle w:val="HideTWBExt"/>
          <w:b w:val="0"/>
          <w:szCs w:val="24"/>
          <w:lang w:val="fr-BE"/>
        </w:rPr>
        <w:t>&lt;NumAm&gt;</w:t>
      </w:r>
      <w:r w:rsidRPr="00810763">
        <w:t>80</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106 – paragraphe 3 – alinéa 1 – partie introductive</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Le taux de cofinancement au titre de l’objectif «Investissement pour l’emploi</w:t>
            </w:r>
            <w:r w:rsidRPr="00810763">
              <w:rPr>
                <w:b/>
                <w:i/>
              </w:rPr>
              <w:t xml:space="preserve"> et</w:t>
            </w:r>
            <w:r w:rsidRPr="00810763">
              <w:t xml:space="preserve"> la croissance» au niveau de chaque priorité n’excède pas:</w:t>
            </w:r>
          </w:p>
        </w:tc>
        <w:tc>
          <w:tcPr>
            <w:tcW w:w="4876" w:type="dxa"/>
            <w:hideMark/>
          </w:tcPr>
          <w:p w:rsidR="007D3698" w:rsidRPr="00810763" w:rsidRDefault="007D3698" w:rsidP="0097579A">
            <w:pPr>
              <w:pStyle w:val="Normal6"/>
              <w:rPr>
                <w:noProof/>
                <w:szCs w:val="24"/>
              </w:rPr>
            </w:pPr>
            <w:r w:rsidRPr="00810763">
              <w:t>Le taux de cofinancement au titre de l’objectif «Investissement pour l’emploi</w:t>
            </w:r>
            <w:r w:rsidRPr="00810763">
              <w:rPr>
                <w:b/>
                <w:i/>
              </w:rPr>
              <w:t>,</w:t>
            </w:r>
            <w:r w:rsidRPr="00810763">
              <w:t xml:space="preserve"> la croissance</w:t>
            </w:r>
            <w:r w:rsidRPr="00810763">
              <w:rPr>
                <w:b/>
                <w:i/>
              </w:rPr>
              <w:t>, l’inclusion sociale et la convergence ascendante</w:t>
            </w:r>
            <w:r w:rsidRPr="00810763">
              <w:t>» au niveau de chaque priorité n’excède pas: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81</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106 – paragraphe 3 – alinéa 1 – point a</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rPr>
                <w:b/>
                <w:i/>
              </w:rPr>
              <w:t>(</w:t>
            </w:r>
            <w:r w:rsidRPr="00810763">
              <w:t>a)</w:t>
            </w:r>
            <w:r w:rsidRPr="00810763">
              <w:tab/>
            </w:r>
            <w:r w:rsidRPr="00810763">
              <w:rPr>
                <w:b/>
                <w:i/>
              </w:rPr>
              <w:t>70</w:t>
            </w:r>
            <w:r w:rsidRPr="00810763">
              <w:t> % pour les régions les moins développées;</w:t>
            </w:r>
          </w:p>
        </w:tc>
        <w:tc>
          <w:tcPr>
            <w:tcW w:w="4876" w:type="dxa"/>
            <w:hideMark/>
          </w:tcPr>
          <w:p w:rsidR="007D3698" w:rsidRPr="00810763" w:rsidRDefault="007D3698" w:rsidP="0097579A">
            <w:pPr>
              <w:pStyle w:val="Normal6"/>
              <w:rPr>
                <w:noProof/>
                <w:szCs w:val="24"/>
              </w:rPr>
            </w:pPr>
            <w:r w:rsidRPr="00810763">
              <w:t>a)</w:t>
            </w:r>
            <w:r w:rsidRPr="00810763">
              <w:tab/>
            </w:r>
            <w:r w:rsidRPr="00810763">
              <w:rPr>
                <w:b/>
                <w:i/>
              </w:rPr>
              <w:t>85</w:t>
            </w:r>
            <w:r w:rsidRPr="00810763">
              <w:t> % pour les régions les moins développées;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82</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106 – paragraphe 3 – alinéa 1 – point b</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930809">
              <w:rPr>
                <w:b/>
                <w:i/>
              </w:rPr>
              <w:t>(</w:t>
            </w:r>
            <w:r w:rsidRPr="00810763">
              <w:t>b)</w:t>
            </w:r>
            <w:r w:rsidRPr="00810763">
              <w:tab/>
            </w:r>
            <w:r w:rsidRPr="00810763">
              <w:rPr>
                <w:b/>
                <w:i/>
              </w:rPr>
              <w:t>55</w:t>
            </w:r>
            <w:r w:rsidRPr="00810763">
              <w:t> % pour les régions en transition;</w:t>
            </w:r>
          </w:p>
        </w:tc>
        <w:tc>
          <w:tcPr>
            <w:tcW w:w="4876" w:type="dxa"/>
            <w:hideMark/>
          </w:tcPr>
          <w:p w:rsidR="007D3698" w:rsidRPr="00810763" w:rsidRDefault="007D3698" w:rsidP="0097579A">
            <w:pPr>
              <w:pStyle w:val="Normal6"/>
              <w:rPr>
                <w:noProof/>
                <w:szCs w:val="24"/>
              </w:rPr>
            </w:pPr>
            <w:r w:rsidRPr="00810763">
              <w:t>b)</w:t>
            </w:r>
            <w:r w:rsidRPr="00810763">
              <w:tab/>
            </w:r>
            <w:r w:rsidRPr="00810763">
              <w:rPr>
                <w:b/>
                <w:i/>
              </w:rPr>
              <w:t>60</w:t>
            </w:r>
            <w:r w:rsidRPr="00810763">
              <w:t> % pour les régions en transition;</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83</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106 – paragraphe 3 – alinéa 1 – point c</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rPr>
                <w:b/>
                <w:i/>
              </w:rPr>
              <w:t>(</w:t>
            </w:r>
            <w:r w:rsidRPr="00810763">
              <w:t>c)</w:t>
            </w:r>
            <w:r w:rsidRPr="00810763">
              <w:tab/>
            </w:r>
            <w:r w:rsidRPr="00810763">
              <w:rPr>
                <w:b/>
                <w:i/>
              </w:rPr>
              <w:t>40</w:t>
            </w:r>
            <w:r w:rsidRPr="00810763">
              <w:t> % pour les régions les plus développées.</w:t>
            </w:r>
          </w:p>
        </w:tc>
        <w:tc>
          <w:tcPr>
            <w:tcW w:w="4876" w:type="dxa"/>
            <w:hideMark/>
          </w:tcPr>
          <w:p w:rsidR="007D3698" w:rsidRPr="00810763" w:rsidRDefault="007D3698" w:rsidP="0097579A">
            <w:pPr>
              <w:pStyle w:val="Normal6"/>
              <w:rPr>
                <w:noProof/>
                <w:szCs w:val="24"/>
              </w:rPr>
            </w:pPr>
            <w:r w:rsidRPr="00810763">
              <w:t>c)</w:t>
            </w:r>
            <w:r w:rsidRPr="00810763">
              <w:tab/>
            </w:r>
            <w:r w:rsidRPr="00810763">
              <w:rPr>
                <w:b/>
                <w:i/>
              </w:rPr>
              <w:t>50</w:t>
            </w:r>
            <w:r w:rsidRPr="00810763">
              <w:t> % pour les régions les plus développées.</w:t>
            </w:r>
          </w:p>
        </w:tc>
      </w:tr>
    </w:tbl>
    <w:p w:rsidR="007D3698" w:rsidRPr="007D3698" w:rsidRDefault="007D3698" w:rsidP="007D3698">
      <w:pPr>
        <w:rPr>
          <w:noProof/>
        </w:rPr>
      </w:pPr>
      <w:r w:rsidRPr="00930809">
        <w:rPr>
          <w:rStyle w:val="HideTWBExt"/>
          <w:lang w:val="fr-BE"/>
        </w:rPr>
        <w:t>&lt;/Amend&gt;</w:t>
      </w:r>
    </w:p>
    <w:p w:rsidR="007D3698" w:rsidRPr="00930809" w:rsidRDefault="007D3698" w:rsidP="007D3698">
      <w:pPr>
        <w:rPr>
          <w:noProof/>
          <w:lang w:val="fr-BE"/>
        </w:rPr>
      </w:pP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84</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lastRenderedPageBreak/>
        <w:t>&lt;DocAmend&gt;</w:t>
      </w:r>
      <w:r w:rsidRPr="00810763">
        <w:t>Proposition de règlement</w:t>
      </w:r>
      <w:r w:rsidRPr="00930809">
        <w:rPr>
          <w:rStyle w:val="HideTWBExt"/>
          <w:b w:val="0"/>
          <w:szCs w:val="24"/>
          <w:lang w:val="fr-BE"/>
        </w:rPr>
        <w:t>&lt;/DocAmend&gt;</w:t>
      </w:r>
    </w:p>
    <w:p w:rsidR="007D3698" w:rsidRPr="00F15B66" w:rsidRDefault="007D3698" w:rsidP="007D3698">
      <w:pPr>
        <w:pStyle w:val="NormalBold"/>
        <w:rPr>
          <w:noProof/>
        </w:rPr>
      </w:pPr>
      <w:r>
        <w:rPr>
          <w:rStyle w:val="HideTWBExt"/>
          <w:b w:val="0"/>
          <w:szCs w:val="24"/>
        </w:rPr>
        <w:t>&lt;Article&gt;</w:t>
      </w:r>
      <w:r w:rsidRPr="00810763">
        <w:t>Article 106 – paragraphe 3 – alinéa 2 bis (nouveau)</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F15B66"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p>
        </w:tc>
        <w:tc>
          <w:tcPr>
            <w:tcW w:w="4876" w:type="dxa"/>
            <w:hideMark/>
          </w:tcPr>
          <w:p w:rsidR="007D3698" w:rsidRPr="00810763" w:rsidRDefault="007D3698" w:rsidP="0097579A">
            <w:pPr>
              <w:pStyle w:val="Normal6"/>
              <w:rPr>
                <w:noProof/>
                <w:szCs w:val="24"/>
              </w:rPr>
            </w:pPr>
            <w:r w:rsidRPr="00810763">
              <w:rPr>
                <w:b/>
                <w:i/>
              </w:rPr>
              <w:t>Les taux de cofinancement fixés au point a) s’appliquent également aux régions ultrapériphériques et aux régions connaissant des problèmes de dépeuplement (moins de 12,5 habitants par km² au niveau NUTS 3) et/ou de dispersion de population.</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85</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F15B66" w:rsidRDefault="007D3698" w:rsidP="007D3698">
      <w:pPr>
        <w:pStyle w:val="NormalBold"/>
        <w:rPr>
          <w:noProof/>
        </w:rPr>
      </w:pPr>
      <w:r>
        <w:rPr>
          <w:rStyle w:val="HideTWBExt"/>
          <w:b w:val="0"/>
          <w:szCs w:val="24"/>
        </w:rPr>
        <w:t>&lt;Article&gt;</w:t>
      </w:r>
      <w:r w:rsidRPr="00810763">
        <w:t>Article 106 – paragraphe 3 – alinéa 3</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F15B66"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Le taux de cofinancement au titre du Fonds de cohésion au niveau de chaque priorité n’excède pas </w:t>
            </w:r>
            <w:r w:rsidRPr="00810763">
              <w:rPr>
                <w:b/>
                <w:i/>
              </w:rPr>
              <w:t>70</w:t>
            </w:r>
            <w:r w:rsidRPr="00810763">
              <w:t> %.</w:t>
            </w:r>
          </w:p>
        </w:tc>
        <w:tc>
          <w:tcPr>
            <w:tcW w:w="4876" w:type="dxa"/>
            <w:hideMark/>
          </w:tcPr>
          <w:p w:rsidR="007D3698" w:rsidRPr="00810763" w:rsidRDefault="007D3698" w:rsidP="0097579A">
            <w:pPr>
              <w:pStyle w:val="Normal6"/>
              <w:rPr>
                <w:noProof/>
                <w:szCs w:val="24"/>
              </w:rPr>
            </w:pPr>
            <w:r w:rsidRPr="00810763">
              <w:t>Le taux de cofinancement au titre du Fonds de cohésion au niveau de chaque priorité n’excède pas </w:t>
            </w:r>
            <w:r w:rsidRPr="00810763">
              <w:rPr>
                <w:b/>
                <w:i/>
              </w:rPr>
              <w:t>85</w:t>
            </w:r>
            <w:r w:rsidRPr="00810763">
              <w:t> %.</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86</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Article 106 – paragraphe 3 – alinéa 4</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 xml:space="preserve">Le règlement FSE+ peut fixer des taux de cofinancement plus élevés pour les priorités </w:t>
            </w:r>
            <w:r w:rsidRPr="00810763">
              <w:rPr>
                <w:b/>
                <w:i/>
              </w:rPr>
              <w:t>soutenant</w:t>
            </w:r>
            <w:r w:rsidRPr="00810763">
              <w:t xml:space="preserve"> des actions innovantes conformément à l’article</w:t>
            </w:r>
            <w:r w:rsidRPr="00810763">
              <w:rPr>
                <w:b/>
                <w:i/>
              </w:rPr>
              <w:t> </w:t>
            </w:r>
            <w:r w:rsidRPr="00810763">
              <w:t>[</w:t>
            </w:r>
            <w:r w:rsidRPr="00810763">
              <w:rPr>
                <w:b/>
                <w:i/>
              </w:rPr>
              <w:t>14</w:t>
            </w:r>
            <w:r w:rsidRPr="00810763">
              <w:t>] dudit règlement.</w:t>
            </w:r>
          </w:p>
        </w:tc>
        <w:tc>
          <w:tcPr>
            <w:tcW w:w="4876" w:type="dxa"/>
            <w:hideMark/>
          </w:tcPr>
          <w:p w:rsidR="007D3698" w:rsidRPr="00810763" w:rsidRDefault="007D3698" w:rsidP="0097579A">
            <w:pPr>
              <w:pStyle w:val="Normal6"/>
              <w:rPr>
                <w:noProof/>
                <w:szCs w:val="24"/>
              </w:rPr>
            </w:pPr>
            <w:r w:rsidRPr="00810763">
              <w:t xml:space="preserve">Le règlement FSE+ peut fixer des taux de cofinancement plus élevés pour les priorités </w:t>
            </w:r>
            <w:r w:rsidRPr="00810763">
              <w:rPr>
                <w:b/>
                <w:i/>
              </w:rPr>
              <w:t>ou les programmes qui concernent la privation matérielle conformément à l’article [9], le soutien à l’emploi</w:t>
            </w:r>
            <w:r w:rsidRPr="00810763">
              <w:t xml:space="preserve"> des </w:t>
            </w:r>
            <w:r w:rsidRPr="00810763">
              <w:rPr>
                <w:b/>
                <w:i/>
              </w:rPr>
              <w:t xml:space="preserve">jeunes conformément à l’article [10], une garantie européenne pour l’enfance conformément à l’article [10 bis] et les </w:t>
            </w:r>
            <w:r w:rsidRPr="00810763">
              <w:t>actions innovantes conformément à l’article</w:t>
            </w:r>
            <w:r w:rsidRPr="00810763">
              <w:rPr>
                <w:b/>
                <w:i/>
              </w:rPr>
              <w:t xml:space="preserve"> </w:t>
            </w:r>
            <w:r w:rsidRPr="00810763">
              <w:t>[</w:t>
            </w:r>
            <w:r w:rsidRPr="00810763">
              <w:rPr>
                <w:b/>
                <w:i/>
              </w:rPr>
              <w:t>13</w:t>
            </w:r>
            <w:r w:rsidRPr="00810763">
              <w:t>] dudit règlement.</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87</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F15B66" w:rsidRDefault="007D3698" w:rsidP="007D3698">
      <w:pPr>
        <w:pStyle w:val="NormalBold"/>
        <w:rPr>
          <w:noProof/>
        </w:rPr>
      </w:pPr>
      <w:r>
        <w:rPr>
          <w:rStyle w:val="HideTWBExt"/>
          <w:b w:val="0"/>
          <w:szCs w:val="24"/>
        </w:rPr>
        <w:lastRenderedPageBreak/>
        <w:t>&lt;Article&gt;</w:t>
      </w:r>
      <w:r w:rsidRPr="00810763">
        <w:t>Article 106 – paragraphe 4 – alinéa 1</w:t>
      </w:r>
      <w:r>
        <w:rPr>
          <w:rStyle w:val="HideTWBExt"/>
          <w:b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F15B66"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Le taux de cofinancement au titre des programmes Interreg n’excède pas</w:t>
            </w:r>
            <w:r w:rsidRPr="00810763">
              <w:rPr>
                <w:b/>
                <w:i/>
              </w:rPr>
              <w:t> 70 </w:t>
            </w:r>
            <w:r w:rsidRPr="00810763">
              <w:t>%.</w:t>
            </w:r>
          </w:p>
        </w:tc>
        <w:tc>
          <w:tcPr>
            <w:tcW w:w="4876" w:type="dxa"/>
            <w:hideMark/>
          </w:tcPr>
          <w:p w:rsidR="007D3698" w:rsidRPr="00810763" w:rsidRDefault="007D3698" w:rsidP="0097579A">
            <w:pPr>
              <w:pStyle w:val="Normal6"/>
              <w:rPr>
                <w:noProof/>
                <w:szCs w:val="24"/>
              </w:rPr>
            </w:pPr>
            <w:r w:rsidRPr="00810763">
              <w:t>Le taux de cofinancement au titre des programmes Interreg n’excède pas</w:t>
            </w:r>
            <w:r w:rsidRPr="00810763">
              <w:rPr>
                <w:b/>
                <w:i/>
              </w:rPr>
              <w:t xml:space="preserve"> 85 </w:t>
            </w:r>
            <w:r w:rsidRPr="00810763">
              <w:t>%.</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88</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7D3698" w:rsidRDefault="007D3698" w:rsidP="007D3698">
      <w:pPr>
        <w:pStyle w:val="NormalBold"/>
        <w:rPr>
          <w:noProof/>
        </w:rPr>
      </w:pPr>
      <w:r w:rsidRPr="00930809">
        <w:rPr>
          <w:rStyle w:val="HideTWBExt"/>
          <w:b w:val="0"/>
          <w:szCs w:val="24"/>
          <w:lang w:val="fr-BE"/>
        </w:rPr>
        <w:t>&lt;Article&gt;</w:t>
      </w:r>
      <w:r w:rsidRPr="00810763">
        <w:t>Annexe I – tableau 3 – ligne 12 – colonne Investissement territorial intégré (ITI)</w:t>
      </w:r>
      <w:r w:rsidRPr="00930809">
        <w:rPr>
          <w:rStyle w:val="HideTWBExt"/>
          <w:b w:val="0"/>
          <w:szCs w:val="24"/>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7D3698" w:rsidTr="0097579A">
        <w:trPr>
          <w:jc w:val="center"/>
        </w:trPr>
        <w:tc>
          <w:tcPr>
            <w:tcW w:w="9752" w:type="dxa"/>
            <w:gridSpan w:val="2"/>
          </w:tcPr>
          <w:p w:rsidR="007D3698" w:rsidRPr="00930809" w:rsidRDefault="007D3698" w:rsidP="0097579A">
            <w:pPr>
              <w:keepNext/>
              <w:rPr>
                <w:noProof/>
                <w:lang w:val="fr-BE"/>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 xml:space="preserve">Villes, agglomérations et </w:t>
            </w:r>
            <w:r w:rsidRPr="00810763">
              <w:rPr>
                <w:b/>
                <w:i/>
              </w:rPr>
              <w:t>banlieues</w:t>
            </w:r>
          </w:p>
        </w:tc>
        <w:tc>
          <w:tcPr>
            <w:tcW w:w="4876" w:type="dxa"/>
            <w:hideMark/>
          </w:tcPr>
          <w:p w:rsidR="007D3698" w:rsidRPr="00810763" w:rsidRDefault="007D3698" w:rsidP="0097579A">
            <w:pPr>
              <w:pStyle w:val="Normal6"/>
              <w:rPr>
                <w:noProof/>
                <w:szCs w:val="24"/>
              </w:rPr>
            </w:pPr>
            <w:r w:rsidRPr="00810763">
              <w:t>Villes, agglomérations</w:t>
            </w:r>
            <w:r w:rsidRPr="00810763">
              <w:rPr>
                <w:b/>
                <w:i/>
              </w:rPr>
              <w:t>, banlieues</w:t>
            </w:r>
            <w:r w:rsidRPr="00810763">
              <w:t xml:space="preserve"> et </w:t>
            </w:r>
            <w:r w:rsidRPr="00810763">
              <w:rPr>
                <w:b/>
                <w:i/>
              </w:rPr>
              <w:t>zones rurales connectées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89</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7D3698" w:rsidRDefault="007D3698" w:rsidP="007D3698">
      <w:pPr>
        <w:pStyle w:val="NormalBold"/>
        <w:rPr>
          <w:noProof/>
        </w:rPr>
      </w:pPr>
      <w:r w:rsidRPr="00930809">
        <w:rPr>
          <w:rStyle w:val="HideTWBExt"/>
          <w:b w:val="0"/>
          <w:szCs w:val="24"/>
          <w:lang w:val="fr-BE"/>
        </w:rPr>
        <w:t>&lt;Article&gt;</w:t>
      </w:r>
      <w:r w:rsidRPr="00810763">
        <w:t>Annexe I – tableau 3 – ligne 16 – colonne Investissement territorial intégré (ITI)</w:t>
      </w:r>
      <w:r w:rsidRPr="00930809">
        <w:rPr>
          <w:rStyle w:val="HideTWBExt"/>
          <w:b w:val="0"/>
          <w:szCs w:val="24"/>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7D3698" w:rsidTr="0097579A">
        <w:trPr>
          <w:jc w:val="center"/>
        </w:trPr>
        <w:tc>
          <w:tcPr>
            <w:tcW w:w="9752" w:type="dxa"/>
            <w:gridSpan w:val="2"/>
          </w:tcPr>
          <w:p w:rsidR="007D3698" w:rsidRPr="00930809" w:rsidRDefault="007D3698" w:rsidP="0097579A">
            <w:pPr>
              <w:keepNext/>
              <w:rPr>
                <w:noProof/>
                <w:lang w:val="fr-BE"/>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Zones à faible densité de population</w:t>
            </w:r>
          </w:p>
        </w:tc>
        <w:tc>
          <w:tcPr>
            <w:tcW w:w="4876" w:type="dxa"/>
            <w:hideMark/>
          </w:tcPr>
          <w:p w:rsidR="007D3698" w:rsidRPr="00810763" w:rsidRDefault="007D3698" w:rsidP="0097579A">
            <w:pPr>
              <w:pStyle w:val="Normal6"/>
              <w:rPr>
                <w:noProof/>
                <w:szCs w:val="24"/>
              </w:rPr>
            </w:pPr>
            <w:r w:rsidRPr="00810763">
              <w:t xml:space="preserve">Zones </w:t>
            </w:r>
            <w:r w:rsidRPr="00810763">
              <w:rPr>
                <w:b/>
                <w:i/>
              </w:rPr>
              <w:t xml:space="preserve">rurales et </w:t>
            </w:r>
            <w:r w:rsidRPr="00810763">
              <w:t>à faible densité de population</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90</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7D3698" w:rsidRDefault="007D3698" w:rsidP="007D3698">
      <w:pPr>
        <w:pStyle w:val="NormalBold"/>
        <w:rPr>
          <w:noProof/>
        </w:rPr>
      </w:pPr>
      <w:r w:rsidRPr="00930809">
        <w:rPr>
          <w:rStyle w:val="HideTWBExt"/>
          <w:b w:val="0"/>
          <w:szCs w:val="24"/>
          <w:lang w:val="fr-BE"/>
        </w:rPr>
        <w:t>&lt;Article&gt;</w:t>
      </w:r>
      <w:r w:rsidRPr="00810763">
        <w:t>Annexe I – tableau 3 – ligne 22 – colonne Développement local mené par les acteurs locaux</w:t>
      </w:r>
      <w:r w:rsidRPr="00930809">
        <w:rPr>
          <w:rStyle w:val="HideTWBExt"/>
          <w:b w:val="0"/>
          <w:szCs w:val="24"/>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7D3698" w:rsidTr="0097579A">
        <w:trPr>
          <w:jc w:val="center"/>
        </w:trPr>
        <w:tc>
          <w:tcPr>
            <w:tcW w:w="9752" w:type="dxa"/>
            <w:gridSpan w:val="2"/>
          </w:tcPr>
          <w:p w:rsidR="007D3698" w:rsidRPr="00930809" w:rsidRDefault="007D3698" w:rsidP="0097579A">
            <w:pPr>
              <w:keepNext/>
              <w:rPr>
                <w:noProof/>
                <w:lang w:val="fr-BE"/>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 xml:space="preserve">Villes, agglomérations et </w:t>
            </w:r>
            <w:r w:rsidRPr="00810763">
              <w:rPr>
                <w:b/>
                <w:i/>
              </w:rPr>
              <w:t>banlieues</w:t>
            </w:r>
          </w:p>
        </w:tc>
        <w:tc>
          <w:tcPr>
            <w:tcW w:w="4876" w:type="dxa"/>
            <w:hideMark/>
          </w:tcPr>
          <w:p w:rsidR="007D3698" w:rsidRPr="00810763" w:rsidRDefault="007D3698" w:rsidP="0097579A">
            <w:pPr>
              <w:pStyle w:val="Normal6"/>
              <w:rPr>
                <w:noProof/>
                <w:szCs w:val="24"/>
              </w:rPr>
            </w:pPr>
            <w:r w:rsidRPr="00810763">
              <w:t>Villes, agglomérations</w:t>
            </w:r>
            <w:r w:rsidRPr="00810763">
              <w:rPr>
                <w:b/>
                <w:i/>
              </w:rPr>
              <w:t>, banlieues</w:t>
            </w:r>
            <w:r w:rsidRPr="00810763">
              <w:t xml:space="preserve"> et </w:t>
            </w:r>
            <w:r w:rsidRPr="00810763">
              <w:rPr>
                <w:b/>
                <w:i/>
              </w:rPr>
              <w:t>zones rurales connectées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91</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7D3698" w:rsidRDefault="007D3698" w:rsidP="007D3698">
      <w:pPr>
        <w:pStyle w:val="NormalBold"/>
        <w:rPr>
          <w:noProof/>
        </w:rPr>
      </w:pPr>
      <w:r w:rsidRPr="00930809">
        <w:rPr>
          <w:rStyle w:val="HideTWBExt"/>
          <w:b w:val="0"/>
          <w:szCs w:val="24"/>
          <w:lang w:val="fr-BE"/>
        </w:rPr>
        <w:t>&lt;Article&gt;</w:t>
      </w:r>
      <w:r w:rsidRPr="00810763">
        <w:t>Annexe I – tableau 3 – ligne 26 – colonne Développement local mené par les acteurs locaux</w:t>
      </w:r>
      <w:r w:rsidRPr="00930809">
        <w:rPr>
          <w:rStyle w:val="HideTWBExt"/>
          <w:b w:val="0"/>
          <w:szCs w:val="24"/>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7D3698" w:rsidTr="0097579A">
        <w:trPr>
          <w:jc w:val="center"/>
        </w:trPr>
        <w:tc>
          <w:tcPr>
            <w:tcW w:w="9752" w:type="dxa"/>
            <w:gridSpan w:val="2"/>
          </w:tcPr>
          <w:p w:rsidR="007D3698" w:rsidRPr="00930809" w:rsidRDefault="007D3698" w:rsidP="0097579A">
            <w:pPr>
              <w:keepNext/>
              <w:rPr>
                <w:noProof/>
                <w:lang w:val="fr-BE"/>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Zones à faible densité de population</w:t>
            </w:r>
          </w:p>
        </w:tc>
        <w:tc>
          <w:tcPr>
            <w:tcW w:w="4876" w:type="dxa"/>
            <w:hideMark/>
          </w:tcPr>
          <w:p w:rsidR="007D3698" w:rsidRPr="00810763" w:rsidRDefault="007D3698" w:rsidP="0097579A">
            <w:pPr>
              <w:pStyle w:val="Normal6"/>
              <w:rPr>
                <w:noProof/>
                <w:szCs w:val="24"/>
              </w:rPr>
            </w:pPr>
            <w:r w:rsidRPr="00810763">
              <w:t xml:space="preserve">Zones </w:t>
            </w:r>
            <w:r w:rsidRPr="00810763">
              <w:rPr>
                <w:b/>
                <w:i/>
              </w:rPr>
              <w:t xml:space="preserve">rurales et </w:t>
            </w:r>
            <w:r w:rsidRPr="00810763">
              <w:t>à faible densité de population</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92</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7D3698" w:rsidRDefault="007D3698" w:rsidP="007D3698">
      <w:pPr>
        <w:pStyle w:val="NormalBold"/>
        <w:rPr>
          <w:noProof/>
        </w:rPr>
      </w:pPr>
      <w:r w:rsidRPr="00930809">
        <w:rPr>
          <w:rStyle w:val="HideTWBExt"/>
          <w:b w:val="0"/>
          <w:szCs w:val="24"/>
          <w:lang w:val="fr-BE"/>
        </w:rPr>
        <w:t>&lt;Article&gt;</w:t>
      </w:r>
      <w:r w:rsidRPr="00810763">
        <w:t>Annexe I – tableau 3 – ligne 32 – colonne Autre type d’outil territorial au titre de l’objectif stratégique n° 5</w:t>
      </w:r>
      <w:r w:rsidRPr="00930809">
        <w:rPr>
          <w:rStyle w:val="HideTWBExt"/>
          <w:b w:val="0"/>
          <w:szCs w:val="24"/>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7D3698" w:rsidTr="0097579A">
        <w:trPr>
          <w:jc w:val="center"/>
        </w:trPr>
        <w:tc>
          <w:tcPr>
            <w:tcW w:w="9752" w:type="dxa"/>
            <w:gridSpan w:val="2"/>
          </w:tcPr>
          <w:p w:rsidR="007D3698" w:rsidRPr="00930809" w:rsidRDefault="007D3698" w:rsidP="0097579A">
            <w:pPr>
              <w:keepNext/>
              <w:rPr>
                <w:noProof/>
                <w:lang w:val="fr-BE"/>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 xml:space="preserve">Villes, agglomérations et </w:t>
            </w:r>
            <w:r w:rsidRPr="00810763">
              <w:rPr>
                <w:b/>
                <w:i/>
              </w:rPr>
              <w:t>banlieues</w:t>
            </w:r>
          </w:p>
        </w:tc>
        <w:tc>
          <w:tcPr>
            <w:tcW w:w="4876" w:type="dxa"/>
            <w:hideMark/>
          </w:tcPr>
          <w:p w:rsidR="007D3698" w:rsidRPr="00810763" w:rsidRDefault="007D3698" w:rsidP="0097579A">
            <w:pPr>
              <w:pStyle w:val="Normal6"/>
              <w:rPr>
                <w:noProof/>
                <w:szCs w:val="24"/>
              </w:rPr>
            </w:pPr>
            <w:r w:rsidRPr="00810763">
              <w:t>Villes, agglomérations</w:t>
            </w:r>
            <w:r w:rsidRPr="00810763">
              <w:rPr>
                <w:b/>
                <w:i/>
              </w:rPr>
              <w:t>, banlieues</w:t>
            </w:r>
            <w:r w:rsidRPr="00810763">
              <w:t xml:space="preserve"> et </w:t>
            </w:r>
            <w:r w:rsidRPr="00810763">
              <w:rPr>
                <w:b/>
                <w:i/>
              </w:rPr>
              <w:t>zones rurales connectées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93</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7D3698" w:rsidRDefault="007D3698" w:rsidP="007D3698">
      <w:pPr>
        <w:pStyle w:val="NormalBold"/>
        <w:rPr>
          <w:noProof/>
        </w:rPr>
      </w:pPr>
      <w:r w:rsidRPr="00930809">
        <w:rPr>
          <w:rStyle w:val="HideTWBExt"/>
          <w:b w:val="0"/>
          <w:szCs w:val="24"/>
          <w:lang w:val="fr-BE"/>
        </w:rPr>
        <w:t>&lt;Article&gt;</w:t>
      </w:r>
      <w:r w:rsidRPr="00810763">
        <w:t>Annexe I – tableau 3 – ligne 36 – colonne Autre type d’outil territorial au titre de l’objectif stratégique n° 5</w:t>
      </w:r>
      <w:r w:rsidRPr="00930809">
        <w:rPr>
          <w:rStyle w:val="HideTWBExt"/>
          <w:b w:val="0"/>
          <w:szCs w:val="24"/>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7D3698" w:rsidTr="0097579A">
        <w:trPr>
          <w:jc w:val="center"/>
        </w:trPr>
        <w:tc>
          <w:tcPr>
            <w:tcW w:w="9752" w:type="dxa"/>
            <w:gridSpan w:val="2"/>
          </w:tcPr>
          <w:p w:rsidR="007D3698" w:rsidRPr="00930809" w:rsidRDefault="007D3698" w:rsidP="0097579A">
            <w:pPr>
              <w:keepNext/>
              <w:rPr>
                <w:noProof/>
                <w:lang w:val="fr-BE"/>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Zones à faible densité de population</w:t>
            </w:r>
          </w:p>
        </w:tc>
        <w:tc>
          <w:tcPr>
            <w:tcW w:w="4876" w:type="dxa"/>
            <w:hideMark/>
          </w:tcPr>
          <w:p w:rsidR="007D3698" w:rsidRPr="00810763" w:rsidRDefault="007D3698" w:rsidP="0097579A">
            <w:pPr>
              <w:pStyle w:val="Normal6"/>
              <w:rPr>
                <w:noProof/>
                <w:szCs w:val="24"/>
              </w:rPr>
            </w:pPr>
            <w:r w:rsidRPr="00810763">
              <w:t xml:space="preserve">Zones </w:t>
            </w:r>
            <w:r w:rsidRPr="00810763">
              <w:rPr>
                <w:b/>
                <w:i/>
              </w:rPr>
              <w:t xml:space="preserve">rurales et </w:t>
            </w:r>
            <w:r w:rsidRPr="00810763">
              <w:t>à faible densité de population</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94</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7D3698" w:rsidRDefault="007D3698" w:rsidP="007D3698">
      <w:pPr>
        <w:pStyle w:val="NormalBold"/>
        <w:rPr>
          <w:noProof/>
        </w:rPr>
      </w:pPr>
      <w:r w:rsidRPr="00930809">
        <w:rPr>
          <w:rStyle w:val="HideTWBExt"/>
          <w:b w:val="0"/>
          <w:szCs w:val="24"/>
          <w:lang w:val="fr-BE"/>
        </w:rPr>
        <w:t>&lt;Article&gt;</w:t>
      </w:r>
      <w:r w:rsidRPr="00810763">
        <w:t>Annexe III – tableau – ligne 6 – colonne 2: Critères de réalisation</w:t>
      </w:r>
      <w:r w:rsidRPr="00930809">
        <w:rPr>
          <w:rStyle w:val="HideTWBExt"/>
          <w:b w:val="0"/>
          <w:szCs w:val="24"/>
          <w:lang w:val="fr-BE"/>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3698" w:rsidRPr="007D3698" w:rsidTr="0097579A">
        <w:trPr>
          <w:jc w:val="center"/>
        </w:trPr>
        <w:tc>
          <w:tcPr>
            <w:tcW w:w="9752" w:type="dxa"/>
            <w:gridSpan w:val="2"/>
          </w:tcPr>
          <w:p w:rsidR="007D3698" w:rsidRPr="00930809" w:rsidRDefault="007D3698" w:rsidP="0097579A">
            <w:pPr>
              <w:keepNext/>
              <w:rPr>
                <w:noProof/>
                <w:lang w:val="fr-BE"/>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Un cadre national est en place pour la mise en œuvre de la CNUDPH et comprend:</w:t>
            </w:r>
          </w:p>
        </w:tc>
        <w:tc>
          <w:tcPr>
            <w:tcW w:w="4876" w:type="dxa"/>
            <w:hideMark/>
          </w:tcPr>
          <w:p w:rsidR="007D3698" w:rsidRPr="00810763" w:rsidRDefault="007D3698" w:rsidP="0097579A">
            <w:pPr>
              <w:pStyle w:val="Normal6"/>
              <w:rPr>
                <w:noProof/>
                <w:szCs w:val="24"/>
              </w:rPr>
            </w:pPr>
            <w:r w:rsidRPr="00810763">
              <w:t>Un cadre national est en place pour la mise en œuvre de la CNUDPH et comprend:</w:t>
            </w:r>
          </w:p>
        </w:tc>
      </w:tr>
      <w:tr w:rsidR="007D3698" w:rsidRPr="007D3698" w:rsidTr="0097579A">
        <w:trPr>
          <w:jc w:val="center"/>
        </w:trPr>
        <w:tc>
          <w:tcPr>
            <w:tcW w:w="4876" w:type="dxa"/>
          </w:tcPr>
          <w:p w:rsidR="007D3698" w:rsidRPr="00810763" w:rsidRDefault="007D3698" w:rsidP="0097579A">
            <w:pPr>
              <w:pStyle w:val="Normal6"/>
              <w:rPr>
                <w:noProof/>
              </w:rPr>
            </w:pPr>
            <w:r w:rsidRPr="00810763">
              <w:t>1. des objectifs assortis de jalons mesurables, la collecte de données et un mécanisme de suivi;</w:t>
            </w:r>
          </w:p>
        </w:tc>
        <w:tc>
          <w:tcPr>
            <w:tcW w:w="4876" w:type="dxa"/>
          </w:tcPr>
          <w:p w:rsidR="007D3698" w:rsidRPr="00810763" w:rsidRDefault="007D3698" w:rsidP="0097579A">
            <w:pPr>
              <w:pStyle w:val="Normal6"/>
              <w:rPr>
                <w:noProof/>
              </w:rPr>
            </w:pPr>
            <w:r w:rsidRPr="00810763">
              <w:t>1. des objectifs assortis de jalons mesurables, la collecte de données et un mécanisme de suivi;</w:t>
            </w:r>
          </w:p>
        </w:tc>
      </w:tr>
      <w:tr w:rsidR="007D3698" w:rsidRPr="007D3698" w:rsidTr="0097579A">
        <w:trPr>
          <w:jc w:val="center"/>
        </w:trPr>
        <w:tc>
          <w:tcPr>
            <w:tcW w:w="4876" w:type="dxa"/>
          </w:tcPr>
          <w:p w:rsidR="007D3698" w:rsidRPr="00810763" w:rsidRDefault="007D3698" w:rsidP="0097579A">
            <w:pPr>
              <w:spacing w:after="120"/>
              <w:rPr>
                <w:noProof/>
              </w:rPr>
            </w:pPr>
            <w:r w:rsidRPr="00810763">
              <w:t>2. des modalités visant à garantir que la politique, la législation et les normes en matière d’accessibilité sont dûment prises en compte dans la préparation et la mise en œuvre des programmes.</w:t>
            </w:r>
          </w:p>
        </w:tc>
        <w:tc>
          <w:tcPr>
            <w:tcW w:w="4876" w:type="dxa"/>
          </w:tcPr>
          <w:p w:rsidR="007D3698" w:rsidRPr="00810763" w:rsidRDefault="007D3698" w:rsidP="0097579A">
            <w:pPr>
              <w:spacing w:after="120"/>
              <w:rPr>
                <w:noProof/>
              </w:rPr>
            </w:pPr>
            <w:r w:rsidRPr="00810763">
              <w:t>2. des modalités visant à garantir que la politique, la législation et les normes en matière d’accessibilité sont dûment prises en compte dans la préparation et la mise en œuvre des programmes</w:t>
            </w:r>
            <w:r w:rsidRPr="00810763">
              <w:rPr>
                <w:b/>
                <w:i/>
              </w:rPr>
              <w:t xml:space="preserve"> et incluses dans les </w:t>
            </w:r>
            <w:r w:rsidRPr="00810763">
              <w:rPr>
                <w:b/>
                <w:i/>
              </w:rPr>
              <w:lastRenderedPageBreak/>
              <w:t>critères et obligations de la sélection des projets</w:t>
            </w:r>
            <w:r w:rsidRPr="00810763">
              <w:t>.</w:t>
            </w:r>
          </w:p>
        </w:tc>
      </w:tr>
    </w:tbl>
    <w:p w:rsidR="007D3698" w:rsidRPr="007D3698" w:rsidRDefault="007D3698" w:rsidP="007D3698">
      <w:pPr>
        <w:rPr>
          <w:noProof/>
        </w:rPr>
      </w:pPr>
      <w:r w:rsidRPr="00930809">
        <w:rPr>
          <w:rStyle w:val="HideTWBExt"/>
          <w:lang w:val="fr-BE"/>
        </w:rPr>
        <w:lastRenderedPageBreak/>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95</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rPr>
          <w:szCs w:val="24"/>
        </w:rPr>
        <w:t>Annexe IV – point 4.2.1 – colonne 2 Objectif spécifique</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r w:rsidRPr="00810763">
              <w:t>4.2.1</w:t>
            </w:r>
            <w:r w:rsidRPr="00810763">
              <w:tab/>
              <w:t xml:space="preserve">Améliorer la qualité, </w:t>
            </w:r>
            <w:r w:rsidRPr="00810763">
              <w:rPr>
                <w:b/>
                <w:i/>
              </w:rPr>
              <w:t>l’efficacité</w:t>
            </w:r>
            <w:r w:rsidRPr="00810763">
              <w:t xml:space="preserve"> et </w:t>
            </w:r>
            <w:r w:rsidRPr="00810763">
              <w:rPr>
                <w:b/>
                <w:i/>
              </w:rPr>
              <w:t>l’adéquation</w:t>
            </w:r>
            <w:r w:rsidRPr="00810763">
              <w:t xml:space="preserve"> des systèmes d’enseignement et de formation</w:t>
            </w:r>
            <w:r w:rsidRPr="00810763">
              <w:rPr>
                <w:b/>
                <w:i/>
              </w:rPr>
              <w:t xml:space="preserve"> au marché</w:t>
            </w:r>
            <w:r w:rsidRPr="00810763">
              <w:t xml:space="preserve"> du travail</w:t>
            </w:r>
          </w:p>
        </w:tc>
        <w:tc>
          <w:tcPr>
            <w:tcW w:w="4876" w:type="dxa"/>
          </w:tcPr>
          <w:p w:rsidR="007D3698" w:rsidRPr="00810763" w:rsidRDefault="007D3698" w:rsidP="0097579A">
            <w:pPr>
              <w:pStyle w:val="Normal6"/>
              <w:rPr>
                <w:noProof/>
              </w:rPr>
            </w:pPr>
            <w:r w:rsidRPr="00810763">
              <w:t>4.2.1</w:t>
            </w:r>
            <w:r w:rsidRPr="00810763">
              <w:tab/>
              <w:t xml:space="preserve">Améliorer la qualité, </w:t>
            </w:r>
            <w:r w:rsidRPr="00810763">
              <w:rPr>
                <w:b/>
                <w:i/>
              </w:rPr>
              <w:t>l’ouverture à tous</w:t>
            </w:r>
            <w:r w:rsidRPr="00810763">
              <w:t xml:space="preserve"> et </w:t>
            </w:r>
            <w:r w:rsidRPr="00810763">
              <w:rPr>
                <w:b/>
                <w:i/>
              </w:rPr>
              <w:t>l’efficacité</w:t>
            </w:r>
            <w:r w:rsidRPr="00810763">
              <w:t xml:space="preserve"> des systèmes d’enseignement et de formation</w:t>
            </w:r>
            <w:r w:rsidRPr="00810763">
              <w:rPr>
                <w:b/>
                <w:i/>
              </w:rPr>
              <w:t>, afin de faciliter la transition entre les études et le monde</w:t>
            </w:r>
            <w:r w:rsidRPr="00810763">
              <w:t xml:space="preserve"> du travail</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96</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rPr>
          <w:szCs w:val="24"/>
        </w:rPr>
        <w:t>Annexe IV – point 4.2.2 – colonne 2 Objectif spécifique</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r w:rsidRPr="00810763">
              <w:t>4.2.2</w:t>
            </w:r>
            <w:r w:rsidRPr="00810763">
              <w:tab/>
              <w:t>Favoriser des possibilités de perfectionnement et de requalification flexibles pour tous, y compris en facilitant les transitions professionnelles et en promouvant la mobilité professionnelle</w:t>
            </w:r>
          </w:p>
        </w:tc>
        <w:tc>
          <w:tcPr>
            <w:tcW w:w="4876" w:type="dxa"/>
          </w:tcPr>
          <w:p w:rsidR="007D3698" w:rsidRPr="00810763" w:rsidRDefault="007D3698" w:rsidP="0097579A">
            <w:pPr>
              <w:pStyle w:val="Normal6"/>
              <w:rPr>
                <w:noProof/>
              </w:rPr>
            </w:pPr>
            <w:r w:rsidRPr="00810763">
              <w:t>4.2.2</w:t>
            </w:r>
            <w:r w:rsidRPr="00810763">
              <w:tab/>
              <w:t xml:space="preserve">Favoriser </w:t>
            </w:r>
            <w:r w:rsidRPr="00810763">
              <w:rPr>
                <w:b/>
                <w:i/>
              </w:rPr>
              <w:t xml:space="preserve">la formation tout au long de la vie, l’apprentissage non formel et informel, ainsi que </w:t>
            </w:r>
            <w:r w:rsidRPr="00810763">
              <w:t>des possibilités de perfectionnement et de requalification flexibles pour tous, y compris en facilitant les transitions professionnelles et en promouvant la mobilité professionnelle</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97</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7D3698" w:rsidRDefault="007D3698" w:rsidP="007D3698">
      <w:pPr>
        <w:pStyle w:val="NormalBold"/>
        <w:rPr>
          <w:noProof/>
        </w:rPr>
      </w:pPr>
      <w:r w:rsidRPr="00930809">
        <w:rPr>
          <w:rStyle w:val="HideTWBExt"/>
          <w:b w:val="0"/>
          <w:szCs w:val="24"/>
          <w:lang w:val="fr-BE"/>
        </w:rPr>
        <w:t>&lt;Article&gt;</w:t>
      </w:r>
      <w:r w:rsidRPr="00810763">
        <w:rPr>
          <w:szCs w:val="24"/>
        </w:rPr>
        <w:t>Annexe IV – point 4.2 – colonne 4 Critères de réalisation de la condition favorisante – point 1</w:t>
      </w:r>
      <w:r w:rsidRPr="00930809">
        <w:rPr>
          <w:rStyle w:val="HideTWBExt"/>
          <w:b w:val="0"/>
          <w:szCs w:val="24"/>
          <w:lang w:val="fr-BE"/>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7D3698" w:rsidTr="0097579A">
        <w:trPr>
          <w:jc w:val="center"/>
        </w:trPr>
        <w:tc>
          <w:tcPr>
            <w:tcW w:w="9752" w:type="dxa"/>
            <w:gridSpan w:val="2"/>
          </w:tcPr>
          <w:p w:rsidR="007D3698" w:rsidRPr="00930809" w:rsidRDefault="007D3698" w:rsidP="0097579A">
            <w:pPr>
              <w:keepNext/>
              <w:rPr>
                <w:noProof/>
                <w:lang w:val="fr-BE"/>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r w:rsidRPr="00810763">
              <w:t>1.</w:t>
            </w:r>
            <w:r w:rsidRPr="00810763">
              <w:tab/>
              <w:t xml:space="preserve">Des systèmes d’anticipation et de prévision des compétences fondés sur des données probantes, ainsi que des mécanismes de suivi </w:t>
            </w:r>
            <w:r w:rsidRPr="00810763">
              <w:rPr>
                <w:b/>
                <w:i/>
              </w:rPr>
              <w:t xml:space="preserve">des diplômés </w:t>
            </w:r>
            <w:r w:rsidRPr="00810763">
              <w:t xml:space="preserve">et des services pour la fourniture d’orientations de qualité et efficaces aux apprenants de </w:t>
            </w:r>
            <w:r w:rsidRPr="00810763">
              <w:lastRenderedPageBreak/>
              <w:t>tous âges</w:t>
            </w:r>
          </w:p>
        </w:tc>
        <w:tc>
          <w:tcPr>
            <w:tcW w:w="4876" w:type="dxa"/>
          </w:tcPr>
          <w:p w:rsidR="007D3698" w:rsidRPr="00810763" w:rsidRDefault="007D3698" w:rsidP="0097579A">
            <w:pPr>
              <w:pStyle w:val="Normal6"/>
              <w:rPr>
                <w:noProof/>
              </w:rPr>
            </w:pPr>
            <w:r w:rsidRPr="00810763">
              <w:lastRenderedPageBreak/>
              <w:t>1.</w:t>
            </w:r>
            <w:r w:rsidRPr="00810763">
              <w:tab/>
              <w:t>Des systèmes d’anticipation et de prévision des compétences fondés sur des données probantes, ainsi que des mécanismes de suivi et des services pour la fourniture d’orientations de qualité et efficaces aux apprenants de tous âges</w:t>
            </w:r>
            <w:r w:rsidRPr="00810763">
              <w:rPr>
                <w:b/>
                <w:i/>
              </w:rPr>
              <w:t xml:space="preserve">, y compris des approches centrées sur </w:t>
            </w:r>
            <w:r w:rsidRPr="00810763">
              <w:rPr>
                <w:b/>
                <w:i/>
              </w:rPr>
              <w:lastRenderedPageBreak/>
              <w:t>l’apprenant</w:t>
            </w:r>
          </w:p>
        </w:tc>
      </w:tr>
    </w:tbl>
    <w:p w:rsidR="007D3698" w:rsidRPr="007D3698" w:rsidRDefault="007D3698" w:rsidP="007D3698">
      <w:pPr>
        <w:rPr>
          <w:noProof/>
        </w:rPr>
      </w:pPr>
      <w:r w:rsidRPr="00930809">
        <w:rPr>
          <w:rStyle w:val="HideTWBExt"/>
          <w:lang w:val="fr-BE"/>
        </w:rPr>
        <w:lastRenderedPageBreak/>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98</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7D3698" w:rsidRDefault="007D3698" w:rsidP="007D3698">
      <w:pPr>
        <w:pStyle w:val="NormalBold"/>
        <w:rPr>
          <w:noProof/>
        </w:rPr>
      </w:pPr>
      <w:r w:rsidRPr="00930809">
        <w:rPr>
          <w:rStyle w:val="HideTWBExt"/>
          <w:b w:val="0"/>
          <w:szCs w:val="24"/>
          <w:lang w:val="fr-BE"/>
        </w:rPr>
        <w:t>&lt;Article&gt;</w:t>
      </w:r>
      <w:r w:rsidRPr="00810763">
        <w:rPr>
          <w:szCs w:val="24"/>
        </w:rPr>
        <w:t>Annexe IV – point 4.2 – colonne 4 Critères de réalisation de la condition favorisante – point 2</w:t>
      </w:r>
      <w:r w:rsidRPr="00930809">
        <w:rPr>
          <w:rStyle w:val="HideTWBExt"/>
          <w:b w:val="0"/>
          <w:szCs w:val="24"/>
          <w:lang w:val="fr-BE"/>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7D3698" w:rsidTr="0097579A">
        <w:trPr>
          <w:jc w:val="center"/>
        </w:trPr>
        <w:tc>
          <w:tcPr>
            <w:tcW w:w="9752" w:type="dxa"/>
            <w:gridSpan w:val="2"/>
          </w:tcPr>
          <w:p w:rsidR="007D3698" w:rsidRPr="00930809" w:rsidRDefault="007D3698" w:rsidP="0097579A">
            <w:pPr>
              <w:keepNext/>
              <w:rPr>
                <w:noProof/>
                <w:lang w:val="fr-BE"/>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r w:rsidRPr="00810763">
              <w:t>2.</w:t>
            </w:r>
            <w:r w:rsidRPr="00810763">
              <w:tab/>
              <w:t>Des mesures visant à permettre aux citoyens de bénéficier d’un accès égal à une éducation et une formation de qualité, appropriées et inclusives, d’y participer et de les mener à leur terme, et d’acquérir des compétences clés à tous les niveaux, y compris celui de l’enseignement supérieur</w:t>
            </w:r>
          </w:p>
        </w:tc>
        <w:tc>
          <w:tcPr>
            <w:tcW w:w="4876" w:type="dxa"/>
          </w:tcPr>
          <w:p w:rsidR="007D3698" w:rsidRPr="00810763" w:rsidRDefault="007D3698" w:rsidP="0097579A">
            <w:pPr>
              <w:pStyle w:val="Normal6"/>
              <w:rPr>
                <w:noProof/>
              </w:rPr>
            </w:pPr>
            <w:r w:rsidRPr="00810763">
              <w:t>2.</w:t>
            </w:r>
            <w:r w:rsidRPr="00810763">
              <w:tab/>
              <w:t xml:space="preserve">Des mesures visant à permettre aux citoyens de bénéficier d’un accès égal à une éducation et une formation de qualité, </w:t>
            </w:r>
            <w:r w:rsidRPr="00810763">
              <w:rPr>
                <w:b/>
                <w:i/>
              </w:rPr>
              <w:t xml:space="preserve">abordables, </w:t>
            </w:r>
            <w:r w:rsidRPr="00810763">
              <w:t>appropriées</w:t>
            </w:r>
            <w:r w:rsidRPr="00810763">
              <w:rPr>
                <w:b/>
                <w:i/>
              </w:rPr>
              <w:t>, sans ségrégation</w:t>
            </w:r>
            <w:r w:rsidRPr="00810763">
              <w:t xml:space="preserve"> et inclusives, d’y participer et de les mener à leur terme, et d’acquérir des compétences clés à tous les niveaux, y compris celui de l’enseignement supérieur</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99</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7D3698" w:rsidRDefault="007D3698" w:rsidP="007D3698">
      <w:pPr>
        <w:pStyle w:val="NormalBold"/>
        <w:rPr>
          <w:noProof/>
        </w:rPr>
      </w:pPr>
      <w:r w:rsidRPr="00930809">
        <w:rPr>
          <w:rStyle w:val="HideTWBExt"/>
          <w:b w:val="0"/>
          <w:szCs w:val="24"/>
          <w:lang w:val="fr-BE"/>
        </w:rPr>
        <w:t>&lt;Article&gt;</w:t>
      </w:r>
      <w:r w:rsidRPr="00810763">
        <w:rPr>
          <w:szCs w:val="24"/>
        </w:rPr>
        <w:t>Annexe IV – point 4.2 – colonne 4 Critères de réalisation de la condition favorisante – point 3</w:t>
      </w:r>
      <w:r w:rsidRPr="00930809">
        <w:rPr>
          <w:rStyle w:val="HideTWBExt"/>
          <w:b w:val="0"/>
          <w:szCs w:val="24"/>
          <w:lang w:val="fr-BE"/>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7D3698" w:rsidTr="0097579A">
        <w:trPr>
          <w:jc w:val="center"/>
        </w:trPr>
        <w:tc>
          <w:tcPr>
            <w:tcW w:w="9752" w:type="dxa"/>
            <w:gridSpan w:val="2"/>
          </w:tcPr>
          <w:p w:rsidR="007D3698" w:rsidRPr="00930809" w:rsidRDefault="007D3698" w:rsidP="0097579A">
            <w:pPr>
              <w:keepNext/>
              <w:rPr>
                <w:noProof/>
                <w:lang w:val="fr-BE"/>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r w:rsidRPr="00810763">
              <w:t>3.</w:t>
            </w:r>
            <w:r w:rsidRPr="00810763">
              <w:tab/>
              <w:t>Des mécanismes de coordination à tous les niveaux de l’éducation et de la formation, y compris l’enseignement supérieur, et une répartition claire des responsabilités entre les organismes nationaux et/ou régionaux compétents</w:t>
            </w:r>
          </w:p>
        </w:tc>
        <w:tc>
          <w:tcPr>
            <w:tcW w:w="4876" w:type="dxa"/>
          </w:tcPr>
          <w:p w:rsidR="007D3698" w:rsidRPr="00810763" w:rsidRDefault="007D3698" w:rsidP="0097579A">
            <w:pPr>
              <w:pStyle w:val="Normal6"/>
              <w:rPr>
                <w:noProof/>
              </w:rPr>
            </w:pPr>
            <w:r w:rsidRPr="00810763">
              <w:t>3.</w:t>
            </w:r>
            <w:r w:rsidRPr="00810763">
              <w:tab/>
              <w:t>Des mécanismes de coordination à tous les niveaux de l’éducation et de la formation, y compris l’enseignement supérieur</w:t>
            </w:r>
            <w:r w:rsidRPr="00810763">
              <w:rPr>
                <w:b/>
                <w:i/>
              </w:rPr>
              <w:t xml:space="preserve"> et les prestataires de services d’apprentissage non formel et informel</w:t>
            </w:r>
            <w:r w:rsidRPr="00810763">
              <w:t>, et une répartition claire des responsabilités entre les organismes nationaux et/ou régionaux compétents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100</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7D3698" w:rsidRDefault="007D3698" w:rsidP="007D3698">
      <w:pPr>
        <w:pStyle w:val="NormalBold"/>
        <w:rPr>
          <w:noProof/>
        </w:rPr>
      </w:pPr>
      <w:r w:rsidRPr="00930809">
        <w:rPr>
          <w:rStyle w:val="HideTWBExt"/>
          <w:b w:val="0"/>
          <w:szCs w:val="24"/>
          <w:lang w:val="fr-BE"/>
        </w:rPr>
        <w:t>&lt;Article&gt;</w:t>
      </w:r>
      <w:r w:rsidRPr="00810763">
        <w:t>Annexe IV – point 4.3 – colonne 4 – Critères de réalisation de la condition favorisante – point 3</w:t>
      </w:r>
      <w:r w:rsidRPr="00930809">
        <w:rPr>
          <w:rStyle w:val="HideTWBExt"/>
          <w:b w:val="0"/>
          <w:szCs w:val="24"/>
          <w:lang w:val="fr-BE"/>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7D3698" w:rsidTr="0097579A">
        <w:trPr>
          <w:jc w:val="center"/>
        </w:trPr>
        <w:tc>
          <w:tcPr>
            <w:tcW w:w="9752" w:type="dxa"/>
            <w:gridSpan w:val="2"/>
          </w:tcPr>
          <w:p w:rsidR="007D3698" w:rsidRPr="00930809" w:rsidRDefault="007D3698" w:rsidP="0097579A">
            <w:pPr>
              <w:keepNext/>
              <w:rPr>
                <w:noProof/>
                <w:lang w:val="fr-BE"/>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i/>
                <w:noProof/>
              </w:rPr>
            </w:pPr>
            <w:r w:rsidRPr="00810763">
              <w:t>3.</w:t>
            </w:r>
            <w:r w:rsidRPr="00810763">
              <w:tab/>
              <w:t xml:space="preserve">Des mesures d’accompagnement de la transition de soins en institution à des </w:t>
            </w:r>
            <w:r w:rsidRPr="00810763">
              <w:lastRenderedPageBreak/>
              <w:t>soins de proximité</w:t>
            </w:r>
          </w:p>
        </w:tc>
        <w:tc>
          <w:tcPr>
            <w:tcW w:w="4876" w:type="dxa"/>
          </w:tcPr>
          <w:p w:rsidR="007D3698" w:rsidRPr="00810763" w:rsidRDefault="007D3698" w:rsidP="0097579A">
            <w:pPr>
              <w:pStyle w:val="Normal6"/>
              <w:rPr>
                <w:noProof/>
              </w:rPr>
            </w:pPr>
            <w:r w:rsidRPr="00810763">
              <w:lastRenderedPageBreak/>
              <w:t>3.</w:t>
            </w:r>
            <w:r w:rsidRPr="00810763">
              <w:tab/>
              <w:t xml:space="preserve">Des mesures d’accompagnement de la transition de soins en institution à des </w:t>
            </w:r>
            <w:r w:rsidRPr="00810763">
              <w:lastRenderedPageBreak/>
              <w:t>soins de proximité</w:t>
            </w:r>
            <w:r w:rsidRPr="00810763">
              <w:rPr>
                <w:b/>
                <w:i/>
              </w:rPr>
              <w:t xml:space="preserve"> sur la base d’une stratégie nationale de désinstitutionnalisation et d’un plan d’action</w:t>
            </w:r>
          </w:p>
        </w:tc>
      </w:tr>
    </w:tbl>
    <w:p w:rsidR="007D3698" w:rsidRPr="007D3698" w:rsidRDefault="007D3698" w:rsidP="007D3698">
      <w:pPr>
        <w:rPr>
          <w:noProof/>
        </w:rPr>
      </w:pPr>
      <w:r w:rsidRPr="00930809">
        <w:rPr>
          <w:rStyle w:val="HideTWBExt"/>
          <w:lang w:val="fr-BE"/>
        </w:rPr>
        <w:lastRenderedPageBreak/>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101</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7D3698" w:rsidRDefault="007D3698" w:rsidP="007D3698">
      <w:pPr>
        <w:pStyle w:val="NormalBold"/>
        <w:rPr>
          <w:noProof/>
        </w:rPr>
      </w:pPr>
      <w:r w:rsidRPr="00930809">
        <w:rPr>
          <w:rStyle w:val="HideTWBExt"/>
          <w:b w:val="0"/>
          <w:szCs w:val="24"/>
          <w:lang w:val="fr-BE"/>
        </w:rPr>
        <w:t>&lt;Article&gt;</w:t>
      </w:r>
      <w:r w:rsidRPr="00810763">
        <w:rPr>
          <w:szCs w:val="24"/>
        </w:rPr>
        <w:t>Annexe IV – point 4.3 – colonne 4 Critères de réalisation de la condition favorisante – partie introductive</w:t>
      </w:r>
      <w:r w:rsidRPr="00930809">
        <w:rPr>
          <w:rStyle w:val="HideTWBExt"/>
          <w:b w:val="0"/>
          <w:szCs w:val="24"/>
          <w:lang w:val="fr-BE"/>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7D3698" w:rsidTr="0097579A">
        <w:trPr>
          <w:jc w:val="center"/>
        </w:trPr>
        <w:tc>
          <w:tcPr>
            <w:tcW w:w="9752" w:type="dxa"/>
            <w:gridSpan w:val="2"/>
          </w:tcPr>
          <w:p w:rsidR="007D3698" w:rsidRPr="00930809" w:rsidRDefault="007D3698" w:rsidP="0097579A">
            <w:pPr>
              <w:keepNext/>
              <w:rPr>
                <w:noProof/>
                <w:lang w:val="fr-BE"/>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r w:rsidRPr="00810763">
              <w:t xml:space="preserve">Un cadre stratégique national pour l’inclusion sociale et la réduction de la pauvreté </w:t>
            </w:r>
            <w:r w:rsidRPr="00810763">
              <w:rPr>
                <w:b/>
                <w:i/>
              </w:rPr>
              <w:t>est</w:t>
            </w:r>
            <w:r w:rsidRPr="00810763">
              <w:t xml:space="preserve"> en place et </w:t>
            </w:r>
            <w:r w:rsidRPr="00810763">
              <w:rPr>
                <w:b/>
                <w:i/>
              </w:rPr>
              <w:t>comprend</w:t>
            </w:r>
            <w:r w:rsidRPr="00810763">
              <w:t>:</w:t>
            </w:r>
          </w:p>
        </w:tc>
        <w:tc>
          <w:tcPr>
            <w:tcW w:w="4876" w:type="dxa"/>
          </w:tcPr>
          <w:p w:rsidR="007D3698" w:rsidRPr="00810763" w:rsidRDefault="007D3698" w:rsidP="0097579A">
            <w:pPr>
              <w:pStyle w:val="Normal6"/>
              <w:rPr>
                <w:noProof/>
              </w:rPr>
            </w:pPr>
            <w:r w:rsidRPr="00810763">
              <w:t xml:space="preserve">Un cadre stratégique national </w:t>
            </w:r>
            <w:r w:rsidRPr="00810763">
              <w:rPr>
                <w:b/>
                <w:i/>
              </w:rPr>
              <w:t xml:space="preserve">et un plan d’action </w:t>
            </w:r>
            <w:r w:rsidRPr="00810763">
              <w:t xml:space="preserve">pour l’inclusion sociale et la réduction de la pauvreté </w:t>
            </w:r>
            <w:r w:rsidRPr="00810763">
              <w:rPr>
                <w:b/>
                <w:i/>
              </w:rPr>
              <w:t>sont</w:t>
            </w:r>
            <w:r w:rsidRPr="00810763">
              <w:t xml:space="preserve"> en place et </w:t>
            </w:r>
            <w:r w:rsidRPr="00810763">
              <w:rPr>
                <w:b/>
                <w:i/>
              </w:rPr>
              <w:t>comprennent</w:t>
            </w:r>
            <w:r w:rsidRPr="00810763">
              <w:t>:</w:t>
            </w:r>
          </w:p>
        </w:tc>
      </w:tr>
      <w:tr w:rsidR="007D3698" w:rsidRPr="007D3698" w:rsidTr="0097579A">
        <w:trPr>
          <w:jc w:val="center"/>
        </w:trPr>
        <w:tc>
          <w:tcPr>
            <w:tcW w:w="4876" w:type="dxa"/>
          </w:tcPr>
          <w:p w:rsidR="007D3698" w:rsidRPr="00930809" w:rsidRDefault="007D3698" w:rsidP="0097579A">
            <w:pPr>
              <w:spacing w:before="60" w:after="60"/>
              <w:rPr>
                <w:noProof/>
                <w:sz w:val="22"/>
                <w:szCs w:val="22"/>
                <w:lang w:val="fr-BE"/>
              </w:rPr>
            </w:pPr>
          </w:p>
        </w:tc>
        <w:tc>
          <w:tcPr>
            <w:tcW w:w="4876" w:type="dxa"/>
          </w:tcPr>
          <w:p w:rsidR="007D3698" w:rsidRPr="00930809" w:rsidRDefault="007D3698" w:rsidP="0097579A">
            <w:pPr>
              <w:spacing w:before="60" w:after="60"/>
              <w:rPr>
                <w:noProof/>
                <w:sz w:val="22"/>
                <w:szCs w:val="22"/>
                <w:lang w:val="fr-BE"/>
              </w:rPr>
            </w:pP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102</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7D3698" w:rsidRDefault="007D3698" w:rsidP="007D3698">
      <w:pPr>
        <w:pStyle w:val="NormalBold"/>
        <w:rPr>
          <w:noProof/>
        </w:rPr>
      </w:pPr>
      <w:r w:rsidRPr="00930809">
        <w:rPr>
          <w:rStyle w:val="HideTWBExt"/>
          <w:b w:val="0"/>
          <w:szCs w:val="24"/>
          <w:lang w:val="fr-BE"/>
        </w:rPr>
        <w:t>&lt;Article&gt;</w:t>
      </w:r>
      <w:r w:rsidRPr="00810763">
        <w:rPr>
          <w:szCs w:val="24"/>
        </w:rPr>
        <w:t>Annexe IV – point 4.3 – colonne 4 Critères de réalisation de la condition favorisante – point 2</w:t>
      </w:r>
      <w:r w:rsidRPr="00930809">
        <w:rPr>
          <w:rStyle w:val="HideTWBExt"/>
          <w:b w:val="0"/>
          <w:szCs w:val="24"/>
          <w:lang w:val="fr-BE"/>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7D3698" w:rsidTr="0097579A">
        <w:trPr>
          <w:jc w:val="center"/>
        </w:trPr>
        <w:tc>
          <w:tcPr>
            <w:tcW w:w="9752" w:type="dxa"/>
            <w:gridSpan w:val="2"/>
          </w:tcPr>
          <w:p w:rsidR="007D3698" w:rsidRPr="00930809" w:rsidRDefault="007D3698" w:rsidP="0097579A">
            <w:pPr>
              <w:keepNext/>
              <w:rPr>
                <w:noProof/>
                <w:lang w:val="fr-BE"/>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r w:rsidRPr="00810763">
              <w:t>2.</w:t>
            </w:r>
            <w:r w:rsidRPr="00810763">
              <w:tab/>
              <w:t xml:space="preserve">Des mesures visant à prévenir et combattre la ségrégation dans tous les domaines, notamment en assurant une aide au revenu </w:t>
            </w:r>
            <w:r w:rsidRPr="00810763">
              <w:rPr>
                <w:b/>
                <w:i/>
              </w:rPr>
              <w:t>adéquate</w:t>
            </w:r>
            <w:r w:rsidRPr="00810763">
              <w:t xml:space="preserve">, des marchés du travail inclusifs et l’accès à des services de qualité pour les personnes vulnérables, y compris les migrants </w:t>
            </w:r>
          </w:p>
        </w:tc>
        <w:tc>
          <w:tcPr>
            <w:tcW w:w="4876" w:type="dxa"/>
          </w:tcPr>
          <w:p w:rsidR="007D3698" w:rsidRPr="00810763" w:rsidRDefault="007D3698" w:rsidP="0097579A">
            <w:pPr>
              <w:pStyle w:val="Normal6"/>
              <w:rPr>
                <w:noProof/>
              </w:rPr>
            </w:pPr>
            <w:r w:rsidRPr="00810763">
              <w:t>2.</w:t>
            </w:r>
            <w:r w:rsidRPr="00810763">
              <w:tab/>
              <w:t xml:space="preserve">Des mesures visant à prévenir et combattre la ségrégation dans tous les domaines, notamment en assurant une aide au revenu </w:t>
            </w:r>
            <w:r w:rsidRPr="00810763">
              <w:rPr>
                <w:b/>
                <w:i/>
              </w:rPr>
              <w:t>et une protection sociale adéquates</w:t>
            </w:r>
            <w:r w:rsidRPr="00810763">
              <w:t>, des marchés du travail inclusifs et l’accès à des services de qualité pour les personnes vulnérables, y compris les migrants</w:t>
            </w:r>
          </w:p>
        </w:tc>
      </w:tr>
      <w:tr w:rsidR="007D3698" w:rsidRPr="007D3698" w:rsidTr="0097579A">
        <w:trPr>
          <w:jc w:val="center"/>
        </w:trPr>
        <w:tc>
          <w:tcPr>
            <w:tcW w:w="4876" w:type="dxa"/>
          </w:tcPr>
          <w:p w:rsidR="007D3698" w:rsidRPr="00930809" w:rsidRDefault="007D3698" w:rsidP="0097579A">
            <w:pPr>
              <w:spacing w:before="60" w:after="60"/>
              <w:rPr>
                <w:noProof/>
                <w:sz w:val="22"/>
                <w:szCs w:val="22"/>
                <w:lang w:val="fr-BE"/>
              </w:rPr>
            </w:pPr>
          </w:p>
        </w:tc>
        <w:tc>
          <w:tcPr>
            <w:tcW w:w="4876" w:type="dxa"/>
          </w:tcPr>
          <w:p w:rsidR="007D3698" w:rsidRPr="00930809" w:rsidRDefault="007D3698" w:rsidP="0097579A">
            <w:pPr>
              <w:spacing w:before="60" w:after="60"/>
              <w:rPr>
                <w:noProof/>
                <w:sz w:val="22"/>
                <w:szCs w:val="22"/>
                <w:lang w:val="fr-BE"/>
              </w:rPr>
            </w:pP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103</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7D3698" w:rsidRDefault="007D3698" w:rsidP="007D3698">
      <w:pPr>
        <w:pStyle w:val="NormalBold"/>
        <w:rPr>
          <w:noProof/>
        </w:rPr>
      </w:pPr>
      <w:r w:rsidRPr="00930809">
        <w:rPr>
          <w:rStyle w:val="HideTWBExt"/>
          <w:b w:val="0"/>
          <w:szCs w:val="24"/>
          <w:lang w:val="fr-BE"/>
        </w:rPr>
        <w:t>&lt;Article&gt;</w:t>
      </w:r>
      <w:r w:rsidRPr="00810763">
        <w:rPr>
          <w:szCs w:val="24"/>
        </w:rPr>
        <w:t>Annexe IV – point 4.3 – colonne 4 Critères de réalisation de la condition favorisante –  point 3</w:t>
      </w:r>
      <w:r w:rsidRPr="00930809">
        <w:rPr>
          <w:rStyle w:val="HideTWBExt"/>
          <w:b w:val="0"/>
          <w:szCs w:val="24"/>
          <w:lang w:val="fr-BE"/>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7D3698" w:rsidTr="0097579A">
        <w:trPr>
          <w:jc w:val="center"/>
        </w:trPr>
        <w:tc>
          <w:tcPr>
            <w:tcW w:w="9752" w:type="dxa"/>
            <w:gridSpan w:val="2"/>
          </w:tcPr>
          <w:p w:rsidR="007D3698" w:rsidRPr="00930809" w:rsidRDefault="007D3698" w:rsidP="0097579A">
            <w:pPr>
              <w:keepNext/>
              <w:rPr>
                <w:noProof/>
                <w:lang w:val="fr-BE"/>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r w:rsidRPr="00810763">
              <w:t>3.</w:t>
            </w:r>
            <w:r w:rsidRPr="00810763">
              <w:tab/>
              <w:t xml:space="preserve">Des mesures d’accompagnement de la transition </w:t>
            </w:r>
            <w:r w:rsidRPr="00810763">
              <w:rPr>
                <w:b/>
                <w:i/>
              </w:rPr>
              <w:t>de soins</w:t>
            </w:r>
            <w:r w:rsidRPr="00810763">
              <w:t xml:space="preserve"> en </w:t>
            </w:r>
            <w:r w:rsidRPr="00810763">
              <w:rPr>
                <w:b/>
                <w:i/>
              </w:rPr>
              <w:t>institution</w:t>
            </w:r>
            <w:r w:rsidRPr="00810763">
              <w:t xml:space="preserve"> à </w:t>
            </w:r>
            <w:r w:rsidRPr="00810763">
              <w:rPr>
                <w:b/>
                <w:i/>
              </w:rPr>
              <w:t>des soins</w:t>
            </w:r>
            <w:r w:rsidRPr="00810763">
              <w:t xml:space="preserve"> de proximité</w:t>
            </w:r>
          </w:p>
        </w:tc>
        <w:tc>
          <w:tcPr>
            <w:tcW w:w="4876" w:type="dxa"/>
          </w:tcPr>
          <w:p w:rsidR="007D3698" w:rsidRPr="00810763" w:rsidRDefault="007D3698" w:rsidP="0097579A">
            <w:pPr>
              <w:pStyle w:val="Normal6"/>
              <w:rPr>
                <w:noProof/>
              </w:rPr>
            </w:pPr>
            <w:r w:rsidRPr="00810763">
              <w:t>3.</w:t>
            </w:r>
            <w:r w:rsidRPr="00810763">
              <w:tab/>
              <w:t xml:space="preserve">Des mesures d’accompagnement de la transition </w:t>
            </w:r>
            <w:r w:rsidRPr="00810763">
              <w:rPr>
                <w:b/>
                <w:i/>
              </w:rPr>
              <w:t>d’une prise</w:t>
            </w:r>
            <w:r w:rsidRPr="00810763">
              <w:t xml:space="preserve"> en </w:t>
            </w:r>
            <w:r w:rsidRPr="00810763">
              <w:rPr>
                <w:b/>
                <w:i/>
              </w:rPr>
              <w:t>charge institutionnelle</w:t>
            </w:r>
            <w:r w:rsidRPr="00810763">
              <w:t xml:space="preserve"> à </w:t>
            </w:r>
            <w:r w:rsidRPr="00810763">
              <w:rPr>
                <w:b/>
                <w:i/>
              </w:rPr>
              <w:t>une prise en charge familiale ou</w:t>
            </w:r>
            <w:r w:rsidRPr="00810763">
              <w:t xml:space="preserve"> de proximité</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104</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rPr>
          <w:szCs w:val="24"/>
        </w:rPr>
        <w:t>Annexe IV – point 4.3.2 – colonne 2 Objectif spécifique</w:t>
      </w:r>
      <w:r>
        <w:rPr>
          <w:rStyle w:val="HideTWBExt"/>
          <w:b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noProof/>
              </w:rPr>
            </w:pPr>
            <w:r w:rsidRPr="00810763">
              <w:t>4.3.2</w:t>
            </w:r>
            <w:r w:rsidRPr="00810763">
              <w:tab/>
              <w:t>Promouvoir l’intégration socio-économique des communautés marginalisées telles que les Roms</w:t>
            </w:r>
          </w:p>
        </w:tc>
        <w:tc>
          <w:tcPr>
            <w:tcW w:w="4876" w:type="dxa"/>
          </w:tcPr>
          <w:p w:rsidR="007D3698" w:rsidRPr="00810763" w:rsidRDefault="007D3698" w:rsidP="0097579A">
            <w:pPr>
              <w:pStyle w:val="Normal6"/>
              <w:rPr>
                <w:noProof/>
              </w:rPr>
            </w:pPr>
            <w:r w:rsidRPr="00810763">
              <w:t>4.3.2</w:t>
            </w:r>
            <w:r w:rsidRPr="00810763">
              <w:tab/>
              <w:t xml:space="preserve">Promouvoir l’intégration socio-économique des </w:t>
            </w:r>
            <w:r w:rsidRPr="00810763">
              <w:rPr>
                <w:b/>
                <w:i/>
              </w:rPr>
              <w:t xml:space="preserve">ressortissants de pays tiers et des </w:t>
            </w:r>
            <w:r w:rsidRPr="00810763">
              <w:t>communautés marginalisées telles que les Roms</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105</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7D3698" w:rsidRDefault="007D3698" w:rsidP="007D3698">
      <w:pPr>
        <w:pStyle w:val="NormalBold"/>
        <w:rPr>
          <w:noProof/>
        </w:rPr>
      </w:pPr>
      <w:r w:rsidRPr="00930809">
        <w:rPr>
          <w:rStyle w:val="HideTWBExt"/>
          <w:lang w:val="fr-BE"/>
        </w:rPr>
        <w:t>&lt;Article&gt;</w:t>
      </w:r>
      <w:r w:rsidRPr="00810763">
        <w:t>Annexe IV – point 4.4 – colonne 4 Critères de réalisation de la condition favorisante – point 3 bis (nouveau)</w:t>
      </w:r>
      <w:r w:rsidRPr="00930809">
        <w:rPr>
          <w:rStyle w:val="HideTWBExt"/>
          <w:lang w:val="fr-BE"/>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7D3698" w:rsidTr="0097579A">
        <w:trPr>
          <w:jc w:val="center"/>
        </w:trPr>
        <w:tc>
          <w:tcPr>
            <w:tcW w:w="9752" w:type="dxa"/>
            <w:gridSpan w:val="2"/>
          </w:tcPr>
          <w:p w:rsidR="007D3698" w:rsidRPr="00930809" w:rsidRDefault="007D3698" w:rsidP="0097579A">
            <w:pPr>
              <w:keepNext/>
              <w:rPr>
                <w:noProof/>
                <w:lang w:val="fr-BE"/>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tcPr>
          <w:p w:rsidR="007D3698" w:rsidRPr="00810763" w:rsidRDefault="007D3698" w:rsidP="0097579A">
            <w:pPr>
              <w:pStyle w:val="Normal6"/>
              <w:rPr>
                <w:b/>
                <w:bCs/>
                <w:i/>
                <w:iCs/>
                <w:noProof/>
              </w:rPr>
            </w:pPr>
          </w:p>
        </w:tc>
        <w:tc>
          <w:tcPr>
            <w:tcW w:w="4876" w:type="dxa"/>
          </w:tcPr>
          <w:p w:rsidR="007D3698" w:rsidRPr="00810763" w:rsidRDefault="007D3698" w:rsidP="0097579A">
            <w:pPr>
              <w:pStyle w:val="Normal6"/>
              <w:rPr>
                <w:b/>
                <w:bCs/>
                <w:i/>
                <w:iCs/>
                <w:noProof/>
              </w:rPr>
            </w:pPr>
            <w:r w:rsidRPr="00810763">
              <w:rPr>
                <w:b/>
                <w:bCs/>
                <w:i/>
                <w:iCs/>
              </w:rPr>
              <w:t>3 bis.</w:t>
            </w:r>
            <w:r w:rsidRPr="00810763">
              <w:rPr>
                <w:b/>
                <w:bCs/>
                <w:i/>
                <w:iCs/>
              </w:rPr>
              <w:tab/>
              <w:t>Mesures visant à assurer l’efficacité, la durabilité, l’accessibilité et le caractère abordable des systèmes de protection sociale</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106</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Annexe V – intertitre 1</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 xml:space="preserve">Modèle pour les programmes soutenus par le FEDER (objectif «Investissement pour l’emploi </w:t>
            </w:r>
            <w:r w:rsidRPr="00810763">
              <w:rPr>
                <w:b/>
                <w:i/>
              </w:rPr>
              <w:t>et</w:t>
            </w:r>
            <w:r w:rsidRPr="00810763">
              <w:t xml:space="preserve"> la croissance»), le FSE+, le Fonds de cohésion et le FEAMP – article 16, paragraphe 3</w:t>
            </w:r>
          </w:p>
        </w:tc>
        <w:tc>
          <w:tcPr>
            <w:tcW w:w="4876" w:type="dxa"/>
            <w:hideMark/>
          </w:tcPr>
          <w:p w:rsidR="007D3698" w:rsidRPr="00810763" w:rsidRDefault="007D3698" w:rsidP="0097579A">
            <w:pPr>
              <w:pStyle w:val="Normal6"/>
              <w:rPr>
                <w:noProof/>
                <w:szCs w:val="24"/>
              </w:rPr>
            </w:pPr>
            <w:r w:rsidRPr="00810763">
              <w:t>Modèle pour les programmes soutenus par le FEDER (objectif «Investissement pour l’emploi</w:t>
            </w:r>
            <w:r w:rsidRPr="00810763">
              <w:rPr>
                <w:b/>
                <w:i/>
              </w:rPr>
              <w:t>,</w:t>
            </w:r>
            <w:r w:rsidRPr="00810763">
              <w:t xml:space="preserve"> la croissance</w:t>
            </w:r>
            <w:r w:rsidRPr="00810763">
              <w:rPr>
                <w:b/>
                <w:i/>
              </w:rPr>
              <w:t>, l’inclusion sociale et la convergence ascendante</w:t>
            </w:r>
            <w:r w:rsidRPr="00810763">
              <w:t xml:space="preserve">»), le FSE+, le Fonds de cohésion et le FEAMP – </w:t>
            </w:r>
            <w:r w:rsidRPr="00810763">
              <w:lastRenderedPageBreak/>
              <w:t>article 16, paragraphe 3</w:t>
            </w:r>
          </w:p>
        </w:tc>
      </w:tr>
    </w:tbl>
    <w:p w:rsidR="007D3698" w:rsidRPr="007D3698" w:rsidRDefault="007D3698" w:rsidP="007D3698">
      <w:pPr>
        <w:rPr>
          <w:noProof/>
        </w:rPr>
      </w:pPr>
      <w:r w:rsidRPr="00930809">
        <w:rPr>
          <w:rStyle w:val="HideTWBExt"/>
          <w:lang w:val="fr-BE"/>
        </w:rPr>
        <w:lastRenderedPageBreak/>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107</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Annexe V – point 1 – alinéa 2 – partie introductive</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 xml:space="preserve">Objectif </w:t>
            </w:r>
            <w:r w:rsidRPr="00810763">
              <w:rPr>
                <w:b/>
                <w:i/>
              </w:rPr>
              <w:t>«Emploi</w:t>
            </w:r>
            <w:r w:rsidRPr="00810763">
              <w:t xml:space="preserve"> et </w:t>
            </w:r>
            <w:r w:rsidRPr="00810763">
              <w:rPr>
                <w:b/>
                <w:i/>
              </w:rPr>
              <w:t>croissance»</w:t>
            </w:r>
          </w:p>
        </w:tc>
        <w:tc>
          <w:tcPr>
            <w:tcW w:w="4876" w:type="dxa"/>
            <w:hideMark/>
          </w:tcPr>
          <w:p w:rsidR="007D3698" w:rsidRPr="00810763" w:rsidRDefault="007D3698" w:rsidP="0097579A">
            <w:pPr>
              <w:pStyle w:val="Normal6"/>
              <w:rPr>
                <w:noProof/>
                <w:szCs w:val="24"/>
              </w:rPr>
            </w:pPr>
            <w:r w:rsidRPr="00810763">
              <w:t xml:space="preserve">Objectif </w:t>
            </w:r>
            <w:r w:rsidRPr="00810763">
              <w:rPr>
                <w:b/>
                <w:i/>
              </w:rPr>
              <w:t>«Investissement pour l’emploi, la croissance, l’inclusion sociale</w:t>
            </w:r>
            <w:r w:rsidRPr="00810763">
              <w:t xml:space="preserve"> et </w:t>
            </w:r>
            <w:r w:rsidRPr="00810763">
              <w:rPr>
                <w:b/>
                <w:i/>
              </w:rPr>
              <w:t>la convergence ascendante»</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108</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keepNext/>
        <w:rPr>
          <w:noProof/>
        </w:rPr>
      </w:pPr>
      <w:r>
        <w:rPr>
          <w:rStyle w:val="HideTWBExt"/>
          <w:b w:val="0"/>
          <w:szCs w:val="24"/>
        </w:rPr>
        <w:t>&lt;Article&gt;</w:t>
      </w:r>
      <w:r w:rsidRPr="00810763">
        <w:t>Annexe V – point 2 – Tableau 1 T – Structure du programme</w:t>
      </w:r>
      <w:r>
        <w:rPr>
          <w:rStyle w:val="HideTWBExt"/>
          <w:b w:val="0"/>
          <w:szCs w:val="24"/>
        </w:rPr>
        <w:t>&lt;/Article&gt;</w:t>
      </w:r>
    </w:p>
    <w:tbl>
      <w:tblPr>
        <w:tblW w:w="9684" w:type="dxa"/>
        <w:jc w:val="center"/>
        <w:tblLayout w:type="fixed"/>
        <w:tblCellMar>
          <w:left w:w="340" w:type="dxa"/>
          <w:right w:w="340" w:type="dxa"/>
        </w:tblCellMar>
        <w:tblLook w:val="0000" w:firstRow="0" w:lastRow="0" w:firstColumn="0" w:lastColumn="0" w:noHBand="0" w:noVBand="0"/>
      </w:tblPr>
      <w:tblGrid>
        <w:gridCol w:w="42"/>
        <w:gridCol w:w="799"/>
        <w:gridCol w:w="2503"/>
        <w:gridCol w:w="528"/>
        <w:gridCol w:w="1609"/>
        <w:gridCol w:w="743"/>
        <w:gridCol w:w="1856"/>
        <w:gridCol w:w="1560"/>
        <w:gridCol w:w="44"/>
      </w:tblGrid>
      <w:tr w:rsidR="007D3698" w:rsidRPr="00F15B66" w:rsidTr="0097579A">
        <w:trPr>
          <w:gridBefore w:val="1"/>
          <w:wBefore w:w="42" w:type="dxa"/>
          <w:jc w:val="center"/>
        </w:trPr>
        <w:tc>
          <w:tcPr>
            <w:tcW w:w="9642" w:type="dxa"/>
            <w:gridSpan w:val="8"/>
          </w:tcPr>
          <w:p w:rsidR="007D3698" w:rsidRPr="00AA1077" w:rsidRDefault="007D3698" w:rsidP="0097579A">
            <w:pPr>
              <w:keepNext/>
              <w:rPr>
                <w:noProof/>
              </w:rPr>
            </w:pPr>
          </w:p>
        </w:tc>
      </w:tr>
      <w:tr w:rsidR="007D3698" w:rsidRPr="007D3698" w:rsidTr="0097579A">
        <w:trPr>
          <w:gridBefore w:val="1"/>
          <w:wBefore w:w="42" w:type="dxa"/>
          <w:jc w:val="center"/>
        </w:trPr>
        <w:tc>
          <w:tcPr>
            <w:tcW w:w="9642" w:type="dxa"/>
            <w:gridSpan w:val="8"/>
          </w:tcPr>
          <w:p w:rsidR="007D3698" w:rsidRPr="007D3698" w:rsidRDefault="007D3698" w:rsidP="0097579A">
            <w:pPr>
              <w:pStyle w:val="ColumnHeading"/>
              <w:keepNext/>
              <w:rPr>
                <w:noProof/>
              </w:rPr>
            </w:pPr>
            <w:r>
              <w:t>Texte proposé par la Commission</w:t>
            </w:r>
          </w:p>
        </w:tc>
      </w:tr>
      <w:tr w:rsidR="007D3698" w:rsidRPr="00AA1077" w:rsidTr="0097579A">
        <w:tblPrEx>
          <w:jc w:val="left"/>
          <w:tblCellMar>
            <w:left w:w="108" w:type="dxa"/>
            <w:right w:w="108" w:type="dxa"/>
          </w:tblCellMar>
          <w:tblLook w:val="04A0" w:firstRow="1" w:lastRow="0" w:firstColumn="1" w:lastColumn="0" w:noHBand="0" w:noVBand="1"/>
        </w:tblPrEx>
        <w:trPr>
          <w:gridAfter w:val="1"/>
          <w:wAfter w:w="44" w:type="dxa"/>
          <w:trHeight w:val="600"/>
        </w:trPr>
        <w:tc>
          <w:tcPr>
            <w:tcW w:w="841" w:type="dxa"/>
            <w:gridSpan w:val="2"/>
            <w:hideMark/>
          </w:tcPr>
          <w:p w:rsidR="007D3698" w:rsidRPr="00AA1077" w:rsidRDefault="007D3698" w:rsidP="0097579A">
            <w:pPr>
              <w:pStyle w:val="Normal6"/>
              <w:rPr>
                <w:noProof/>
                <w:sz w:val="18"/>
              </w:rPr>
            </w:pPr>
            <w:r>
              <w:rPr>
                <w:sz w:val="18"/>
              </w:rPr>
              <w:t>ID</w:t>
            </w:r>
          </w:p>
        </w:tc>
        <w:tc>
          <w:tcPr>
            <w:tcW w:w="2503" w:type="dxa"/>
            <w:hideMark/>
          </w:tcPr>
          <w:p w:rsidR="007D3698" w:rsidRPr="00AA1077" w:rsidRDefault="007D3698" w:rsidP="0097579A">
            <w:pPr>
              <w:pStyle w:val="Normal6"/>
              <w:rPr>
                <w:noProof/>
                <w:sz w:val="18"/>
              </w:rPr>
            </w:pPr>
            <w:r>
              <w:rPr>
                <w:sz w:val="18"/>
              </w:rPr>
              <w:t>Intitulé [300]</w:t>
            </w:r>
          </w:p>
        </w:tc>
        <w:tc>
          <w:tcPr>
            <w:tcW w:w="528" w:type="dxa"/>
            <w:hideMark/>
          </w:tcPr>
          <w:p w:rsidR="007D3698" w:rsidRPr="00AA1077" w:rsidRDefault="007D3698" w:rsidP="0097579A">
            <w:pPr>
              <w:pStyle w:val="Normal6"/>
              <w:rPr>
                <w:noProof/>
                <w:sz w:val="18"/>
              </w:rPr>
            </w:pPr>
            <w:r>
              <w:rPr>
                <w:sz w:val="18"/>
              </w:rPr>
              <w:t>AT</w:t>
            </w:r>
          </w:p>
        </w:tc>
        <w:tc>
          <w:tcPr>
            <w:tcW w:w="1609" w:type="dxa"/>
            <w:hideMark/>
          </w:tcPr>
          <w:p w:rsidR="007D3698" w:rsidRPr="00AA1077" w:rsidRDefault="007D3698" w:rsidP="0097579A">
            <w:pPr>
              <w:pStyle w:val="Normal6"/>
              <w:rPr>
                <w:noProof/>
                <w:sz w:val="18"/>
              </w:rPr>
            </w:pPr>
            <w:r>
              <w:rPr>
                <w:sz w:val="18"/>
              </w:rPr>
              <w:t>Base de calcul</w:t>
            </w:r>
          </w:p>
        </w:tc>
        <w:tc>
          <w:tcPr>
            <w:tcW w:w="743" w:type="dxa"/>
            <w:hideMark/>
          </w:tcPr>
          <w:p w:rsidR="007D3698" w:rsidRPr="00AA1077" w:rsidRDefault="007D3698" w:rsidP="0097579A">
            <w:pPr>
              <w:pStyle w:val="Normal6"/>
              <w:rPr>
                <w:noProof/>
                <w:sz w:val="18"/>
              </w:rPr>
            </w:pPr>
            <w:r>
              <w:rPr>
                <w:sz w:val="18"/>
              </w:rPr>
              <w:t>Fonds</w:t>
            </w:r>
          </w:p>
        </w:tc>
        <w:tc>
          <w:tcPr>
            <w:tcW w:w="1856" w:type="dxa"/>
            <w:hideMark/>
          </w:tcPr>
          <w:p w:rsidR="007D3698" w:rsidRPr="00AA1077" w:rsidRDefault="007D3698" w:rsidP="0097579A">
            <w:pPr>
              <w:pStyle w:val="Normal6"/>
              <w:rPr>
                <w:noProof/>
                <w:sz w:val="18"/>
              </w:rPr>
            </w:pPr>
            <w:r>
              <w:rPr>
                <w:sz w:val="18"/>
              </w:rPr>
              <w:t>Catégorie de régions soutenues</w:t>
            </w:r>
          </w:p>
        </w:tc>
        <w:tc>
          <w:tcPr>
            <w:tcW w:w="1560" w:type="dxa"/>
            <w:hideMark/>
          </w:tcPr>
          <w:p w:rsidR="007D3698" w:rsidRPr="00AA1077" w:rsidRDefault="007D3698" w:rsidP="0097579A">
            <w:pPr>
              <w:pStyle w:val="Normal6"/>
              <w:rPr>
                <w:noProof/>
                <w:sz w:val="18"/>
              </w:rPr>
            </w:pPr>
            <w:r>
              <w:rPr>
                <w:sz w:val="18"/>
              </w:rPr>
              <w:t>Objectif spécifique retenu</w:t>
            </w:r>
          </w:p>
        </w:tc>
      </w:tr>
      <w:tr w:rsidR="007D3698" w:rsidRPr="00AA1077" w:rsidTr="0097579A">
        <w:tblPrEx>
          <w:jc w:val="left"/>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val="restart"/>
            <w:noWrap/>
            <w:hideMark/>
          </w:tcPr>
          <w:p w:rsidR="007D3698" w:rsidRPr="00AA1077" w:rsidRDefault="007D3698" w:rsidP="0097579A">
            <w:pPr>
              <w:pStyle w:val="Normal6"/>
              <w:rPr>
                <w:noProof/>
                <w:sz w:val="18"/>
              </w:rPr>
            </w:pPr>
            <w:r>
              <w:rPr>
                <w:sz w:val="18"/>
              </w:rPr>
              <w:t>1</w:t>
            </w:r>
          </w:p>
        </w:tc>
        <w:tc>
          <w:tcPr>
            <w:tcW w:w="2503" w:type="dxa"/>
            <w:vMerge w:val="restart"/>
            <w:noWrap/>
            <w:hideMark/>
          </w:tcPr>
          <w:p w:rsidR="007D3698" w:rsidRPr="00AA1077" w:rsidRDefault="007D3698" w:rsidP="0097579A">
            <w:pPr>
              <w:pStyle w:val="Normal6"/>
              <w:rPr>
                <w:noProof/>
                <w:sz w:val="18"/>
              </w:rPr>
            </w:pPr>
            <w:r>
              <w:rPr>
                <w:sz w:val="18"/>
              </w:rPr>
              <w:t>Priorité 1</w:t>
            </w:r>
          </w:p>
        </w:tc>
        <w:tc>
          <w:tcPr>
            <w:tcW w:w="528" w:type="dxa"/>
            <w:vMerge w:val="restart"/>
            <w:noWrap/>
            <w:hideMark/>
          </w:tcPr>
          <w:p w:rsidR="007D3698" w:rsidRPr="00AA1077" w:rsidRDefault="007D3698" w:rsidP="0097579A">
            <w:pPr>
              <w:pStyle w:val="Normal6"/>
              <w:rPr>
                <w:noProof/>
                <w:sz w:val="18"/>
              </w:rPr>
            </w:pPr>
            <w:r>
              <w:rPr>
                <w:sz w:val="18"/>
              </w:rPr>
              <w:t>Non</w:t>
            </w:r>
          </w:p>
        </w:tc>
        <w:tc>
          <w:tcPr>
            <w:tcW w:w="1609" w:type="dxa"/>
            <w:vMerge w:val="restart"/>
            <w:noWrap/>
          </w:tcPr>
          <w:p w:rsidR="007D3698" w:rsidRPr="00AA1077" w:rsidRDefault="007D3698" w:rsidP="0097579A">
            <w:pPr>
              <w:pStyle w:val="Normal6"/>
              <w:rPr>
                <w:noProof/>
                <w:sz w:val="18"/>
              </w:rPr>
            </w:pPr>
          </w:p>
        </w:tc>
        <w:tc>
          <w:tcPr>
            <w:tcW w:w="743" w:type="dxa"/>
            <w:vMerge w:val="restart"/>
            <w:noWrap/>
            <w:hideMark/>
          </w:tcPr>
          <w:p w:rsidR="007D3698" w:rsidRPr="00AA1077" w:rsidRDefault="007D3698" w:rsidP="0097579A">
            <w:pPr>
              <w:pStyle w:val="Normal6"/>
              <w:rPr>
                <w:noProof/>
                <w:sz w:val="18"/>
              </w:rPr>
            </w:pPr>
            <w:r>
              <w:rPr>
                <w:sz w:val="18"/>
              </w:rPr>
              <w:t>FEDER</w:t>
            </w:r>
          </w:p>
        </w:tc>
        <w:tc>
          <w:tcPr>
            <w:tcW w:w="1856" w:type="dxa"/>
            <w:noWrap/>
            <w:hideMark/>
          </w:tcPr>
          <w:p w:rsidR="007D3698" w:rsidRPr="00AA1077" w:rsidRDefault="007D3698" w:rsidP="0097579A">
            <w:pPr>
              <w:pStyle w:val="Normal6"/>
              <w:rPr>
                <w:noProof/>
                <w:sz w:val="18"/>
              </w:rPr>
            </w:pPr>
            <w:r>
              <w:rPr>
                <w:sz w:val="18"/>
              </w:rPr>
              <w:t>Plus</w:t>
            </w:r>
          </w:p>
        </w:tc>
        <w:tc>
          <w:tcPr>
            <w:tcW w:w="1560" w:type="dxa"/>
            <w:vMerge w:val="restart"/>
          </w:tcPr>
          <w:p w:rsidR="007D3698" w:rsidRPr="00AA1077" w:rsidRDefault="007D3698" w:rsidP="0097579A">
            <w:pPr>
              <w:pStyle w:val="Normal6"/>
              <w:rPr>
                <w:noProof/>
                <w:sz w:val="18"/>
              </w:rPr>
            </w:pPr>
            <w:r>
              <w:rPr>
                <w:sz w:val="18"/>
              </w:rPr>
              <w:t>OS 1</w:t>
            </w:r>
          </w:p>
        </w:tc>
      </w:tr>
      <w:tr w:rsidR="007D3698" w:rsidRPr="00AA1077" w:rsidTr="0097579A">
        <w:tblPrEx>
          <w:jc w:val="left"/>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vAlign w:val="center"/>
            <w:hideMark/>
          </w:tcPr>
          <w:p w:rsidR="007D3698" w:rsidRPr="00AA1077" w:rsidRDefault="007D3698" w:rsidP="0097579A">
            <w:pPr>
              <w:pStyle w:val="Normal6"/>
              <w:rPr>
                <w:noProof/>
                <w:sz w:val="18"/>
                <w:lang w:eastAsia="en-US"/>
              </w:rPr>
            </w:pPr>
          </w:p>
        </w:tc>
        <w:tc>
          <w:tcPr>
            <w:tcW w:w="2503" w:type="dxa"/>
            <w:vMerge/>
            <w:vAlign w:val="center"/>
            <w:hideMark/>
          </w:tcPr>
          <w:p w:rsidR="007D3698" w:rsidRPr="00AA1077" w:rsidRDefault="007D3698" w:rsidP="0097579A">
            <w:pPr>
              <w:pStyle w:val="Normal6"/>
              <w:rPr>
                <w:noProof/>
                <w:sz w:val="18"/>
                <w:lang w:eastAsia="en-US"/>
              </w:rPr>
            </w:pPr>
          </w:p>
        </w:tc>
        <w:tc>
          <w:tcPr>
            <w:tcW w:w="528" w:type="dxa"/>
            <w:vMerge/>
            <w:vAlign w:val="center"/>
            <w:hideMark/>
          </w:tcPr>
          <w:p w:rsidR="007D3698" w:rsidRPr="00AA1077" w:rsidRDefault="007D3698" w:rsidP="0097579A">
            <w:pPr>
              <w:pStyle w:val="Normal6"/>
              <w:rPr>
                <w:noProof/>
                <w:sz w:val="18"/>
                <w:lang w:eastAsia="en-US"/>
              </w:rPr>
            </w:pPr>
          </w:p>
        </w:tc>
        <w:tc>
          <w:tcPr>
            <w:tcW w:w="1609" w:type="dxa"/>
            <w:vMerge/>
            <w:vAlign w:val="center"/>
            <w:hideMark/>
          </w:tcPr>
          <w:p w:rsidR="007D3698" w:rsidRPr="00AA1077" w:rsidRDefault="007D3698" w:rsidP="0097579A">
            <w:pPr>
              <w:pStyle w:val="Normal6"/>
              <w:rPr>
                <w:noProof/>
                <w:sz w:val="18"/>
                <w:lang w:eastAsia="en-US"/>
              </w:rPr>
            </w:pPr>
          </w:p>
        </w:tc>
        <w:tc>
          <w:tcPr>
            <w:tcW w:w="743" w:type="dxa"/>
            <w:vMerge/>
            <w:vAlign w:val="center"/>
            <w:hideMark/>
          </w:tcPr>
          <w:p w:rsidR="007D3698" w:rsidRPr="00AA1077" w:rsidRDefault="007D3698" w:rsidP="0097579A">
            <w:pPr>
              <w:pStyle w:val="Normal6"/>
              <w:rPr>
                <w:noProof/>
                <w:sz w:val="18"/>
                <w:lang w:eastAsia="en-US"/>
              </w:rPr>
            </w:pPr>
          </w:p>
        </w:tc>
        <w:tc>
          <w:tcPr>
            <w:tcW w:w="1856" w:type="dxa"/>
            <w:noWrap/>
            <w:hideMark/>
          </w:tcPr>
          <w:p w:rsidR="007D3698" w:rsidRPr="00AA1077" w:rsidRDefault="007D3698" w:rsidP="0097579A">
            <w:pPr>
              <w:pStyle w:val="Normal6"/>
              <w:rPr>
                <w:noProof/>
                <w:sz w:val="18"/>
              </w:rPr>
            </w:pPr>
            <w:r>
              <w:rPr>
                <w:sz w:val="18"/>
              </w:rPr>
              <w:t>En transition</w:t>
            </w:r>
          </w:p>
        </w:tc>
        <w:tc>
          <w:tcPr>
            <w:tcW w:w="1560" w:type="dxa"/>
            <w:vMerge/>
            <w:vAlign w:val="center"/>
            <w:hideMark/>
          </w:tcPr>
          <w:p w:rsidR="007D3698" w:rsidRPr="00AA1077" w:rsidRDefault="007D3698" w:rsidP="0097579A">
            <w:pPr>
              <w:pStyle w:val="Normal6"/>
              <w:rPr>
                <w:noProof/>
                <w:sz w:val="18"/>
                <w:lang w:eastAsia="en-US"/>
              </w:rPr>
            </w:pPr>
          </w:p>
        </w:tc>
      </w:tr>
      <w:tr w:rsidR="007D3698" w:rsidRPr="00AA1077" w:rsidTr="0097579A">
        <w:tblPrEx>
          <w:jc w:val="left"/>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vAlign w:val="center"/>
            <w:hideMark/>
          </w:tcPr>
          <w:p w:rsidR="007D3698" w:rsidRPr="00AA1077" w:rsidRDefault="007D3698" w:rsidP="0097579A">
            <w:pPr>
              <w:pStyle w:val="Normal6"/>
              <w:rPr>
                <w:noProof/>
                <w:sz w:val="18"/>
                <w:lang w:eastAsia="en-US"/>
              </w:rPr>
            </w:pPr>
          </w:p>
        </w:tc>
        <w:tc>
          <w:tcPr>
            <w:tcW w:w="2503" w:type="dxa"/>
            <w:vMerge/>
            <w:vAlign w:val="center"/>
            <w:hideMark/>
          </w:tcPr>
          <w:p w:rsidR="007D3698" w:rsidRPr="00AA1077" w:rsidRDefault="007D3698" w:rsidP="0097579A">
            <w:pPr>
              <w:pStyle w:val="Normal6"/>
              <w:rPr>
                <w:noProof/>
                <w:sz w:val="18"/>
                <w:lang w:eastAsia="en-US"/>
              </w:rPr>
            </w:pPr>
          </w:p>
        </w:tc>
        <w:tc>
          <w:tcPr>
            <w:tcW w:w="528" w:type="dxa"/>
            <w:vMerge/>
            <w:vAlign w:val="center"/>
            <w:hideMark/>
          </w:tcPr>
          <w:p w:rsidR="007D3698" w:rsidRPr="00AA1077" w:rsidRDefault="007D3698" w:rsidP="0097579A">
            <w:pPr>
              <w:pStyle w:val="Normal6"/>
              <w:rPr>
                <w:noProof/>
                <w:sz w:val="18"/>
                <w:lang w:eastAsia="en-US"/>
              </w:rPr>
            </w:pPr>
          </w:p>
        </w:tc>
        <w:tc>
          <w:tcPr>
            <w:tcW w:w="1609" w:type="dxa"/>
            <w:vMerge/>
            <w:vAlign w:val="center"/>
            <w:hideMark/>
          </w:tcPr>
          <w:p w:rsidR="007D3698" w:rsidRPr="00AA1077" w:rsidRDefault="007D3698" w:rsidP="0097579A">
            <w:pPr>
              <w:pStyle w:val="Normal6"/>
              <w:rPr>
                <w:noProof/>
                <w:sz w:val="18"/>
                <w:lang w:eastAsia="en-US"/>
              </w:rPr>
            </w:pPr>
          </w:p>
        </w:tc>
        <w:tc>
          <w:tcPr>
            <w:tcW w:w="743" w:type="dxa"/>
            <w:vMerge/>
            <w:vAlign w:val="center"/>
            <w:hideMark/>
          </w:tcPr>
          <w:p w:rsidR="007D3698" w:rsidRPr="00AA1077" w:rsidRDefault="007D3698" w:rsidP="0097579A">
            <w:pPr>
              <w:pStyle w:val="Normal6"/>
              <w:rPr>
                <w:noProof/>
                <w:sz w:val="18"/>
                <w:lang w:eastAsia="en-US"/>
              </w:rPr>
            </w:pPr>
          </w:p>
        </w:tc>
        <w:tc>
          <w:tcPr>
            <w:tcW w:w="1856" w:type="dxa"/>
            <w:noWrap/>
            <w:hideMark/>
          </w:tcPr>
          <w:p w:rsidR="007D3698" w:rsidRPr="00AA1077" w:rsidRDefault="007D3698" w:rsidP="0097579A">
            <w:pPr>
              <w:pStyle w:val="Normal6"/>
              <w:rPr>
                <w:noProof/>
                <w:sz w:val="18"/>
              </w:rPr>
            </w:pPr>
            <w:r>
              <w:rPr>
                <w:sz w:val="18"/>
              </w:rPr>
              <w:t>Moins développées</w:t>
            </w:r>
          </w:p>
        </w:tc>
        <w:tc>
          <w:tcPr>
            <w:tcW w:w="1560" w:type="dxa"/>
            <w:vMerge w:val="restart"/>
            <w:hideMark/>
          </w:tcPr>
          <w:p w:rsidR="007D3698" w:rsidRPr="00AA1077" w:rsidRDefault="007D3698" w:rsidP="0097579A">
            <w:pPr>
              <w:pStyle w:val="Normal6"/>
              <w:rPr>
                <w:noProof/>
                <w:sz w:val="18"/>
              </w:rPr>
            </w:pPr>
            <w:r>
              <w:rPr>
                <w:sz w:val="18"/>
              </w:rPr>
              <w:t>OS 2</w:t>
            </w:r>
          </w:p>
        </w:tc>
      </w:tr>
      <w:tr w:rsidR="007D3698" w:rsidRPr="00AA1077" w:rsidTr="0097579A">
        <w:tblPrEx>
          <w:jc w:val="left"/>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vAlign w:val="center"/>
            <w:hideMark/>
          </w:tcPr>
          <w:p w:rsidR="007D3698" w:rsidRPr="00AA1077" w:rsidRDefault="007D3698" w:rsidP="0097579A">
            <w:pPr>
              <w:pStyle w:val="Normal6"/>
              <w:rPr>
                <w:noProof/>
                <w:sz w:val="18"/>
                <w:lang w:eastAsia="en-US"/>
              </w:rPr>
            </w:pPr>
          </w:p>
        </w:tc>
        <w:tc>
          <w:tcPr>
            <w:tcW w:w="2503" w:type="dxa"/>
            <w:vMerge/>
            <w:vAlign w:val="center"/>
            <w:hideMark/>
          </w:tcPr>
          <w:p w:rsidR="007D3698" w:rsidRPr="00AA1077" w:rsidRDefault="007D3698" w:rsidP="0097579A">
            <w:pPr>
              <w:pStyle w:val="Normal6"/>
              <w:rPr>
                <w:noProof/>
                <w:sz w:val="18"/>
                <w:lang w:eastAsia="en-US"/>
              </w:rPr>
            </w:pPr>
          </w:p>
        </w:tc>
        <w:tc>
          <w:tcPr>
            <w:tcW w:w="528" w:type="dxa"/>
            <w:vMerge/>
            <w:vAlign w:val="center"/>
            <w:hideMark/>
          </w:tcPr>
          <w:p w:rsidR="007D3698" w:rsidRPr="00AA1077" w:rsidRDefault="007D3698" w:rsidP="0097579A">
            <w:pPr>
              <w:pStyle w:val="Normal6"/>
              <w:rPr>
                <w:noProof/>
                <w:sz w:val="18"/>
                <w:lang w:eastAsia="en-US"/>
              </w:rPr>
            </w:pPr>
          </w:p>
        </w:tc>
        <w:tc>
          <w:tcPr>
            <w:tcW w:w="1609" w:type="dxa"/>
            <w:vMerge/>
            <w:vAlign w:val="center"/>
            <w:hideMark/>
          </w:tcPr>
          <w:p w:rsidR="007D3698" w:rsidRPr="00AA1077" w:rsidRDefault="007D3698" w:rsidP="0097579A">
            <w:pPr>
              <w:pStyle w:val="Normal6"/>
              <w:rPr>
                <w:noProof/>
                <w:sz w:val="18"/>
                <w:lang w:eastAsia="en-US"/>
              </w:rPr>
            </w:pPr>
          </w:p>
        </w:tc>
        <w:tc>
          <w:tcPr>
            <w:tcW w:w="743" w:type="dxa"/>
            <w:vMerge/>
            <w:vAlign w:val="center"/>
            <w:hideMark/>
          </w:tcPr>
          <w:p w:rsidR="007D3698" w:rsidRPr="00AA1077" w:rsidRDefault="007D3698" w:rsidP="0097579A">
            <w:pPr>
              <w:pStyle w:val="Normal6"/>
              <w:rPr>
                <w:noProof/>
                <w:sz w:val="18"/>
                <w:lang w:eastAsia="en-US"/>
              </w:rPr>
            </w:pPr>
          </w:p>
        </w:tc>
        <w:tc>
          <w:tcPr>
            <w:tcW w:w="1856" w:type="dxa"/>
            <w:noWrap/>
            <w:hideMark/>
          </w:tcPr>
          <w:p w:rsidR="007D3698" w:rsidRPr="00AA1077" w:rsidRDefault="007D3698" w:rsidP="0097579A">
            <w:pPr>
              <w:pStyle w:val="Normal6"/>
              <w:rPr>
                <w:noProof/>
                <w:sz w:val="18"/>
              </w:rPr>
            </w:pPr>
            <w:r>
              <w:rPr>
                <w:sz w:val="18"/>
              </w:rPr>
              <w:t>Ultrapériphériques et à faible densité de population</w:t>
            </w:r>
          </w:p>
        </w:tc>
        <w:tc>
          <w:tcPr>
            <w:tcW w:w="1560" w:type="dxa"/>
            <w:vMerge/>
            <w:vAlign w:val="center"/>
            <w:hideMark/>
          </w:tcPr>
          <w:p w:rsidR="007D3698" w:rsidRPr="00AA1077" w:rsidRDefault="007D3698" w:rsidP="0097579A">
            <w:pPr>
              <w:pStyle w:val="Normal6"/>
              <w:rPr>
                <w:noProof/>
                <w:sz w:val="18"/>
                <w:lang w:eastAsia="en-US"/>
              </w:rPr>
            </w:pPr>
          </w:p>
        </w:tc>
      </w:tr>
      <w:tr w:rsidR="007D3698" w:rsidRPr="00AA1077" w:rsidTr="0097579A">
        <w:tblPrEx>
          <w:jc w:val="left"/>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vAlign w:val="center"/>
            <w:hideMark/>
          </w:tcPr>
          <w:p w:rsidR="007D3698" w:rsidRPr="00AA1077" w:rsidRDefault="007D3698" w:rsidP="0097579A">
            <w:pPr>
              <w:pStyle w:val="Normal6"/>
              <w:rPr>
                <w:noProof/>
                <w:sz w:val="18"/>
                <w:lang w:eastAsia="en-US"/>
              </w:rPr>
            </w:pPr>
          </w:p>
        </w:tc>
        <w:tc>
          <w:tcPr>
            <w:tcW w:w="2503" w:type="dxa"/>
            <w:vMerge/>
            <w:vAlign w:val="center"/>
            <w:hideMark/>
          </w:tcPr>
          <w:p w:rsidR="007D3698" w:rsidRPr="00AA1077" w:rsidRDefault="007D3698" w:rsidP="0097579A">
            <w:pPr>
              <w:pStyle w:val="Normal6"/>
              <w:rPr>
                <w:noProof/>
                <w:sz w:val="18"/>
                <w:lang w:eastAsia="en-US"/>
              </w:rPr>
            </w:pPr>
          </w:p>
        </w:tc>
        <w:tc>
          <w:tcPr>
            <w:tcW w:w="528" w:type="dxa"/>
            <w:vMerge/>
            <w:vAlign w:val="center"/>
            <w:hideMark/>
          </w:tcPr>
          <w:p w:rsidR="007D3698" w:rsidRPr="00AA1077" w:rsidRDefault="007D3698" w:rsidP="0097579A">
            <w:pPr>
              <w:pStyle w:val="Normal6"/>
              <w:rPr>
                <w:noProof/>
                <w:sz w:val="18"/>
                <w:lang w:eastAsia="en-US"/>
              </w:rPr>
            </w:pPr>
          </w:p>
        </w:tc>
        <w:tc>
          <w:tcPr>
            <w:tcW w:w="1609" w:type="dxa"/>
            <w:vMerge/>
            <w:vAlign w:val="center"/>
            <w:hideMark/>
          </w:tcPr>
          <w:p w:rsidR="007D3698" w:rsidRPr="00AA1077" w:rsidRDefault="007D3698" w:rsidP="0097579A">
            <w:pPr>
              <w:pStyle w:val="Normal6"/>
              <w:rPr>
                <w:noProof/>
                <w:sz w:val="18"/>
                <w:lang w:eastAsia="en-US"/>
              </w:rPr>
            </w:pPr>
          </w:p>
        </w:tc>
        <w:tc>
          <w:tcPr>
            <w:tcW w:w="743" w:type="dxa"/>
            <w:vMerge/>
            <w:vAlign w:val="center"/>
            <w:hideMark/>
          </w:tcPr>
          <w:p w:rsidR="007D3698" w:rsidRPr="00AA1077" w:rsidRDefault="007D3698" w:rsidP="0097579A">
            <w:pPr>
              <w:pStyle w:val="Normal6"/>
              <w:rPr>
                <w:noProof/>
                <w:sz w:val="18"/>
                <w:lang w:eastAsia="en-US"/>
              </w:rPr>
            </w:pPr>
          </w:p>
        </w:tc>
        <w:tc>
          <w:tcPr>
            <w:tcW w:w="1856" w:type="dxa"/>
            <w:noWrap/>
            <w:hideMark/>
          </w:tcPr>
          <w:p w:rsidR="007D3698" w:rsidRPr="00AA1077" w:rsidRDefault="007D3698" w:rsidP="0097579A">
            <w:pPr>
              <w:pStyle w:val="Normal6"/>
              <w:rPr>
                <w:noProof/>
                <w:sz w:val="18"/>
              </w:rPr>
            </w:pPr>
            <w:r>
              <w:rPr>
                <w:sz w:val="18"/>
              </w:rPr>
              <w:t>Plus</w:t>
            </w:r>
          </w:p>
        </w:tc>
        <w:tc>
          <w:tcPr>
            <w:tcW w:w="1560" w:type="dxa"/>
            <w:hideMark/>
          </w:tcPr>
          <w:p w:rsidR="007D3698" w:rsidRPr="00AA1077" w:rsidRDefault="007D3698" w:rsidP="0097579A">
            <w:pPr>
              <w:pStyle w:val="Normal6"/>
              <w:rPr>
                <w:noProof/>
                <w:sz w:val="18"/>
              </w:rPr>
            </w:pPr>
            <w:r>
              <w:rPr>
                <w:sz w:val="18"/>
              </w:rPr>
              <w:t>OS 3</w:t>
            </w:r>
          </w:p>
        </w:tc>
      </w:tr>
      <w:tr w:rsidR="007D3698" w:rsidRPr="00AA1077" w:rsidTr="0097579A">
        <w:tblPrEx>
          <w:jc w:val="left"/>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val="restart"/>
            <w:noWrap/>
            <w:hideMark/>
          </w:tcPr>
          <w:p w:rsidR="007D3698" w:rsidRPr="00AA1077" w:rsidRDefault="007D3698" w:rsidP="0097579A">
            <w:pPr>
              <w:pStyle w:val="Normal6"/>
              <w:rPr>
                <w:noProof/>
                <w:sz w:val="18"/>
              </w:rPr>
            </w:pPr>
            <w:r>
              <w:rPr>
                <w:sz w:val="18"/>
              </w:rPr>
              <w:t>2</w:t>
            </w:r>
          </w:p>
        </w:tc>
        <w:tc>
          <w:tcPr>
            <w:tcW w:w="2503" w:type="dxa"/>
            <w:vMerge w:val="restart"/>
            <w:noWrap/>
            <w:hideMark/>
          </w:tcPr>
          <w:p w:rsidR="007D3698" w:rsidRPr="00AA1077" w:rsidRDefault="007D3698" w:rsidP="0097579A">
            <w:pPr>
              <w:pStyle w:val="Normal6"/>
              <w:rPr>
                <w:noProof/>
                <w:sz w:val="18"/>
              </w:rPr>
            </w:pPr>
            <w:r>
              <w:rPr>
                <w:sz w:val="18"/>
              </w:rPr>
              <w:t>Priorité 2</w:t>
            </w:r>
          </w:p>
        </w:tc>
        <w:tc>
          <w:tcPr>
            <w:tcW w:w="528" w:type="dxa"/>
            <w:vMerge w:val="restart"/>
            <w:noWrap/>
            <w:hideMark/>
          </w:tcPr>
          <w:p w:rsidR="007D3698" w:rsidRPr="00AA1077" w:rsidRDefault="007D3698" w:rsidP="0097579A">
            <w:pPr>
              <w:pStyle w:val="Normal6"/>
              <w:rPr>
                <w:noProof/>
                <w:sz w:val="18"/>
              </w:rPr>
            </w:pPr>
            <w:r>
              <w:rPr>
                <w:sz w:val="18"/>
              </w:rPr>
              <w:t>Non</w:t>
            </w:r>
          </w:p>
        </w:tc>
        <w:tc>
          <w:tcPr>
            <w:tcW w:w="1609" w:type="dxa"/>
            <w:vMerge w:val="restart"/>
            <w:noWrap/>
          </w:tcPr>
          <w:p w:rsidR="007D3698" w:rsidRPr="00AA1077" w:rsidRDefault="007D3698" w:rsidP="0097579A">
            <w:pPr>
              <w:pStyle w:val="Normal6"/>
              <w:rPr>
                <w:noProof/>
                <w:sz w:val="18"/>
              </w:rPr>
            </w:pPr>
          </w:p>
        </w:tc>
        <w:tc>
          <w:tcPr>
            <w:tcW w:w="743" w:type="dxa"/>
            <w:vMerge w:val="restart"/>
            <w:noWrap/>
            <w:hideMark/>
          </w:tcPr>
          <w:p w:rsidR="007D3698" w:rsidRPr="00AA1077" w:rsidRDefault="007D3698" w:rsidP="0097579A">
            <w:pPr>
              <w:pStyle w:val="Normal6"/>
              <w:rPr>
                <w:noProof/>
                <w:sz w:val="18"/>
              </w:rPr>
            </w:pPr>
            <w:r>
              <w:rPr>
                <w:sz w:val="18"/>
              </w:rPr>
              <w:t>FSE+</w:t>
            </w:r>
          </w:p>
        </w:tc>
        <w:tc>
          <w:tcPr>
            <w:tcW w:w="1856" w:type="dxa"/>
            <w:noWrap/>
            <w:hideMark/>
          </w:tcPr>
          <w:p w:rsidR="007D3698" w:rsidRPr="00AA1077" w:rsidRDefault="007D3698" w:rsidP="0097579A">
            <w:pPr>
              <w:pStyle w:val="Normal6"/>
              <w:rPr>
                <w:noProof/>
                <w:sz w:val="18"/>
              </w:rPr>
            </w:pPr>
            <w:r>
              <w:rPr>
                <w:sz w:val="18"/>
              </w:rPr>
              <w:t>Plus</w:t>
            </w:r>
          </w:p>
        </w:tc>
        <w:tc>
          <w:tcPr>
            <w:tcW w:w="1560" w:type="dxa"/>
            <w:vMerge w:val="restart"/>
          </w:tcPr>
          <w:p w:rsidR="007D3698" w:rsidRPr="00AA1077" w:rsidRDefault="007D3698" w:rsidP="0097579A">
            <w:pPr>
              <w:pStyle w:val="Normal6"/>
              <w:rPr>
                <w:noProof/>
                <w:sz w:val="18"/>
              </w:rPr>
            </w:pPr>
            <w:r>
              <w:rPr>
                <w:sz w:val="18"/>
              </w:rPr>
              <w:t>OS 4</w:t>
            </w:r>
          </w:p>
        </w:tc>
      </w:tr>
      <w:tr w:rsidR="007D3698" w:rsidRPr="00AA1077" w:rsidTr="0097579A">
        <w:tblPrEx>
          <w:jc w:val="left"/>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vAlign w:val="center"/>
            <w:hideMark/>
          </w:tcPr>
          <w:p w:rsidR="007D3698" w:rsidRPr="00AA1077" w:rsidRDefault="007D3698" w:rsidP="0097579A">
            <w:pPr>
              <w:pStyle w:val="Normal6"/>
              <w:rPr>
                <w:noProof/>
                <w:sz w:val="18"/>
                <w:lang w:eastAsia="en-US"/>
              </w:rPr>
            </w:pPr>
          </w:p>
        </w:tc>
        <w:tc>
          <w:tcPr>
            <w:tcW w:w="2503" w:type="dxa"/>
            <w:vMerge/>
            <w:vAlign w:val="center"/>
            <w:hideMark/>
          </w:tcPr>
          <w:p w:rsidR="007D3698" w:rsidRPr="00AA1077" w:rsidRDefault="007D3698" w:rsidP="0097579A">
            <w:pPr>
              <w:pStyle w:val="Normal6"/>
              <w:rPr>
                <w:noProof/>
                <w:sz w:val="18"/>
                <w:lang w:eastAsia="en-US"/>
              </w:rPr>
            </w:pPr>
          </w:p>
        </w:tc>
        <w:tc>
          <w:tcPr>
            <w:tcW w:w="528" w:type="dxa"/>
            <w:vMerge/>
            <w:vAlign w:val="center"/>
            <w:hideMark/>
          </w:tcPr>
          <w:p w:rsidR="007D3698" w:rsidRPr="00AA1077" w:rsidRDefault="007D3698" w:rsidP="0097579A">
            <w:pPr>
              <w:pStyle w:val="Normal6"/>
              <w:rPr>
                <w:noProof/>
                <w:sz w:val="18"/>
                <w:lang w:eastAsia="en-US"/>
              </w:rPr>
            </w:pPr>
          </w:p>
        </w:tc>
        <w:tc>
          <w:tcPr>
            <w:tcW w:w="1609" w:type="dxa"/>
            <w:vMerge/>
            <w:vAlign w:val="center"/>
            <w:hideMark/>
          </w:tcPr>
          <w:p w:rsidR="007D3698" w:rsidRPr="00AA1077" w:rsidRDefault="007D3698" w:rsidP="0097579A">
            <w:pPr>
              <w:pStyle w:val="Normal6"/>
              <w:rPr>
                <w:noProof/>
                <w:sz w:val="18"/>
                <w:lang w:eastAsia="en-US"/>
              </w:rPr>
            </w:pPr>
          </w:p>
        </w:tc>
        <w:tc>
          <w:tcPr>
            <w:tcW w:w="743" w:type="dxa"/>
            <w:vMerge/>
            <w:vAlign w:val="center"/>
            <w:hideMark/>
          </w:tcPr>
          <w:p w:rsidR="007D3698" w:rsidRPr="00AA1077" w:rsidRDefault="007D3698" w:rsidP="0097579A">
            <w:pPr>
              <w:pStyle w:val="Normal6"/>
              <w:rPr>
                <w:noProof/>
                <w:sz w:val="18"/>
                <w:lang w:eastAsia="en-US"/>
              </w:rPr>
            </w:pPr>
          </w:p>
        </w:tc>
        <w:tc>
          <w:tcPr>
            <w:tcW w:w="1856" w:type="dxa"/>
            <w:noWrap/>
            <w:hideMark/>
          </w:tcPr>
          <w:p w:rsidR="007D3698" w:rsidRPr="00AA1077" w:rsidRDefault="007D3698" w:rsidP="0097579A">
            <w:pPr>
              <w:pStyle w:val="Normal6"/>
              <w:rPr>
                <w:noProof/>
                <w:sz w:val="18"/>
              </w:rPr>
            </w:pPr>
            <w:r>
              <w:rPr>
                <w:sz w:val="18"/>
              </w:rPr>
              <w:t>En transition</w:t>
            </w:r>
          </w:p>
        </w:tc>
        <w:tc>
          <w:tcPr>
            <w:tcW w:w="1560" w:type="dxa"/>
            <w:vMerge/>
            <w:vAlign w:val="center"/>
            <w:hideMark/>
          </w:tcPr>
          <w:p w:rsidR="007D3698" w:rsidRPr="00AA1077" w:rsidRDefault="007D3698" w:rsidP="0097579A">
            <w:pPr>
              <w:pStyle w:val="Normal6"/>
              <w:rPr>
                <w:noProof/>
                <w:sz w:val="18"/>
                <w:lang w:eastAsia="en-US"/>
              </w:rPr>
            </w:pPr>
          </w:p>
        </w:tc>
      </w:tr>
      <w:tr w:rsidR="007D3698" w:rsidRPr="00AA1077" w:rsidTr="0097579A">
        <w:tblPrEx>
          <w:jc w:val="left"/>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vAlign w:val="center"/>
            <w:hideMark/>
          </w:tcPr>
          <w:p w:rsidR="007D3698" w:rsidRPr="00AA1077" w:rsidRDefault="007D3698" w:rsidP="0097579A">
            <w:pPr>
              <w:pStyle w:val="Normal6"/>
              <w:rPr>
                <w:noProof/>
                <w:sz w:val="18"/>
                <w:lang w:eastAsia="en-US"/>
              </w:rPr>
            </w:pPr>
          </w:p>
        </w:tc>
        <w:tc>
          <w:tcPr>
            <w:tcW w:w="2503" w:type="dxa"/>
            <w:vMerge/>
            <w:vAlign w:val="center"/>
            <w:hideMark/>
          </w:tcPr>
          <w:p w:rsidR="007D3698" w:rsidRPr="00AA1077" w:rsidRDefault="007D3698" w:rsidP="0097579A">
            <w:pPr>
              <w:pStyle w:val="Normal6"/>
              <w:rPr>
                <w:noProof/>
                <w:sz w:val="18"/>
                <w:lang w:eastAsia="en-US"/>
              </w:rPr>
            </w:pPr>
          </w:p>
        </w:tc>
        <w:tc>
          <w:tcPr>
            <w:tcW w:w="528" w:type="dxa"/>
            <w:vMerge/>
            <w:vAlign w:val="center"/>
            <w:hideMark/>
          </w:tcPr>
          <w:p w:rsidR="007D3698" w:rsidRPr="00AA1077" w:rsidRDefault="007D3698" w:rsidP="0097579A">
            <w:pPr>
              <w:pStyle w:val="Normal6"/>
              <w:rPr>
                <w:noProof/>
                <w:sz w:val="18"/>
                <w:lang w:eastAsia="en-US"/>
              </w:rPr>
            </w:pPr>
          </w:p>
        </w:tc>
        <w:tc>
          <w:tcPr>
            <w:tcW w:w="1609" w:type="dxa"/>
            <w:vMerge/>
            <w:vAlign w:val="center"/>
            <w:hideMark/>
          </w:tcPr>
          <w:p w:rsidR="007D3698" w:rsidRPr="00AA1077" w:rsidRDefault="007D3698" w:rsidP="0097579A">
            <w:pPr>
              <w:pStyle w:val="Normal6"/>
              <w:rPr>
                <w:noProof/>
                <w:sz w:val="18"/>
                <w:lang w:eastAsia="en-US"/>
              </w:rPr>
            </w:pPr>
          </w:p>
        </w:tc>
        <w:tc>
          <w:tcPr>
            <w:tcW w:w="743" w:type="dxa"/>
            <w:vMerge/>
            <w:vAlign w:val="center"/>
            <w:hideMark/>
          </w:tcPr>
          <w:p w:rsidR="007D3698" w:rsidRPr="00AA1077" w:rsidRDefault="007D3698" w:rsidP="0097579A">
            <w:pPr>
              <w:pStyle w:val="Normal6"/>
              <w:rPr>
                <w:noProof/>
                <w:sz w:val="18"/>
                <w:lang w:eastAsia="en-US"/>
              </w:rPr>
            </w:pPr>
          </w:p>
        </w:tc>
        <w:tc>
          <w:tcPr>
            <w:tcW w:w="1856" w:type="dxa"/>
            <w:noWrap/>
            <w:hideMark/>
          </w:tcPr>
          <w:p w:rsidR="007D3698" w:rsidRPr="00AA1077" w:rsidRDefault="007D3698" w:rsidP="0097579A">
            <w:pPr>
              <w:pStyle w:val="Normal6"/>
              <w:rPr>
                <w:noProof/>
                <w:sz w:val="18"/>
              </w:rPr>
            </w:pPr>
            <w:r>
              <w:rPr>
                <w:sz w:val="18"/>
              </w:rPr>
              <w:t>Moins développées</w:t>
            </w:r>
          </w:p>
        </w:tc>
        <w:tc>
          <w:tcPr>
            <w:tcW w:w="1560" w:type="dxa"/>
            <w:vMerge w:val="restart"/>
            <w:hideMark/>
          </w:tcPr>
          <w:p w:rsidR="007D3698" w:rsidRPr="00AA1077" w:rsidRDefault="007D3698" w:rsidP="0097579A">
            <w:pPr>
              <w:pStyle w:val="Normal6"/>
              <w:rPr>
                <w:noProof/>
                <w:sz w:val="18"/>
              </w:rPr>
            </w:pPr>
            <w:r>
              <w:rPr>
                <w:sz w:val="18"/>
              </w:rPr>
              <w:t>OS 5</w:t>
            </w:r>
          </w:p>
        </w:tc>
      </w:tr>
      <w:tr w:rsidR="007D3698" w:rsidRPr="00AA1077" w:rsidTr="0097579A">
        <w:tblPrEx>
          <w:jc w:val="left"/>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vAlign w:val="center"/>
            <w:hideMark/>
          </w:tcPr>
          <w:p w:rsidR="007D3698" w:rsidRPr="00AA1077" w:rsidRDefault="007D3698" w:rsidP="0097579A">
            <w:pPr>
              <w:pStyle w:val="Normal6"/>
              <w:rPr>
                <w:noProof/>
                <w:sz w:val="18"/>
                <w:lang w:eastAsia="en-US"/>
              </w:rPr>
            </w:pPr>
          </w:p>
        </w:tc>
        <w:tc>
          <w:tcPr>
            <w:tcW w:w="2503" w:type="dxa"/>
            <w:vMerge/>
            <w:vAlign w:val="center"/>
            <w:hideMark/>
          </w:tcPr>
          <w:p w:rsidR="007D3698" w:rsidRPr="00AA1077" w:rsidRDefault="007D3698" w:rsidP="0097579A">
            <w:pPr>
              <w:pStyle w:val="Normal6"/>
              <w:rPr>
                <w:noProof/>
                <w:sz w:val="18"/>
                <w:lang w:eastAsia="en-US"/>
              </w:rPr>
            </w:pPr>
          </w:p>
        </w:tc>
        <w:tc>
          <w:tcPr>
            <w:tcW w:w="528" w:type="dxa"/>
            <w:vMerge/>
            <w:vAlign w:val="center"/>
            <w:hideMark/>
          </w:tcPr>
          <w:p w:rsidR="007D3698" w:rsidRPr="00AA1077" w:rsidRDefault="007D3698" w:rsidP="0097579A">
            <w:pPr>
              <w:pStyle w:val="Normal6"/>
              <w:rPr>
                <w:noProof/>
                <w:sz w:val="18"/>
                <w:lang w:eastAsia="en-US"/>
              </w:rPr>
            </w:pPr>
          </w:p>
        </w:tc>
        <w:tc>
          <w:tcPr>
            <w:tcW w:w="1609" w:type="dxa"/>
            <w:vMerge/>
            <w:vAlign w:val="center"/>
            <w:hideMark/>
          </w:tcPr>
          <w:p w:rsidR="007D3698" w:rsidRPr="00AA1077" w:rsidRDefault="007D3698" w:rsidP="0097579A">
            <w:pPr>
              <w:pStyle w:val="Normal6"/>
              <w:rPr>
                <w:noProof/>
                <w:sz w:val="18"/>
                <w:lang w:eastAsia="en-US"/>
              </w:rPr>
            </w:pPr>
          </w:p>
        </w:tc>
        <w:tc>
          <w:tcPr>
            <w:tcW w:w="743" w:type="dxa"/>
            <w:vMerge/>
            <w:vAlign w:val="center"/>
            <w:hideMark/>
          </w:tcPr>
          <w:p w:rsidR="007D3698" w:rsidRPr="00AA1077" w:rsidRDefault="007D3698" w:rsidP="0097579A">
            <w:pPr>
              <w:pStyle w:val="Normal6"/>
              <w:rPr>
                <w:noProof/>
                <w:sz w:val="18"/>
                <w:lang w:eastAsia="en-US"/>
              </w:rPr>
            </w:pPr>
          </w:p>
        </w:tc>
        <w:tc>
          <w:tcPr>
            <w:tcW w:w="1856" w:type="dxa"/>
            <w:noWrap/>
            <w:hideMark/>
          </w:tcPr>
          <w:p w:rsidR="007D3698" w:rsidRPr="00AA1077" w:rsidRDefault="007D3698" w:rsidP="0097579A">
            <w:pPr>
              <w:pStyle w:val="Normal6"/>
              <w:rPr>
                <w:noProof/>
                <w:sz w:val="18"/>
              </w:rPr>
            </w:pPr>
            <w:r>
              <w:rPr>
                <w:sz w:val="18"/>
              </w:rPr>
              <w:t>Ultrapériphériques</w:t>
            </w:r>
          </w:p>
        </w:tc>
        <w:tc>
          <w:tcPr>
            <w:tcW w:w="1560" w:type="dxa"/>
            <w:vMerge/>
            <w:vAlign w:val="center"/>
            <w:hideMark/>
          </w:tcPr>
          <w:p w:rsidR="007D3698" w:rsidRPr="00AA1077" w:rsidRDefault="007D3698" w:rsidP="0097579A">
            <w:pPr>
              <w:pStyle w:val="Normal6"/>
              <w:rPr>
                <w:noProof/>
                <w:sz w:val="18"/>
                <w:lang w:eastAsia="en-US"/>
              </w:rPr>
            </w:pPr>
          </w:p>
        </w:tc>
      </w:tr>
      <w:tr w:rsidR="007D3698" w:rsidRPr="00AA1077" w:rsidTr="0097579A">
        <w:tblPrEx>
          <w:jc w:val="left"/>
          <w:tblCellMar>
            <w:left w:w="108" w:type="dxa"/>
            <w:right w:w="108" w:type="dxa"/>
          </w:tblCellMar>
          <w:tblLook w:val="04A0" w:firstRow="1" w:lastRow="0" w:firstColumn="1" w:lastColumn="0" w:noHBand="0" w:noVBand="1"/>
        </w:tblPrEx>
        <w:trPr>
          <w:gridAfter w:val="1"/>
          <w:wAfter w:w="44" w:type="dxa"/>
          <w:trHeight w:val="300"/>
        </w:trPr>
        <w:tc>
          <w:tcPr>
            <w:tcW w:w="841" w:type="dxa"/>
            <w:gridSpan w:val="2"/>
            <w:noWrap/>
            <w:hideMark/>
          </w:tcPr>
          <w:p w:rsidR="007D3698" w:rsidRPr="00AA1077" w:rsidRDefault="007D3698" w:rsidP="0097579A">
            <w:pPr>
              <w:pStyle w:val="Normal6"/>
              <w:rPr>
                <w:noProof/>
                <w:sz w:val="18"/>
              </w:rPr>
            </w:pPr>
            <w:r>
              <w:rPr>
                <w:sz w:val="18"/>
              </w:rPr>
              <w:t>3</w:t>
            </w:r>
          </w:p>
        </w:tc>
        <w:tc>
          <w:tcPr>
            <w:tcW w:w="2503" w:type="dxa"/>
            <w:noWrap/>
            <w:hideMark/>
          </w:tcPr>
          <w:p w:rsidR="007D3698" w:rsidRPr="00AA1077" w:rsidRDefault="007D3698" w:rsidP="0097579A">
            <w:pPr>
              <w:pStyle w:val="Normal6"/>
              <w:rPr>
                <w:noProof/>
                <w:sz w:val="18"/>
              </w:rPr>
            </w:pPr>
            <w:r>
              <w:rPr>
                <w:sz w:val="18"/>
              </w:rPr>
              <w:t>Priorité 3</w:t>
            </w:r>
          </w:p>
        </w:tc>
        <w:tc>
          <w:tcPr>
            <w:tcW w:w="528" w:type="dxa"/>
            <w:noWrap/>
            <w:hideMark/>
          </w:tcPr>
          <w:p w:rsidR="007D3698" w:rsidRPr="00AA1077" w:rsidRDefault="007D3698" w:rsidP="0097579A">
            <w:pPr>
              <w:pStyle w:val="Normal6"/>
              <w:rPr>
                <w:noProof/>
                <w:sz w:val="18"/>
              </w:rPr>
            </w:pPr>
            <w:r>
              <w:rPr>
                <w:sz w:val="18"/>
              </w:rPr>
              <w:t>Non</w:t>
            </w:r>
          </w:p>
        </w:tc>
        <w:tc>
          <w:tcPr>
            <w:tcW w:w="1609" w:type="dxa"/>
            <w:noWrap/>
          </w:tcPr>
          <w:p w:rsidR="007D3698" w:rsidRPr="00AA1077" w:rsidRDefault="007D3698" w:rsidP="0097579A">
            <w:pPr>
              <w:pStyle w:val="Normal6"/>
              <w:rPr>
                <w:noProof/>
                <w:sz w:val="18"/>
              </w:rPr>
            </w:pPr>
          </w:p>
        </w:tc>
        <w:tc>
          <w:tcPr>
            <w:tcW w:w="743" w:type="dxa"/>
            <w:noWrap/>
            <w:hideMark/>
          </w:tcPr>
          <w:p w:rsidR="007D3698" w:rsidRPr="00AA1077" w:rsidRDefault="007D3698" w:rsidP="0097579A">
            <w:pPr>
              <w:pStyle w:val="Normal6"/>
              <w:rPr>
                <w:noProof/>
                <w:sz w:val="18"/>
              </w:rPr>
            </w:pPr>
            <w:r>
              <w:rPr>
                <w:sz w:val="18"/>
              </w:rPr>
              <w:t>FC</w:t>
            </w:r>
          </w:p>
        </w:tc>
        <w:tc>
          <w:tcPr>
            <w:tcW w:w="1856" w:type="dxa"/>
            <w:noWrap/>
            <w:hideMark/>
          </w:tcPr>
          <w:p w:rsidR="007D3698" w:rsidRPr="00AA1077" w:rsidRDefault="007D3698" w:rsidP="0097579A">
            <w:pPr>
              <w:pStyle w:val="Normal6"/>
              <w:rPr>
                <w:noProof/>
                <w:sz w:val="18"/>
              </w:rPr>
            </w:pPr>
            <w:r>
              <w:rPr>
                <w:sz w:val="18"/>
              </w:rPr>
              <w:t>S.O.</w:t>
            </w:r>
          </w:p>
        </w:tc>
        <w:tc>
          <w:tcPr>
            <w:tcW w:w="1560" w:type="dxa"/>
          </w:tcPr>
          <w:p w:rsidR="007D3698" w:rsidRPr="00AA1077" w:rsidRDefault="007D3698" w:rsidP="0097579A">
            <w:pPr>
              <w:pStyle w:val="Normal6"/>
              <w:rPr>
                <w:noProof/>
                <w:sz w:val="18"/>
              </w:rPr>
            </w:pPr>
          </w:p>
        </w:tc>
      </w:tr>
      <w:tr w:rsidR="007D3698" w:rsidRPr="00AA1077" w:rsidTr="0097579A">
        <w:tblPrEx>
          <w:jc w:val="left"/>
          <w:tblCellMar>
            <w:left w:w="108" w:type="dxa"/>
            <w:right w:w="108" w:type="dxa"/>
          </w:tblCellMar>
          <w:tblLook w:val="04A0" w:firstRow="1" w:lastRow="0" w:firstColumn="1" w:lastColumn="0" w:noHBand="0" w:noVBand="1"/>
        </w:tblPrEx>
        <w:trPr>
          <w:gridAfter w:val="1"/>
          <w:wAfter w:w="44" w:type="dxa"/>
          <w:trHeight w:val="610"/>
        </w:trPr>
        <w:tc>
          <w:tcPr>
            <w:tcW w:w="841" w:type="dxa"/>
            <w:gridSpan w:val="2"/>
            <w:noWrap/>
            <w:hideMark/>
          </w:tcPr>
          <w:p w:rsidR="007D3698" w:rsidRPr="00AA1077" w:rsidRDefault="007D3698" w:rsidP="0097579A">
            <w:pPr>
              <w:pStyle w:val="Normal6"/>
              <w:rPr>
                <w:noProof/>
                <w:sz w:val="18"/>
              </w:rPr>
            </w:pPr>
            <w:r>
              <w:rPr>
                <w:sz w:val="18"/>
              </w:rPr>
              <w:t>3</w:t>
            </w:r>
          </w:p>
        </w:tc>
        <w:tc>
          <w:tcPr>
            <w:tcW w:w="2503" w:type="dxa"/>
            <w:noWrap/>
            <w:hideMark/>
          </w:tcPr>
          <w:p w:rsidR="007D3698" w:rsidRPr="00AA1077" w:rsidRDefault="007D3698" w:rsidP="0097579A">
            <w:pPr>
              <w:pStyle w:val="Normal6"/>
              <w:rPr>
                <w:noProof/>
                <w:sz w:val="18"/>
              </w:rPr>
            </w:pPr>
            <w:r>
              <w:rPr>
                <w:sz w:val="18"/>
              </w:rPr>
              <w:t>Priorité assistance technique</w:t>
            </w:r>
          </w:p>
        </w:tc>
        <w:tc>
          <w:tcPr>
            <w:tcW w:w="528" w:type="dxa"/>
            <w:noWrap/>
            <w:hideMark/>
          </w:tcPr>
          <w:p w:rsidR="007D3698" w:rsidRPr="00AA1077" w:rsidRDefault="007D3698" w:rsidP="0097579A">
            <w:pPr>
              <w:pStyle w:val="Normal6"/>
              <w:rPr>
                <w:noProof/>
                <w:sz w:val="18"/>
              </w:rPr>
            </w:pPr>
            <w:r>
              <w:rPr>
                <w:sz w:val="18"/>
              </w:rPr>
              <w:t>Oui</w:t>
            </w:r>
          </w:p>
        </w:tc>
        <w:tc>
          <w:tcPr>
            <w:tcW w:w="1609" w:type="dxa"/>
            <w:noWrap/>
          </w:tcPr>
          <w:p w:rsidR="007D3698" w:rsidRPr="00AA1077" w:rsidRDefault="007D3698" w:rsidP="0097579A">
            <w:pPr>
              <w:pStyle w:val="Normal6"/>
              <w:rPr>
                <w:noProof/>
                <w:sz w:val="18"/>
              </w:rPr>
            </w:pPr>
          </w:p>
        </w:tc>
        <w:tc>
          <w:tcPr>
            <w:tcW w:w="743" w:type="dxa"/>
            <w:noWrap/>
          </w:tcPr>
          <w:p w:rsidR="007D3698" w:rsidRPr="00AA1077" w:rsidRDefault="007D3698" w:rsidP="0097579A">
            <w:pPr>
              <w:pStyle w:val="Normal6"/>
              <w:rPr>
                <w:noProof/>
                <w:sz w:val="18"/>
              </w:rPr>
            </w:pPr>
          </w:p>
        </w:tc>
        <w:tc>
          <w:tcPr>
            <w:tcW w:w="1856" w:type="dxa"/>
            <w:noWrap/>
            <w:hideMark/>
          </w:tcPr>
          <w:p w:rsidR="007D3698" w:rsidRPr="00AA1077" w:rsidRDefault="007D3698" w:rsidP="0097579A">
            <w:pPr>
              <w:pStyle w:val="Normal6"/>
              <w:rPr>
                <w:noProof/>
                <w:sz w:val="18"/>
              </w:rPr>
            </w:pPr>
          </w:p>
        </w:tc>
        <w:tc>
          <w:tcPr>
            <w:tcW w:w="1560" w:type="dxa"/>
          </w:tcPr>
          <w:p w:rsidR="007D3698" w:rsidRPr="00AA1077" w:rsidRDefault="007D3698" w:rsidP="0097579A">
            <w:pPr>
              <w:pStyle w:val="Normal6"/>
              <w:rPr>
                <w:noProof/>
                <w:sz w:val="18"/>
              </w:rPr>
            </w:pPr>
            <w:r>
              <w:rPr>
                <w:sz w:val="18"/>
              </w:rPr>
              <w:t>S.O.</w:t>
            </w:r>
          </w:p>
        </w:tc>
      </w:tr>
      <w:tr w:rsidR="007D3698" w:rsidRPr="00AA1077" w:rsidTr="0097579A">
        <w:tblPrEx>
          <w:jc w:val="left"/>
          <w:tblCellMar>
            <w:left w:w="108" w:type="dxa"/>
            <w:right w:w="108" w:type="dxa"/>
          </w:tblCellMar>
          <w:tblLook w:val="04A0" w:firstRow="1" w:lastRow="0" w:firstColumn="1" w:lastColumn="0" w:noHBand="0" w:noVBand="1"/>
        </w:tblPrEx>
        <w:trPr>
          <w:gridAfter w:val="1"/>
          <w:wAfter w:w="44" w:type="dxa"/>
          <w:trHeight w:val="300"/>
        </w:trPr>
        <w:tc>
          <w:tcPr>
            <w:tcW w:w="841" w:type="dxa"/>
            <w:gridSpan w:val="2"/>
            <w:noWrap/>
            <w:hideMark/>
          </w:tcPr>
          <w:p w:rsidR="007D3698" w:rsidRPr="00AA1077" w:rsidRDefault="007D3698" w:rsidP="0097579A">
            <w:pPr>
              <w:pStyle w:val="Normal6"/>
              <w:rPr>
                <w:noProof/>
                <w:sz w:val="18"/>
              </w:rPr>
            </w:pPr>
            <w:r>
              <w:rPr>
                <w:sz w:val="18"/>
              </w:rPr>
              <w:t>..</w:t>
            </w:r>
          </w:p>
        </w:tc>
        <w:tc>
          <w:tcPr>
            <w:tcW w:w="2503" w:type="dxa"/>
            <w:noWrap/>
            <w:hideMark/>
          </w:tcPr>
          <w:p w:rsidR="007D3698" w:rsidRPr="00AA1077" w:rsidRDefault="007D3698" w:rsidP="0097579A">
            <w:pPr>
              <w:pStyle w:val="Normal6"/>
              <w:rPr>
                <w:noProof/>
                <w:sz w:val="18"/>
              </w:rPr>
            </w:pPr>
            <w:r>
              <w:rPr>
                <w:sz w:val="18"/>
              </w:rPr>
              <w:t>Priorité spécifique «Emploi des jeunes»</w:t>
            </w:r>
          </w:p>
        </w:tc>
        <w:tc>
          <w:tcPr>
            <w:tcW w:w="528" w:type="dxa"/>
            <w:noWrap/>
            <w:hideMark/>
          </w:tcPr>
          <w:p w:rsidR="007D3698" w:rsidRPr="00AA1077" w:rsidRDefault="007D3698" w:rsidP="0097579A">
            <w:pPr>
              <w:pStyle w:val="Normal6"/>
              <w:rPr>
                <w:noProof/>
                <w:sz w:val="18"/>
              </w:rPr>
            </w:pPr>
            <w:r>
              <w:rPr>
                <w:sz w:val="18"/>
              </w:rPr>
              <w:t>Non</w:t>
            </w:r>
          </w:p>
        </w:tc>
        <w:tc>
          <w:tcPr>
            <w:tcW w:w="1609" w:type="dxa"/>
            <w:noWrap/>
          </w:tcPr>
          <w:p w:rsidR="007D3698" w:rsidRPr="00AA1077" w:rsidRDefault="007D3698" w:rsidP="0097579A">
            <w:pPr>
              <w:pStyle w:val="Normal6"/>
              <w:rPr>
                <w:noProof/>
                <w:sz w:val="18"/>
              </w:rPr>
            </w:pPr>
          </w:p>
        </w:tc>
        <w:tc>
          <w:tcPr>
            <w:tcW w:w="743" w:type="dxa"/>
            <w:noWrap/>
            <w:hideMark/>
          </w:tcPr>
          <w:p w:rsidR="007D3698" w:rsidRPr="00AA1077" w:rsidRDefault="007D3698" w:rsidP="0097579A">
            <w:pPr>
              <w:pStyle w:val="Normal6"/>
              <w:rPr>
                <w:noProof/>
                <w:sz w:val="18"/>
              </w:rPr>
            </w:pPr>
            <w:r>
              <w:rPr>
                <w:sz w:val="18"/>
              </w:rPr>
              <w:t>FSE+</w:t>
            </w:r>
          </w:p>
        </w:tc>
        <w:tc>
          <w:tcPr>
            <w:tcW w:w="1856" w:type="dxa"/>
            <w:noWrap/>
          </w:tcPr>
          <w:p w:rsidR="007D3698" w:rsidRPr="00AA1077" w:rsidRDefault="007D3698" w:rsidP="0097579A">
            <w:pPr>
              <w:pStyle w:val="Normal6"/>
              <w:rPr>
                <w:noProof/>
                <w:sz w:val="18"/>
              </w:rPr>
            </w:pPr>
          </w:p>
        </w:tc>
        <w:tc>
          <w:tcPr>
            <w:tcW w:w="1560" w:type="dxa"/>
          </w:tcPr>
          <w:p w:rsidR="007D3698" w:rsidRPr="00AA1077" w:rsidRDefault="007D3698" w:rsidP="0097579A">
            <w:pPr>
              <w:pStyle w:val="Normal6"/>
              <w:rPr>
                <w:noProof/>
                <w:sz w:val="18"/>
              </w:rPr>
            </w:pPr>
          </w:p>
        </w:tc>
      </w:tr>
      <w:tr w:rsidR="007D3698" w:rsidRPr="00AA1077" w:rsidTr="0097579A">
        <w:tblPrEx>
          <w:jc w:val="left"/>
          <w:tblCellMar>
            <w:left w:w="108" w:type="dxa"/>
            <w:right w:w="108" w:type="dxa"/>
          </w:tblCellMar>
          <w:tblLook w:val="04A0" w:firstRow="1" w:lastRow="0" w:firstColumn="1" w:lastColumn="0" w:noHBand="0" w:noVBand="1"/>
        </w:tblPrEx>
        <w:trPr>
          <w:gridAfter w:val="1"/>
          <w:wAfter w:w="44" w:type="dxa"/>
          <w:trHeight w:val="300"/>
        </w:trPr>
        <w:tc>
          <w:tcPr>
            <w:tcW w:w="841" w:type="dxa"/>
            <w:gridSpan w:val="2"/>
            <w:noWrap/>
            <w:hideMark/>
          </w:tcPr>
          <w:p w:rsidR="007D3698" w:rsidRPr="00AA1077" w:rsidRDefault="007D3698" w:rsidP="0097579A">
            <w:pPr>
              <w:pStyle w:val="Normal6"/>
              <w:rPr>
                <w:noProof/>
                <w:sz w:val="18"/>
              </w:rPr>
            </w:pPr>
            <w:r>
              <w:rPr>
                <w:sz w:val="18"/>
              </w:rPr>
              <w:t>..</w:t>
            </w:r>
          </w:p>
        </w:tc>
        <w:tc>
          <w:tcPr>
            <w:tcW w:w="2503" w:type="dxa"/>
            <w:noWrap/>
            <w:hideMark/>
          </w:tcPr>
          <w:p w:rsidR="007D3698" w:rsidRPr="00AA1077" w:rsidRDefault="007D3698" w:rsidP="0097579A">
            <w:pPr>
              <w:pStyle w:val="Normal6"/>
              <w:rPr>
                <w:noProof/>
                <w:sz w:val="18"/>
              </w:rPr>
            </w:pPr>
            <w:r>
              <w:rPr>
                <w:sz w:val="18"/>
              </w:rPr>
              <w:t>Priorité spécifique «Recommandations par pays»</w:t>
            </w:r>
          </w:p>
        </w:tc>
        <w:tc>
          <w:tcPr>
            <w:tcW w:w="528" w:type="dxa"/>
            <w:noWrap/>
            <w:hideMark/>
          </w:tcPr>
          <w:p w:rsidR="007D3698" w:rsidRPr="00AA1077" w:rsidRDefault="007D3698" w:rsidP="0097579A">
            <w:pPr>
              <w:pStyle w:val="Normal6"/>
              <w:rPr>
                <w:noProof/>
                <w:sz w:val="18"/>
              </w:rPr>
            </w:pPr>
            <w:r>
              <w:rPr>
                <w:sz w:val="18"/>
              </w:rPr>
              <w:t>Non</w:t>
            </w:r>
          </w:p>
        </w:tc>
        <w:tc>
          <w:tcPr>
            <w:tcW w:w="1609" w:type="dxa"/>
            <w:noWrap/>
          </w:tcPr>
          <w:p w:rsidR="007D3698" w:rsidRPr="00AA1077" w:rsidRDefault="007D3698" w:rsidP="0097579A">
            <w:pPr>
              <w:pStyle w:val="Normal6"/>
              <w:rPr>
                <w:noProof/>
                <w:sz w:val="18"/>
              </w:rPr>
            </w:pPr>
          </w:p>
        </w:tc>
        <w:tc>
          <w:tcPr>
            <w:tcW w:w="743" w:type="dxa"/>
            <w:noWrap/>
            <w:hideMark/>
          </w:tcPr>
          <w:p w:rsidR="007D3698" w:rsidRPr="00AA1077" w:rsidRDefault="007D3698" w:rsidP="0097579A">
            <w:pPr>
              <w:pStyle w:val="Normal6"/>
              <w:rPr>
                <w:noProof/>
                <w:sz w:val="18"/>
              </w:rPr>
            </w:pPr>
            <w:r>
              <w:rPr>
                <w:sz w:val="18"/>
              </w:rPr>
              <w:t>FSE+</w:t>
            </w:r>
          </w:p>
        </w:tc>
        <w:tc>
          <w:tcPr>
            <w:tcW w:w="1856" w:type="dxa"/>
            <w:noWrap/>
          </w:tcPr>
          <w:p w:rsidR="007D3698" w:rsidRPr="00AA1077" w:rsidRDefault="007D3698" w:rsidP="0097579A">
            <w:pPr>
              <w:pStyle w:val="Normal6"/>
              <w:rPr>
                <w:noProof/>
                <w:sz w:val="18"/>
              </w:rPr>
            </w:pPr>
          </w:p>
        </w:tc>
        <w:tc>
          <w:tcPr>
            <w:tcW w:w="1560" w:type="dxa"/>
          </w:tcPr>
          <w:p w:rsidR="007D3698" w:rsidRPr="00AA1077" w:rsidRDefault="007D3698" w:rsidP="0097579A">
            <w:pPr>
              <w:pStyle w:val="Normal6"/>
              <w:rPr>
                <w:noProof/>
                <w:sz w:val="18"/>
              </w:rPr>
            </w:pPr>
          </w:p>
        </w:tc>
      </w:tr>
      <w:tr w:rsidR="007D3698" w:rsidRPr="00AA1077" w:rsidTr="0097579A">
        <w:tblPrEx>
          <w:jc w:val="left"/>
          <w:tblCellMar>
            <w:left w:w="108" w:type="dxa"/>
            <w:right w:w="108" w:type="dxa"/>
          </w:tblCellMar>
          <w:tblLook w:val="04A0" w:firstRow="1" w:lastRow="0" w:firstColumn="1" w:lastColumn="0" w:noHBand="0" w:noVBand="1"/>
        </w:tblPrEx>
        <w:trPr>
          <w:gridAfter w:val="1"/>
          <w:wAfter w:w="44" w:type="dxa"/>
          <w:trHeight w:val="300"/>
        </w:trPr>
        <w:tc>
          <w:tcPr>
            <w:tcW w:w="841" w:type="dxa"/>
            <w:gridSpan w:val="2"/>
            <w:noWrap/>
            <w:hideMark/>
          </w:tcPr>
          <w:p w:rsidR="007D3698" w:rsidRPr="00AA1077" w:rsidRDefault="007D3698" w:rsidP="0097579A">
            <w:pPr>
              <w:pStyle w:val="Normal6"/>
              <w:rPr>
                <w:noProof/>
                <w:sz w:val="18"/>
              </w:rPr>
            </w:pPr>
            <w:r>
              <w:rPr>
                <w:sz w:val="18"/>
              </w:rPr>
              <w:t>..</w:t>
            </w:r>
          </w:p>
        </w:tc>
        <w:tc>
          <w:tcPr>
            <w:tcW w:w="2503" w:type="dxa"/>
            <w:noWrap/>
            <w:hideMark/>
          </w:tcPr>
          <w:p w:rsidR="007D3698" w:rsidRPr="00AA1077" w:rsidRDefault="007D3698" w:rsidP="0097579A">
            <w:pPr>
              <w:pStyle w:val="Normal6"/>
              <w:rPr>
                <w:noProof/>
                <w:sz w:val="18"/>
              </w:rPr>
            </w:pPr>
            <w:r>
              <w:rPr>
                <w:sz w:val="18"/>
              </w:rPr>
              <w:t>Priorité spécifique «Actions innovatrices»</w:t>
            </w:r>
          </w:p>
        </w:tc>
        <w:tc>
          <w:tcPr>
            <w:tcW w:w="528" w:type="dxa"/>
            <w:noWrap/>
            <w:hideMark/>
          </w:tcPr>
          <w:p w:rsidR="007D3698" w:rsidRPr="00AA1077" w:rsidRDefault="007D3698" w:rsidP="0097579A">
            <w:pPr>
              <w:pStyle w:val="Normal6"/>
              <w:rPr>
                <w:noProof/>
                <w:sz w:val="18"/>
              </w:rPr>
            </w:pPr>
            <w:r>
              <w:rPr>
                <w:sz w:val="18"/>
              </w:rPr>
              <w:t>Non</w:t>
            </w:r>
          </w:p>
        </w:tc>
        <w:tc>
          <w:tcPr>
            <w:tcW w:w="1609" w:type="dxa"/>
            <w:noWrap/>
          </w:tcPr>
          <w:p w:rsidR="007D3698" w:rsidRPr="00AA1077" w:rsidRDefault="007D3698" w:rsidP="0097579A">
            <w:pPr>
              <w:pStyle w:val="Normal6"/>
              <w:rPr>
                <w:noProof/>
                <w:sz w:val="18"/>
              </w:rPr>
            </w:pPr>
          </w:p>
        </w:tc>
        <w:tc>
          <w:tcPr>
            <w:tcW w:w="743" w:type="dxa"/>
            <w:noWrap/>
            <w:hideMark/>
          </w:tcPr>
          <w:p w:rsidR="007D3698" w:rsidRPr="00AA1077" w:rsidRDefault="007D3698" w:rsidP="0097579A">
            <w:pPr>
              <w:pStyle w:val="Normal6"/>
              <w:rPr>
                <w:noProof/>
                <w:sz w:val="18"/>
              </w:rPr>
            </w:pPr>
            <w:r>
              <w:rPr>
                <w:sz w:val="18"/>
              </w:rPr>
              <w:t>FSE+</w:t>
            </w:r>
          </w:p>
        </w:tc>
        <w:tc>
          <w:tcPr>
            <w:tcW w:w="1856" w:type="dxa"/>
            <w:noWrap/>
          </w:tcPr>
          <w:p w:rsidR="007D3698" w:rsidRPr="00AA1077" w:rsidRDefault="007D3698" w:rsidP="0097579A">
            <w:pPr>
              <w:pStyle w:val="Normal6"/>
              <w:rPr>
                <w:noProof/>
                <w:sz w:val="18"/>
              </w:rPr>
            </w:pPr>
          </w:p>
        </w:tc>
        <w:tc>
          <w:tcPr>
            <w:tcW w:w="1560" w:type="dxa"/>
            <w:hideMark/>
          </w:tcPr>
          <w:p w:rsidR="007D3698" w:rsidRPr="00AA1077" w:rsidRDefault="007D3698" w:rsidP="0097579A">
            <w:pPr>
              <w:pStyle w:val="Normal6"/>
              <w:rPr>
                <w:noProof/>
                <w:sz w:val="18"/>
              </w:rPr>
            </w:pPr>
            <w:r>
              <w:rPr>
                <w:sz w:val="18"/>
              </w:rPr>
              <w:t>OS 8</w:t>
            </w:r>
          </w:p>
        </w:tc>
      </w:tr>
      <w:tr w:rsidR="007D3698" w:rsidRPr="00AA1077" w:rsidTr="0097579A">
        <w:tblPrEx>
          <w:jc w:val="left"/>
          <w:tblCellMar>
            <w:left w:w="108" w:type="dxa"/>
            <w:right w:w="108" w:type="dxa"/>
          </w:tblCellMar>
          <w:tblLook w:val="04A0" w:firstRow="1" w:lastRow="0" w:firstColumn="1" w:lastColumn="0" w:noHBand="0" w:noVBand="1"/>
        </w:tblPrEx>
        <w:trPr>
          <w:gridAfter w:val="1"/>
          <w:wAfter w:w="44" w:type="dxa"/>
          <w:trHeight w:val="300"/>
        </w:trPr>
        <w:tc>
          <w:tcPr>
            <w:tcW w:w="841" w:type="dxa"/>
            <w:gridSpan w:val="2"/>
            <w:noWrap/>
          </w:tcPr>
          <w:p w:rsidR="007D3698" w:rsidRPr="00AA1077" w:rsidRDefault="007D3698" w:rsidP="0097579A">
            <w:pPr>
              <w:pStyle w:val="Normal6"/>
              <w:rPr>
                <w:noProof/>
                <w:sz w:val="18"/>
              </w:rPr>
            </w:pPr>
          </w:p>
        </w:tc>
        <w:tc>
          <w:tcPr>
            <w:tcW w:w="2503" w:type="dxa"/>
            <w:noWrap/>
            <w:hideMark/>
          </w:tcPr>
          <w:p w:rsidR="007D3698" w:rsidRPr="00AA1077" w:rsidRDefault="007D3698" w:rsidP="0097579A">
            <w:pPr>
              <w:pStyle w:val="Normal6"/>
              <w:rPr>
                <w:noProof/>
                <w:sz w:val="18"/>
              </w:rPr>
            </w:pPr>
            <w:r>
              <w:rPr>
                <w:sz w:val="18"/>
              </w:rPr>
              <w:t>Priorité spécifique «Privation matérielle»</w:t>
            </w:r>
          </w:p>
        </w:tc>
        <w:tc>
          <w:tcPr>
            <w:tcW w:w="528" w:type="dxa"/>
            <w:noWrap/>
            <w:hideMark/>
          </w:tcPr>
          <w:p w:rsidR="007D3698" w:rsidRPr="00AA1077" w:rsidRDefault="007D3698" w:rsidP="0097579A">
            <w:pPr>
              <w:pStyle w:val="Normal6"/>
              <w:rPr>
                <w:noProof/>
                <w:sz w:val="18"/>
              </w:rPr>
            </w:pPr>
            <w:r>
              <w:rPr>
                <w:sz w:val="18"/>
              </w:rPr>
              <w:t>Non</w:t>
            </w:r>
          </w:p>
        </w:tc>
        <w:tc>
          <w:tcPr>
            <w:tcW w:w="1609" w:type="dxa"/>
            <w:noWrap/>
          </w:tcPr>
          <w:p w:rsidR="007D3698" w:rsidRPr="00AA1077" w:rsidRDefault="007D3698" w:rsidP="0097579A">
            <w:pPr>
              <w:pStyle w:val="Normal6"/>
              <w:rPr>
                <w:noProof/>
                <w:sz w:val="18"/>
              </w:rPr>
            </w:pPr>
          </w:p>
        </w:tc>
        <w:tc>
          <w:tcPr>
            <w:tcW w:w="743" w:type="dxa"/>
            <w:noWrap/>
            <w:hideMark/>
          </w:tcPr>
          <w:p w:rsidR="007D3698" w:rsidRPr="00AA1077" w:rsidRDefault="007D3698" w:rsidP="0097579A">
            <w:pPr>
              <w:pStyle w:val="Normal6"/>
              <w:rPr>
                <w:noProof/>
                <w:sz w:val="18"/>
              </w:rPr>
            </w:pPr>
            <w:r>
              <w:rPr>
                <w:sz w:val="18"/>
              </w:rPr>
              <w:t>FSE+</w:t>
            </w:r>
          </w:p>
        </w:tc>
        <w:tc>
          <w:tcPr>
            <w:tcW w:w="1856" w:type="dxa"/>
            <w:noWrap/>
          </w:tcPr>
          <w:p w:rsidR="007D3698" w:rsidRPr="00AA1077" w:rsidRDefault="007D3698" w:rsidP="0097579A">
            <w:pPr>
              <w:pStyle w:val="Normal6"/>
              <w:rPr>
                <w:noProof/>
                <w:sz w:val="18"/>
              </w:rPr>
            </w:pPr>
          </w:p>
        </w:tc>
        <w:tc>
          <w:tcPr>
            <w:tcW w:w="1560" w:type="dxa"/>
            <w:hideMark/>
          </w:tcPr>
          <w:p w:rsidR="007D3698" w:rsidRPr="00AA1077" w:rsidRDefault="007D3698" w:rsidP="0097579A">
            <w:pPr>
              <w:pStyle w:val="Normal6"/>
              <w:rPr>
                <w:noProof/>
                <w:sz w:val="18"/>
              </w:rPr>
            </w:pPr>
            <w:r>
              <w:rPr>
                <w:sz w:val="18"/>
              </w:rPr>
              <w:t>OS 9</w:t>
            </w:r>
          </w:p>
        </w:tc>
      </w:tr>
      <w:tr w:rsidR="007D3698" w:rsidRPr="00AA1077" w:rsidTr="0097579A">
        <w:trPr>
          <w:gridBefore w:val="1"/>
          <w:wBefore w:w="42" w:type="dxa"/>
          <w:jc w:val="center"/>
        </w:trPr>
        <w:tc>
          <w:tcPr>
            <w:tcW w:w="9642" w:type="dxa"/>
            <w:gridSpan w:val="8"/>
          </w:tcPr>
          <w:p w:rsidR="007D3698" w:rsidRPr="00AA1077" w:rsidRDefault="007D3698" w:rsidP="0097579A">
            <w:pPr>
              <w:keepNext/>
              <w:rPr>
                <w:noProof/>
              </w:rPr>
            </w:pPr>
          </w:p>
        </w:tc>
      </w:tr>
      <w:tr w:rsidR="007D3698" w:rsidRPr="00AA1077" w:rsidTr="0097579A">
        <w:trPr>
          <w:gridBefore w:val="1"/>
          <w:wBefore w:w="42" w:type="dxa"/>
          <w:jc w:val="center"/>
        </w:trPr>
        <w:tc>
          <w:tcPr>
            <w:tcW w:w="9642" w:type="dxa"/>
            <w:gridSpan w:val="8"/>
          </w:tcPr>
          <w:p w:rsidR="007D3698" w:rsidRPr="00AA1077" w:rsidRDefault="007D3698" w:rsidP="0097579A">
            <w:pPr>
              <w:pStyle w:val="ColumnHeading"/>
              <w:keepNext/>
              <w:rPr>
                <w:noProof/>
              </w:rPr>
            </w:pPr>
            <w:r>
              <w:t>Amendement</w:t>
            </w:r>
          </w:p>
        </w:tc>
      </w:tr>
      <w:tr w:rsidR="007D3698" w:rsidRPr="00AA1077" w:rsidTr="009757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600"/>
        </w:trPr>
        <w:tc>
          <w:tcPr>
            <w:tcW w:w="841" w:type="dxa"/>
            <w:gridSpan w:val="2"/>
            <w:tcBorders>
              <w:top w:val="nil"/>
              <w:left w:val="nil"/>
              <w:bottom w:val="nil"/>
              <w:right w:val="nil"/>
            </w:tcBorders>
            <w:hideMark/>
          </w:tcPr>
          <w:p w:rsidR="007D3698" w:rsidRPr="00AA1077" w:rsidRDefault="007D3698" w:rsidP="0097579A">
            <w:pPr>
              <w:pStyle w:val="Normal6"/>
              <w:rPr>
                <w:noProof/>
                <w:sz w:val="18"/>
              </w:rPr>
            </w:pPr>
            <w:r>
              <w:rPr>
                <w:sz w:val="18"/>
              </w:rPr>
              <w:t>ID</w:t>
            </w:r>
          </w:p>
        </w:tc>
        <w:tc>
          <w:tcPr>
            <w:tcW w:w="2503" w:type="dxa"/>
            <w:tcBorders>
              <w:top w:val="nil"/>
              <w:left w:val="nil"/>
              <w:bottom w:val="nil"/>
              <w:right w:val="nil"/>
            </w:tcBorders>
            <w:hideMark/>
          </w:tcPr>
          <w:p w:rsidR="007D3698" w:rsidRPr="00AA1077" w:rsidRDefault="007D3698" w:rsidP="0097579A">
            <w:pPr>
              <w:pStyle w:val="Normal6"/>
              <w:rPr>
                <w:noProof/>
                <w:sz w:val="18"/>
              </w:rPr>
            </w:pPr>
            <w:r>
              <w:rPr>
                <w:sz w:val="18"/>
              </w:rPr>
              <w:t>Intitulé [300]</w:t>
            </w:r>
          </w:p>
        </w:tc>
        <w:tc>
          <w:tcPr>
            <w:tcW w:w="528" w:type="dxa"/>
            <w:tcBorders>
              <w:top w:val="nil"/>
              <w:left w:val="nil"/>
              <w:bottom w:val="nil"/>
              <w:right w:val="nil"/>
            </w:tcBorders>
            <w:hideMark/>
          </w:tcPr>
          <w:p w:rsidR="007D3698" w:rsidRPr="00AA1077" w:rsidRDefault="007D3698" w:rsidP="0097579A">
            <w:pPr>
              <w:pStyle w:val="Normal6"/>
              <w:rPr>
                <w:noProof/>
                <w:sz w:val="18"/>
              </w:rPr>
            </w:pPr>
            <w:r>
              <w:rPr>
                <w:sz w:val="18"/>
              </w:rPr>
              <w:t>AT</w:t>
            </w:r>
          </w:p>
        </w:tc>
        <w:tc>
          <w:tcPr>
            <w:tcW w:w="1609" w:type="dxa"/>
            <w:tcBorders>
              <w:top w:val="nil"/>
              <w:left w:val="nil"/>
              <w:bottom w:val="nil"/>
              <w:right w:val="nil"/>
            </w:tcBorders>
            <w:hideMark/>
          </w:tcPr>
          <w:p w:rsidR="007D3698" w:rsidRPr="00AA1077" w:rsidRDefault="007D3698" w:rsidP="0097579A">
            <w:pPr>
              <w:pStyle w:val="Normal6"/>
              <w:rPr>
                <w:noProof/>
                <w:sz w:val="18"/>
              </w:rPr>
            </w:pPr>
            <w:r>
              <w:rPr>
                <w:sz w:val="18"/>
              </w:rPr>
              <w:t>Base de calcul</w:t>
            </w:r>
          </w:p>
        </w:tc>
        <w:tc>
          <w:tcPr>
            <w:tcW w:w="743" w:type="dxa"/>
            <w:tcBorders>
              <w:top w:val="nil"/>
              <w:left w:val="nil"/>
              <w:bottom w:val="nil"/>
              <w:right w:val="nil"/>
            </w:tcBorders>
            <w:hideMark/>
          </w:tcPr>
          <w:p w:rsidR="007D3698" w:rsidRPr="00AA1077" w:rsidRDefault="007D3698" w:rsidP="0097579A">
            <w:pPr>
              <w:pStyle w:val="Normal6"/>
              <w:rPr>
                <w:noProof/>
                <w:sz w:val="18"/>
              </w:rPr>
            </w:pPr>
            <w:r>
              <w:rPr>
                <w:sz w:val="18"/>
              </w:rPr>
              <w:t>Fonds</w:t>
            </w:r>
          </w:p>
        </w:tc>
        <w:tc>
          <w:tcPr>
            <w:tcW w:w="1856" w:type="dxa"/>
            <w:tcBorders>
              <w:top w:val="nil"/>
              <w:left w:val="nil"/>
              <w:bottom w:val="nil"/>
              <w:right w:val="nil"/>
            </w:tcBorders>
            <w:hideMark/>
          </w:tcPr>
          <w:p w:rsidR="007D3698" w:rsidRPr="00AA1077" w:rsidRDefault="007D3698" w:rsidP="0097579A">
            <w:pPr>
              <w:pStyle w:val="Normal6"/>
              <w:rPr>
                <w:noProof/>
                <w:sz w:val="18"/>
              </w:rPr>
            </w:pPr>
            <w:r>
              <w:rPr>
                <w:sz w:val="18"/>
              </w:rPr>
              <w:t>Catégorie de régions soutenues</w:t>
            </w:r>
          </w:p>
        </w:tc>
        <w:tc>
          <w:tcPr>
            <w:tcW w:w="1560" w:type="dxa"/>
            <w:tcBorders>
              <w:top w:val="nil"/>
              <w:left w:val="nil"/>
              <w:bottom w:val="nil"/>
              <w:right w:val="nil"/>
            </w:tcBorders>
            <w:hideMark/>
          </w:tcPr>
          <w:p w:rsidR="007D3698" w:rsidRPr="00AA1077" w:rsidRDefault="007D3698" w:rsidP="0097579A">
            <w:pPr>
              <w:pStyle w:val="Normal6"/>
              <w:rPr>
                <w:noProof/>
                <w:sz w:val="18"/>
              </w:rPr>
            </w:pPr>
            <w:r>
              <w:rPr>
                <w:sz w:val="18"/>
              </w:rPr>
              <w:t>Objectif spécifique retenu</w:t>
            </w:r>
          </w:p>
        </w:tc>
      </w:tr>
      <w:tr w:rsidR="007D3698" w:rsidRPr="00AA1077" w:rsidTr="009757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val="restart"/>
            <w:tcBorders>
              <w:top w:val="nil"/>
              <w:left w:val="nil"/>
              <w:bottom w:val="nil"/>
              <w:right w:val="nil"/>
            </w:tcBorders>
            <w:noWrap/>
            <w:hideMark/>
          </w:tcPr>
          <w:p w:rsidR="007D3698" w:rsidRPr="00AA1077" w:rsidRDefault="007D3698" w:rsidP="0097579A">
            <w:pPr>
              <w:pStyle w:val="Normal6"/>
              <w:rPr>
                <w:noProof/>
                <w:sz w:val="18"/>
              </w:rPr>
            </w:pPr>
            <w:r>
              <w:rPr>
                <w:sz w:val="18"/>
              </w:rPr>
              <w:t>1</w:t>
            </w:r>
          </w:p>
        </w:tc>
        <w:tc>
          <w:tcPr>
            <w:tcW w:w="2503" w:type="dxa"/>
            <w:vMerge w:val="restart"/>
            <w:tcBorders>
              <w:top w:val="nil"/>
              <w:left w:val="nil"/>
              <w:bottom w:val="nil"/>
              <w:right w:val="nil"/>
            </w:tcBorders>
            <w:noWrap/>
            <w:hideMark/>
          </w:tcPr>
          <w:p w:rsidR="007D3698" w:rsidRPr="00AA1077" w:rsidRDefault="007D3698" w:rsidP="0097579A">
            <w:pPr>
              <w:pStyle w:val="Normal6"/>
              <w:rPr>
                <w:noProof/>
                <w:sz w:val="18"/>
              </w:rPr>
            </w:pPr>
            <w:r>
              <w:rPr>
                <w:sz w:val="18"/>
              </w:rPr>
              <w:t>Priorité 1</w:t>
            </w:r>
          </w:p>
        </w:tc>
        <w:tc>
          <w:tcPr>
            <w:tcW w:w="528" w:type="dxa"/>
            <w:vMerge w:val="restart"/>
            <w:tcBorders>
              <w:top w:val="nil"/>
              <w:left w:val="nil"/>
              <w:bottom w:val="nil"/>
              <w:right w:val="nil"/>
            </w:tcBorders>
            <w:noWrap/>
            <w:hideMark/>
          </w:tcPr>
          <w:p w:rsidR="007D3698" w:rsidRPr="00AA1077" w:rsidRDefault="007D3698" w:rsidP="0097579A">
            <w:pPr>
              <w:pStyle w:val="Normal6"/>
              <w:rPr>
                <w:noProof/>
                <w:sz w:val="18"/>
              </w:rPr>
            </w:pPr>
            <w:r>
              <w:rPr>
                <w:sz w:val="18"/>
              </w:rPr>
              <w:t>Non</w:t>
            </w:r>
          </w:p>
        </w:tc>
        <w:tc>
          <w:tcPr>
            <w:tcW w:w="1609" w:type="dxa"/>
            <w:vMerge w:val="restart"/>
            <w:tcBorders>
              <w:top w:val="nil"/>
              <w:left w:val="nil"/>
              <w:bottom w:val="nil"/>
              <w:right w:val="nil"/>
            </w:tcBorders>
            <w:noWrap/>
          </w:tcPr>
          <w:p w:rsidR="007D3698" w:rsidRPr="00AA1077" w:rsidRDefault="007D3698" w:rsidP="0097579A">
            <w:pPr>
              <w:pStyle w:val="Normal6"/>
              <w:rPr>
                <w:noProof/>
                <w:sz w:val="18"/>
              </w:rPr>
            </w:pPr>
          </w:p>
        </w:tc>
        <w:tc>
          <w:tcPr>
            <w:tcW w:w="743" w:type="dxa"/>
            <w:vMerge w:val="restart"/>
            <w:tcBorders>
              <w:top w:val="nil"/>
              <w:left w:val="nil"/>
              <w:bottom w:val="nil"/>
              <w:right w:val="nil"/>
            </w:tcBorders>
            <w:noWrap/>
            <w:hideMark/>
          </w:tcPr>
          <w:p w:rsidR="007D3698" w:rsidRPr="00AA1077" w:rsidRDefault="007D3698" w:rsidP="0097579A">
            <w:pPr>
              <w:pStyle w:val="Normal6"/>
              <w:rPr>
                <w:noProof/>
                <w:sz w:val="18"/>
              </w:rPr>
            </w:pPr>
            <w:r>
              <w:rPr>
                <w:sz w:val="18"/>
              </w:rPr>
              <w:t>FEDER</w:t>
            </w:r>
          </w:p>
        </w:tc>
        <w:tc>
          <w:tcPr>
            <w:tcW w:w="1856" w:type="dxa"/>
            <w:tcBorders>
              <w:top w:val="nil"/>
              <w:left w:val="nil"/>
              <w:bottom w:val="nil"/>
              <w:right w:val="nil"/>
            </w:tcBorders>
            <w:noWrap/>
            <w:hideMark/>
          </w:tcPr>
          <w:p w:rsidR="007D3698" w:rsidRPr="00AA1077" w:rsidRDefault="007D3698" w:rsidP="0097579A">
            <w:pPr>
              <w:pStyle w:val="Normal6"/>
              <w:rPr>
                <w:noProof/>
                <w:sz w:val="18"/>
              </w:rPr>
            </w:pPr>
            <w:r>
              <w:rPr>
                <w:sz w:val="18"/>
              </w:rPr>
              <w:t>Plus</w:t>
            </w:r>
          </w:p>
        </w:tc>
        <w:tc>
          <w:tcPr>
            <w:tcW w:w="1560" w:type="dxa"/>
            <w:vMerge w:val="restart"/>
            <w:tcBorders>
              <w:top w:val="nil"/>
              <w:left w:val="nil"/>
              <w:bottom w:val="nil"/>
              <w:right w:val="nil"/>
            </w:tcBorders>
          </w:tcPr>
          <w:p w:rsidR="007D3698" w:rsidRPr="00AA1077" w:rsidRDefault="007D3698" w:rsidP="0097579A">
            <w:pPr>
              <w:pStyle w:val="Normal6"/>
              <w:rPr>
                <w:noProof/>
                <w:sz w:val="18"/>
              </w:rPr>
            </w:pPr>
            <w:r>
              <w:rPr>
                <w:sz w:val="18"/>
              </w:rPr>
              <w:t>OS 1</w:t>
            </w:r>
          </w:p>
        </w:tc>
      </w:tr>
      <w:tr w:rsidR="007D3698" w:rsidRPr="00AA1077" w:rsidTr="009757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2503"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528"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1609"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743"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1856" w:type="dxa"/>
            <w:tcBorders>
              <w:top w:val="nil"/>
              <w:left w:val="nil"/>
              <w:bottom w:val="nil"/>
              <w:right w:val="nil"/>
            </w:tcBorders>
            <w:noWrap/>
            <w:hideMark/>
          </w:tcPr>
          <w:p w:rsidR="007D3698" w:rsidRPr="00AA1077" w:rsidRDefault="007D3698" w:rsidP="0097579A">
            <w:pPr>
              <w:pStyle w:val="Normal6"/>
              <w:rPr>
                <w:noProof/>
                <w:sz w:val="18"/>
              </w:rPr>
            </w:pPr>
            <w:r>
              <w:rPr>
                <w:sz w:val="18"/>
              </w:rPr>
              <w:t>En transition</w:t>
            </w:r>
          </w:p>
        </w:tc>
        <w:tc>
          <w:tcPr>
            <w:tcW w:w="1560"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r>
      <w:tr w:rsidR="007D3698" w:rsidRPr="00AA1077" w:rsidTr="009757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2503"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528"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1609"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743"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1856" w:type="dxa"/>
            <w:tcBorders>
              <w:top w:val="nil"/>
              <w:left w:val="nil"/>
              <w:bottom w:val="nil"/>
              <w:right w:val="nil"/>
            </w:tcBorders>
            <w:noWrap/>
            <w:hideMark/>
          </w:tcPr>
          <w:p w:rsidR="007D3698" w:rsidRPr="00AA1077" w:rsidRDefault="007D3698" w:rsidP="0097579A">
            <w:pPr>
              <w:pStyle w:val="Normal6"/>
              <w:rPr>
                <w:noProof/>
                <w:sz w:val="18"/>
              </w:rPr>
            </w:pPr>
            <w:r>
              <w:rPr>
                <w:sz w:val="18"/>
              </w:rPr>
              <w:t>Moins développées</w:t>
            </w:r>
          </w:p>
        </w:tc>
        <w:tc>
          <w:tcPr>
            <w:tcW w:w="1560" w:type="dxa"/>
            <w:vMerge w:val="restart"/>
            <w:tcBorders>
              <w:top w:val="nil"/>
              <w:left w:val="nil"/>
              <w:bottom w:val="nil"/>
              <w:right w:val="nil"/>
            </w:tcBorders>
            <w:hideMark/>
          </w:tcPr>
          <w:p w:rsidR="007D3698" w:rsidRPr="00AA1077" w:rsidRDefault="007D3698" w:rsidP="0097579A">
            <w:pPr>
              <w:pStyle w:val="Normal6"/>
              <w:rPr>
                <w:noProof/>
                <w:sz w:val="18"/>
              </w:rPr>
            </w:pPr>
            <w:r>
              <w:rPr>
                <w:sz w:val="18"/>
              </w:rPr>
              <w:t>OS 2</w:t>
            </w:r>
          </w:p>
        </w:tc>
      </w:tr>
      <w:tr w:rsidR="007D3698" w:rsidRPr="00AA1077" w:rsidTr="009757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2503"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528"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1609"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743"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1856" w:type="dxa"/>
            <w:tcBorders>
              <w:top w:val="nil"/>
              <w:left w:val="nil"/>
              <w:bottom w:val="nil"/>
              <w:right w:val="nil"/>
            </w:tcBorders>
            <w:noWrap/>
            <w:hideMark/>
          </w:tcPr>
          <w:p w:rsidR="007D3698" w:rsidRPr="00AA1077" w:rsidRDefault="007D3698" w:rsidP="0097579A">
            <w:pPr>
              <w:pStyle w:val="Normal6"/>
              <w:rPr>
                <w:noProof/>
                <w:sz w:val="18"/>
              </w:rPr>
            </w:pPr>
            <w:r>
              <w:rPr>
                <w:sz w:val="18"/>
              </w:rPr>
              <w:t>Ultrapériphériques et à faible densité de population</w:t>
            </w:r>
          </w:p>
        </w:tc>
        <w:tc>
          <w:tcPr>
            <w:tcW w:w="1560"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r>
      <w:tr w:rsidR="007D3698" w:rsidRPr="00AA1077" w:rsidTr="009757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2503"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528"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1609"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743"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1856" w:type="dxa"/>
            <w:tcBorders>
              <w:top w:val="nil"/>
              <w:left w:val="nil"/>
              <w:bottom w:val="nil"/>
              <w:right w:val="nil"/>
            </w:tcBorders>
            <w:noWrap/>
            <w:hideMark/>
          </w:tcPr>
          <w:p w:rsidR="007D3698" w:rsidRPr="00AA1077" w:rsidRDefault="007D3698" w:rsidP="0097579A">
            <w:pPr>
              <w:pStyle w:val="Normal6"/>
              <w:rPr>
                <w:noProof/>
                <w:sz w:val="18"/>
              </w:rPr>
            </w:pPr>
            <w:r>
              <w:rPr>
                <w:sz w:val="18"/>
              </w:rPr>
              <w:t>Plus</w:t>
            </w:r>
          </w:p>
        </w:tc>
        <w:tc>
          <w:tcPr>
            <w:tcW w:w="1560" w:type="dxa"/>
            <w:tcBorders>
              <w:top w:val="nil"/>
              <w:left w:val="nil"/>
              <w:bottom w:val="nil"/>
              <w:right w:val="nil"/>
            </w:tcBorders>
            <w:hideMark/>
          </w:tcPr>
          <w:p w:rsidR="007D3698" w:rsidRPr="00AA1077" w:rsidRDefault="007D3698" w:rsidP="0097579A">
            <w:pPr>
              <w:pStyle w:val="Normal6"/>
              <w:rPr>
                <w:noProof/>
                <w:sz w:val="18"/>
              </w:rPr>
            </w:pPr>
            <w:r>
              <w:rPr>
                <w:sz w:val="18"/>
              </w:rPr>
              <w:t>OS 3</w:t>
            </w:r>
          </w:p>
        </w:tc>
      </w:tr>
      <w:tr w:rsidR="007D3698" w:rsidRPr="00AA1077" w:rsidTr="009757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val="restart"/>
            <w:tcBorders>
              <w:top w:val="nil"/>
              <w:left w:val="nil"/>
              <w:bottom w:val="nil"/>
              <w:right w:val="nil"/>
            </w:tcBorders>
            <w:noWrap/>
            <w:hideMark/>
          </w:tcPr>
          <w:p w:rsidR="007D3698" w:rsidRPr="00AA1077" w:rsidRDefault="007D3698" w:rsidP="0097579A">
            <w:pPr>
              <w:pStyle w:val="Normal6"/>
              <w:rPr>
                <w:noProof/>
                <w:sz w:val="18"/>
              </w:rPr>
            </w:pPr>
            <w:r>
              <w:rPr>
                <w:sz w:val="18"/>
              </w:rPr>
              <w:t>2</w:t>
            </w:r>
          </w:p>
        </w:tc>
        <w:tc>
          <w:tcPr>
            <w:tcW w:w="2503" w:type="dxa"/>
            <w:vMerge w:val="restart"/>
            <w:tcBorders>
              <w:top w:val="nil"/>
              <w:left w:val="nil"/>
              <w:bottom w:val="nil"/>
              <w:right w:val="nil"/>
            </w:tcBorders>
            <w:noWrap/>
            <w:hideMark/>
          </w:tcPr>
          <w:p w:rsidR="007D3698" w:rsidRPr="00AA1077" w:rsidRDefault="007D3698" w:rsidP="0097579A">
            <w:pPr>
              <w:pStyle w:val="Normal6"/>
              <w:rPr>
                <w:noProof/>
                <w:sz w:val="18"/>
              </w:rPr>
            </w:pPr>
            <w:r>
              <w:rPr>
                <w:sz w:val="18"/>
              </w:rPr>
              <w:t>Priorité 2</w:t>
            </w:r>
          </w:p>
        </w:tc>
        <w:tc>
          <w:tcPr>
            <w:tcW w:w="528" w:type="dxa"/>
            <w:vMerge w:val="restart"/>
            <w:tcBorders>
              <w:top w:val="nil"/>
              <w:left w:val="nil"/>
              <w:bottom w:val="nil"/>
              <w:right w:val="nil"/>
            </w:tcBorders>
            <w:noWrap/>
            <w:hideMark/>
          </w:tcPr>
          <w:p w:rsidR="007D3698" w:rsidRPr="00AA1077" w:rsidRDefault="007D3698" w:rsidP="0097579A">
            <w:pPr>
              <w:pStyle w:val="Normal6"/>
              <w:rPr>
                <w:noProof/>
                <w:sz w:val="18"/>
              </w:rPr>
            </w:pPr>
            <w:r>
              <w:rPr>
                <w:sz w:val="18"/>
              </w:rPr>
              <w:t>Non</w:t>
            </w:r>
          </w:p>
        </w:tc>
        <w:tc>
          <w:tcPr>
            <w:tcW w:w="1609" w:type="dxa"/>
            <w:vMerge w:val="restart"/>
            <w:tcBorders>
              <w:top w:val="nil"/>
              <w:left w:val="nil"/>
              <w:bottom w:val="nil"/>
              <w:right w:val="nil"/>
            </w:tcBorders>
            <w:noWrap/>
          </w:tcPr>
          <w:p w:rsidR="007D3698" w:rsidRPr="00AA1077" w:rsidRDefault="007D3698" w:rsidP="0097579A">
            <w:pPr>
              <w:pStyle w:val="Normal6"/>
              <w:rPr>
                <w:noProof/>
                <w:sz w:val="18"/>
              </w:rPr>
            </w:pPr>
          </w:p>
        </w:tc>
        <w:tc>
          <w:tcPr>
            <w:tcW w:w="743" w:type="dxa"/>
            <w:vMerge w:val="restart"/>
            <w:tcBorders>
              <w:top w:val="nil"/>
              <w:left w:val="nil"/>
              <w:bottom w:val="nil"/>
              <w:right w:val="nil"/>
            </w:tcBorders>
            <w:noWrap/>
            <w:hideMark/>
          </w:tcPr>
          <w:p w:rsidR="007D3698" w:rsidRPr="00AA1077" w:rsidRDefault="007D3698" w:rsidP="0097579A">
            <w:pPr>
              <w:pStyle w:val="Normal6"/>
              <w:rPr>
                <w:noProof/>
                <w:sz w:val="18"/>
              </w:rPr>
            </w:pPr>
            <w:r>
              <w:rPr>
                <w:sz w:val="18"/>
              </w:rPr>
              <w:t>FSE+</w:t>
            </w:r>
          </w:p>
        </w:tc>
        <w:tc>
          <w:tcPr>
            <w:tcW w:w="1856" w:type="dxa"/>
            <w:tcBorders>
              <w:top w:val="nil"/>
              <w:left w:val="nil"/>
              <w:bottom w:val="nil"/>
              <w:right w:val="nil"/>
            </w:tcBorders>
            <w:noWrap/>
            <w:hideMark/>
          </w:tcPr>
          <w:p w:rsidR="007D3698" w:rsidRPr="00AA1077" w:rsidRDefault="007D3698" w:rsidP="0097579A">
            <w:pPr>
              <w:pStyle w:val="Normal6"/>
              <w:rPr>
                <w:noProof/>
                <w:sz w:val="18"/>
              </w:rPr>
            </w:pPr>
            <w:r>
              <w:rPr>
                <w:sz w:val="18"/>
              </w:rPr>
              <w:t>Plus</w:t>
            </w:r>
          </w:p>
        </w:tc>
        <w:tc>
          <w:tcPr>
            <w:tcW w:w="1560" w:type="dxa"/>
            <w:vMerge w:val="restart"/>
            <w:tcBorders>
              <w:top w:val="nil"/>
              <w:left w:val="nil"/>
              <w:bottom w:val="nil"/>
              <w:right w:val="nil"/>
            </w:tcBorders>
          </w:tcPr>
          <w:p w:rsidR="007D3698" w:rsidRPr="00AA1077" w:rsidRDefault="007D3698" w:rsidP="0097579A">
            <w:pPr>
              <w:pStyle w:val="Normal6"/>
              <w:rPr>
                <w:noProof/>
                <w:sz w:val="18"/>
              </w:rPr>
            </w:pPr>
            <w:r>
              <w:rPr>
                <w:sz w:val="18"/>
              </w:rPr>
              <w:t>OS 4</w:t>
            </w:r>
          </w:p>
        </w:tc>
      </w:tr>
      <w:tr w:rsidR="007D3698" w:rsidRPr="00AA1077" w:rsidTr="009757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2503"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528"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1609"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743"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1856" w:type="dxa"/>
            <w:tcBorders>
              <w:top w:val="nil"/>
              <w:left w:val="nil"/>
              <w:bottom w:val="nil"/>
              <w:right w:val="nil"/>
            </w:tcBorders>
            <w:noWrap/>
            <w:hideMark/>
          </w:tcPr>
          <w:p w:rsidR="007D3698" w:rsidRPr="00AA1077" w:rsidRDefault="007D3698" w:rsidP="0097579A">
            <w:pPr>
              <w:pStyle w:val="Normal6"/>
              <w:rPr>
                <w:noProof/>
                <w:sz w:val="18"/>
              </w:rPr>
            </w:pPr>
            <w:r>
              <w:rPr>
                <w:sz w:val="18"/>
              </w:rPr>
              <w:t>En transition</w:t>
            </w:r>
          </w:p>
        </w:tc>
        <w:tc>
          <w:tcPr>
            <w:tcW w:w="1560"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r>
      <w:tr w:rsidR="007D3698" w:rsidRPr="00AA1077" w:rsidTr="009757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2503"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528"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1609"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743"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1856" w:type="dxa"/>
            <w:tcBorders>
              <w:top w:val="nil"/>
              <w:left w:val="nil"/>
              <w:bottom w:val="nil"/>
              <w:right w:val="nil"/>
            </w:tcBorders>
            <w:noWrap/>
            <w:hideMark/>
          </w:tcPr>
          <w:p w:rsidR="007D3698" w:rsidRPr="00AA1077" w:rsidRDefault="007D3698" w:rsidP="0097579A">
            <w:pPr>
              <w:pStyle w:val="Normal6"/>
              <w:rPr>
                <w:noProof/>
                <w:sz w:val="18"/>
              </w:rPr>
            </w:pPr>
            <w:r>
              <w:rPr>
                <w:sz w:val="18"/>
              </w:rPr>
              <w:t>Moins développées</w:t>
            </w:r>
          </w:p>
        </w:tc>
        <w:tc>
          <w:tcPr>
            <w:tcW w:w="1560" w:type="dxa"/>
            <w:vMerge w:val="restart"/>
            <w:tcBorders>
              <w:top w:val="nil"/>
              <w:left w:val="nil"/>
              <w:bottom w:val="nil"/>
              <w:right w:val="nil"/>
            </w:tcBorders>
            <w:hideMark/>
          </w:tcPr>
          <w:p w:rsidR="007D3698" w:rsidRPr="00AA1077" w:rsidRDefault="007D3698" w:rsidP="0097579A">
            <w:pPr>
              <w:pStyle w:val="Normal6"/>
              <w:rPr>
                <w:noProof/>
                <w:sz w:val="18"/>
              </w:rPr>
            </w:pPr>
            <w:r>
              <w:rPr>
                <w:sz w:val="18"/>
              </w:rPr>
              <w:t>OS 5</w:t>
            </w:r>
          </w:p>
        </w:tc>
      </w:tr>
      <w:tr w:rsidR="007D3698" w:rsidRPr="00AA1077" w:rsidTr="009757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00"/>
        </w:trPr>
        <w:tc>
          <w:tcPr>
            <w:tcW w:w="841" w:type="dxa"/>
            <w:gridSpan w:val="2"/>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2503"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528"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1609"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743"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c>
          <w:tcPr>
            <w:tcW w:w="1856" w:type="dxa"/>
            <w:tcBorders>
              <w:top w:val="nil"/>
              <w:left w:val="nil"/>
              <w:bottom w:val="nil"/>
              <w:right w:val="nil"/>
            </w:tcBorders>
            <w:noWrap/>
            <w:hideMark/>
          </w:tcPr>
          <w:p w:rsidR="007D3698" w:rsidRPr="00AA1077" w:rsidRDefault="007D3698" w:rsidP="0097579A">
            <w:pPr>
              <w:pStyle w:val="Normal6"/>
              <w:rPr>
                <w:noProof/>
                <w:sz w:val="18"/>
              </w:rPr>
            </w:pPr>
            <w:r>
              <w:rPr>
                <w:sz w:val="18"/>
              </w:rPr>
              <w:t>Ultrapériphériques</w:t>
            </w:r>
          </w:p>
        </w:tc>
        <w:tc>
          <w:tcPr>
            <w:tcW w:w="1560" w:type="dxa"/>
            <w:vMerge/>
            <w:tcBorders>
              <w:top w:val="nil"/>
              <w:left w:val="nil"/>
              <w:bottom w:val="nil"/>
              <w:right w:val="nil"/>
            </w:tcBorders>
            <w:vAlign w:val="center"/>
            <w:hideMark/>
          </w:tcPr>
          <w:p w:rsidR="007D3698" w:rsidRPr="00AA1077" w:rsidRDefault="007D3698" w:rsidP="0097579A">
            <w:pPr>
              <w:pStyle w:val="Normal6"/>
              <w:rPr>
                <w:noProof/>
                <w:sz w:val="18"/>
                <w:lang w:eastAsia="en-US"/>
              </w:rPr>
            </w:pPr>
          </w:p>
        </w:tc>
      </w:tr>
      <w:tr w:rsidR="007D3698" w:rsidRPr="00AA1077" w:rsidTr="009757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00"/>
        </w:trPr>
        <w:tc>
          <w:tcPr>
            <w:tcW w:w="841" w:type="dxa"/>
            <w:gridSpan w:val="2"/>
            <w:tcBorders>
              <w:top w:val="nil"/>
              <w:left w:val="nil"/>
              <w:bottom w:val="nil"/>
              <w:right w:val="nil"/>
            </w:tcBorders>
            <w:noWrap/>
            <w:hideMark/>
          </w:tcPr>
          <w:p w:rsidR="007D3698" w:rsidRPr="00AA1077" w:rsidRDefault="007D3698" w:rsidP="0097579A">
            <w:pPr>
              <w:pStyle w:val="Normal6"/>
              <w:rPr>
                <w:noProof/>
                <w:sz w:val="18"/>
              </w:rPr>
            </w:pPr>
            <w:r>
              <w:rPr>
                <w:sz w:val="18"/>
              </w:rPr>
              <w:t>3</w:t>
            </w:r>
          </w:p>
        </w:tc>
        <w:tc>
          <w:tcPr>
            <w:tcW w:w="2503" w:type="dxa"/>
            <w:tcBorders>
              <w:top w:val="nil"/>
              <w:left w:val="nil"/>
              <w:bottom w:val="nil"/>
              <w:right w:val="nil"/>
            </w:tcBorders>
            <w:noWrap/>
            <w:hideMark/>
          </w:tcPr>
          <w:p w:rsidR="007D3698" w:rsidRPr="00AA1077" w:rsidRDefault="007D3698" w:rsidP="0097579A">
            <w:pPr>
              <w:pStyle w:val="Normal6"/>
              <w:rPr>
                <w:noProof/>
                <w:sz w:val="18"/>
              </w:rPr>
            </w:pPr>
            <w:r>
              <w:rPr>
                <w:sz w:val="18"/>
              </w:rPr>
              <w:t>Priorité 3</w:t>
            </w:r>
          </w:p>
        </w:tc>
        <w:tc>
          <w:tcPr>
            <w:tcW w:w="528" w:type="dxa"/>
            <w:tcBorders>
              <w:top w:val="nil"/>
              <w:left w:val="nil"/>
              <w:bottom w:val="nil"/>
              <w:right w:val="nil"/>
            </w:tcBorders>
            <w:noWrap/>
            <w:hideMark/>
          </w:tcPr>
          <w:p w:rsidR="007D3698" w:rsidRPr="00AA1077" w:rsidRDefault="007D3698" w:rsidP="0097579A">
            <w:pPr>
              <w:pStyle w:val="Normal6"/>
              <w:rPr>
                <w:noProof/>
                <w:sz w:val="18"/>
              </w:rPr>
            </w:pPr>
            <w:r>
              <w:rPr>
                <w:sz w:val="18"/>
              </w:rPr>
              <w:t>Non</w:t>
            </w:r>
          </w:p>
        </w:tc>
        <w:tc>
          <w:tcPr>
            <w:tcW w:w="1609" w:type="dxa"/>
            <w:tcBorders>
              <w:top w:val="nil"/>
              <w:left w:val="nil"/>
              <w:bottom w:val="nil"/>
              <w:right w:val="nil"/>
            </w:tcBorders>
            <w:noWrap/>
          </w:tcPr>
          <w:p w:rsidR="007D3698" w:rsidRPr="00AA1077" w:rsidRDefault="007D3698" w:rsidP="0097579A">
            <w:pPr>
              <w:pStyle w:val="Normal6"/>
              <w:rPr>
                <w:noProof/>
                <w:sz w:val="18"/>
              </w:rPr>
            </w:pPr>
          </w:p>
        </w:tc>
        <w:tc>
          <w:tcPr>
            <w:tcW w:w="743" w:type="dxa"/>
            <w:tcBorders>
              <w:top w:val="nil"/>
              <w:left w:val="nil"/>
              <w:bottom w:val="nil"/>
              <w:right w:val="nil"/>
            </w:tcBorders>
            <w:noWrap/>
            <w:hideMark/>
          </w:tcPr>
          <w:p w:rsidR="007D3698" w:rsidRPr="00AA1077" w:rsidRDefault="007D3698" w:rsidP="0097579A">
            <w:pPr>
              <w:pStyle w:val="Normal6"/>
              <w:rPr>
                <w:noProof/>
                <w:sz w:val="18"/>
              </w:rPr>
            </w:pPr>
            <w:r>
              <w:rPr>
                <w:sz w:val="18"/>
              </w:rPr>
              <w:t>FC</w:t>
            </w:r>
          </w:p>
        </w:tc>
        <w:tc>
          <w:tcPr>
            <w:tcW w:w="1856" w:type="dxa"/>
            <w:tcBorders>
              <w:top w:val="nil"/>
              <w:left w:val="nil"/>
              <w:bottom w:val="nil"/>
              <w:right w:val="nil"/>
            </w:tcBorders>
            <w:noWrap/>
            <w:hideMark/>
          </w:tcPr>
          <w:p w:rsidR="007D3698" w:rsidRPr="00AA1077" w:rsidRDefault="007D3698" w:rsidP="0097579A">
            <w:pPr>
              <w:pStyle w:val="Normal6"/>
              <w:rPr>
                <w:noProof/>
                <w:sz w:val="18"/>
              </w:rPr>
            </w:pPr>
            <w:r>
              <w:rPr>
                <w:sz w:val="18"/>
              </w:rPr>
              <w:t>S.O.</w:t>
            </w:r>
          </w:p>
        </w:tc>
        <w:tc>
          <w:tcPr>
            <w:tcW w:w="1560" w:type="dxa"/>
            <w:tcBorders>
              <w:top w:val="nil"/>
              <w:left w:val="nil"/>
              <w:bottom w:val="nil"/>
              <w:right w:val="nil"/>
            </w:tcBorders>
          </w:tcPr>
          <w:p w:rsidR="007D3698" w:rsidRPr="00AA1077" w:rsidRDefault="007D3698" w:rsidP="0097579A">
            <w:pPr>
              <w:pStyle w:val="Normal6"/>
              <w:rPr>
                <w:noProof/>
                <w:sz w:val="18"/>
              </w:rPr>
            </w:pPr>
          </w:p>
        </w:tc>
      </w:tr>
      <w:tr w:rsidR="007D3698" w:rsidRPr="00AA1077" w:rsidTr="009757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610"/>
        </w:trPr>
        <w:tc>
          <w:tcPr>
            <w:tcW w:w="841" w:type="dxa"/>
            <w:gridSpan w:val="2"/>
            <w:tcBorders>
              <w:top w:val="nil"/>
              <w:left w:val="nil"/>
              <w:bottom w:val="nil"/>
              <w:right w:val="nil"/>
            </w:tcBorders>
            <w:noWrap/>
            <w:hideMark/>
          </w:tcPr>
          <w:p w:rsidR="007D3698" w:rsidRPr="00AA1077" w:rsidRDefault="007D3698" w:rsidP="0097579A">
            <w:pPr>
              <w:pStyle w:val="Normal6"/>
              <w:rPr>
                <w:noProof/>
                <w:sz w:val="18"/>
              </w:rPr>
            </w:pPr>
            <w:r>
              <w:rPr>
                <w:sz w:val="18"/>
              </w:rPr>
              <w:t>3</w:t>
            </w:r>
          </w:p>
        </w:tc>
        <w:tc>
          <w:tcPr>
            <w:tcW w:w="2503" w:type="dxa"/>
            <w:tcBorders>
              <w:top w:val="nil"/>
              <w:left w:val="nil"/>
              <w:bottom w:val="nil"/>
              <w:right w:val="nil"/>
            </w:tcBorders>
            <w:noWrap/>
            <w:hideMark/>
          </w:tcPr>
          <w:p w:rsidR="007D3698" w:rsidRPr="00AA1077" w:rsidRDefault="007D3698" w:rsidP="0097579A">
            <w:pPr>
              <w:pStyle w:val="Normal6"/>
              <w:rPr>
                <w:noProof/>
                <w:sz w:val="18"/>
              </w:rPr>
            </w:pPr>
            <w:r>
              <w:rPr>
                <w:sz w:val="18"/>
              </w:rPr>
              <w:t>Priorité assistance technique</w:t>
            </w:r>
          </w:p>
        </w:tc>
        <w:tc>
          <w:tcPr>
            <w:tcW w:w="528" w:type="dxa"/>
            <w:tcBorders>
              <w:top w:val="nil"/>
              <w:left w:val="nil"/>
              <w:bottom w:val="nil"/>
              <w:right w:val="nil"/>
            </w:tcBorders>
            <w:noWrap/>
            <w:hideMark/>
          </w:tcPr>
          <w:p w:rsidR="007D3698" w:rsidRPr="00AA1077" w:rsidRDefault="007D3698" w:rsidP="0097579A">
            <w:pPr>
              <w:pStyle w:val="Normal6"/>
              <w:rPr>
                <w:noProof/>
                <w:sz w:val="18"/>
              </w:rPr>
            </w:pPr>
            <w:r>
              <w:rPr>
                <w:sz w:val="18"/>
              </w:rPr>
              <w:t>Oui</w:t>
            </w:r>
          </w:p>
        </w:tc>
        <w:tc>
          <w:tcPr>
            <w:tcW w:w="1609" w:type="dxa"/>
            <w:tcBorders>
              <w:top w:val="nil"/>
              <w:left w:val="nil"/>
              <w:bottom w:val="nil"/>
              <w:right w:val="nil"/>
            </w:tcBorders>
            <w:noWrap/>
          </w:tcPr>
          <w:p w:rsidR="007D3698" w:rsidRPr="00AA1077" w:rsidRDefault="007D3698" w:rsidP="0097579A">
            <w:pPr>
              <w:pStyle w:val="Normal6"/>
              <w:rPr>
                <w:noProof/>
                <w:sz w:val="18"/>
              </w:rPr>
            </w:pPr>
          </w:p>
        </w:tc>
        <w:tc>
          <w:tcPr>
            <w:tcW w:w="743" w:type="dxa"/>
            <w:tcBorders>
              <w:top w:val="nil"/>
              <w:left w:val="nil"/>
              <w:bottom w:val="nil"/>
              <w:right w:val="nil"/>
            </w:tcBorders>
            <w:noWrap/>
          </w:tcPr>
          <w:p w:rsidR="007D3698" w:rsidRPr="00AA1077" w:rsidRDefault="007D3698" w:rsidP="0097579A">
            <w:pPr>
              <w:pStyle w:val="Normal6"/>
              <w:rPr>
                <w:noProof/>
                <w:sz w:val="18"/>
              </w:rPr>
            </w:pPr>
          </w:p>
        </w:tc>
        <w:tc>
          <w:tcPr>
            <w:tcW w:w="1856" w:type="dxa"/>
            <w:tcBorders>
              <w:top w:val="nil"/>
              <w:left w:val="nil"/>
              <w:bottom w:val="nil"/>
              <w:right w:val="nil"/>
            </w:tcBorders>
            <w:noWrap/>
            <w:hideMark/>
          </w:tcPr>
          <w:p w:rsidR="007D3698" w:rsidRPr="00AA1077" w:rsidRDefault="007D3698" w:rsidP="0097579A">
            <w:pPr>
              <w:pStyle w:val="Normal6"/>
              <w:rPr>
                <w:noProof/>
                <w:sz w:val="18"/>
              </w:rPr>
            </w:pPr>
          </w:p>
        </w:tc>
        <w:tc>
          <w:tcPr>
            <w:tcW w:w="1560" w:type="dxa"/>
            <w:tcBorders>
              <w:top w:val="nil"/>
              <w:left w:val="nil"/>
              <w:bottom w:val="nil"/>
              <w:right w:val="nil"/>
            </w:tcBorders>
          </w:tcPr>
          <w:p w:rsidR="007D3698" w:rsidRPr="00AA1077" w:rsidRDefault="007D3698" w:rsidP="0097579A">
            <w:pPr>
              <w:pStyle w:val="Normal6"/>
              <w:rPr>
                <w:noProof/>
                <w:sz w:val="18"/>
              </w:rPr>
            </w:pPr>
            <w:r>
              <w:rPr>
                <w:sz w:val="18"/>
              </w:rPr>
              <w:t>S.O.</w:t>
            </w:r>
          </w:p>
        </w:tc>
      </w:tr>
      <w:tr w:rsidR="007D3698" w:rsidRPr="00AA1077" w:rsidTr="009757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00"/>
        </w:trPr>
        <w:tc>
          <w:tcPr>
            <w:tcW w:w="841" w:type="dxa"/>
            <w:gridSpan w:val="2"/>
            <w:tcBorders>
              <w:top w:val="nil"/>
              <w:left w:val="nil"/>
              <w:bottom w:val="nil"/>
              <w:right w:val="nil"/>
            </w:tcBorders>
            <w:noWrap/>
            <w:hideMark/>
          </w:tcPr>
          <w:p w:rsidR="007D3698" w:rsidRPr="00AA1077" w:rsidRDefault="007D3698" w:rsidP="0097579A">
            <w:pPr>
              <w:pStyle w:val="Normal6"/>
              <w:rPr>
                <w:noProof/>
                <w:sz w:val="18"/>
              </w:rPr>
            </w:pPr>
            <w:r>
              <w:rPr>
                <w:sz w:val="18"/>
              </w:rPr>
              <w:t>..</w:t>
            </w:r>
          </w:p>
        </w:tc>
        <w:tc>
          <w:tcPr>
            <w:tcW w:w="2503" w:type="dxa"/>
            <w:tcBorders>
              <w:top w:val="nil"/>
              <w:left w:val="nil"/>
              <w:bottom w:val="nil"/>
              <w:right w:val="nil"/>
            </w:tcBorders>
            <w:noWrap/>
            <w:hideMark/>
          </w:tcPr>
          <w:p w:rsidR="007D3698" w:rsidRPr="00AA1077" w:rsidRDefault="007D3698" w:rsidP="0097579A">
            <w:pPr>
              <w:pStyle w:val="Normal6"/>
              <w:rPr>
                <w:noProof/>
                <w:sz w:val="18"/>
              </w:rPr>
            </w:pPr>
            <w:r>
              <w:rPr>
                <w:sz w:val="18"/>
              </w:rPr>
              <w:t>Priorité spécifique «Emploi des jeunes»</w:t>
            </w:r>
          </w:p>
        </w:tc>
        <w:tc>
          <w:tcPr>
            <w:tcW w:w="528" w:type="dxa"/>
            <w:tcBorders>
              <w:top w:val="nil"/>
              <w:left w:val="nil"/>
              <w:bottom w:val="nil"/>
              <w:right w:val="nil"/>
            </w:tcBorders>
            <w:noWrap/>
            <w:hideMark/>
          </w:tcPr>
          <w:p w:rsidR="007D3698" w:rsidRPr="00AA1077" w:rsidRDefault="007D3698" w:rsidP="0097579A">
            <w:pPr>
              <w:pStyle w:val="Normal6"/>
              <w:rPr>
                <w:noProof/>
                <w:sz w:val="18"/>
              </w:rPr>
            </w:pPr>
            <w:r>
              <w:rPr>
                <w:sz w:val="18"/>
              </w:rPr>
              <w:t>Non</w:t>
            </w:r>
          </w:p>
        </w:tc>
        <w:tc>
          <w:tcPr>
            <w:tcW w:w="1609" w:type="dxa"/>
            <w:tcBorders>
              <w:top w:val="nil"/>
              <w:left w:val="nil"/>
              <w:bottom w:val="nil"/>
              <w:right w:val="nil"/>
            </w:tcBorders>
            <w:noWrap/>
          </w:tcPr>
          <w:p w:rsidR="007D3698" w:rsidRPr="00AA1077" w:rsidRDefault="007D3698" w:rsidP="0097579A">
            <w:pPr>
              <w:pStyle w:val="Normal6"/>
              <w:rPr>
                <w:noProof/>
                <w:sz w:val="18"/>
              </w:rPr>
            </w:pPr>
          </w:p>
        </w:tc>
        <w:tc>
          <w:tcPr>
            <w:tcW w:w="743" w:type="dxa"/>
            <w:tcBorders>
              <w:top w:val="nil"/>
              <w:left w:val="nil"/>
              <w:bottom w:val="nil"/>
              <w:right w:val="nil"/>
            </w:tcBorders>
            <w:noWrap/>
            <w:hideMark/>
          </w:tcPr>
          <w:p w:rsidR="007D3698" w:rsidRPr="00AA1077" w:rsidRDefault="007D3698" w:rsidP="0097579A">
            <w:pPr>
              <w:pStyle w:val="Normal6"/>
              <w:rPr>
                <w:noProof/>
                <w:sz w:val="18"/>
              </w:rPr>
            </w:pPr>
            <w:r>
              <w:rPr>
                <w:sz w:val="18"/>
              </w:rPr>
              <w:t>FSE+</w:t>
            </w:r>
          </w:p>
        </w:tc>
        <w:tc>
          <w:tcPr>
            <w:tcW w:w="1856" w:type="dxa"/>
            <w:tcBorders>
              <w:top w:val="nil"/>
              <w:left w:val="nil"/>
              <w:bottom w:val="nil"/>
              <w:right w:val="nil"/>
            </w:tcBorders>
            <w:noWrap/>
          </w:tcPr>
          <w:p w:rsidR="007D3698" w:rsidRPr="00AA1077" w:rsidRDefault="007D3698" w:rsidP="0097579A">
            <w:pPr>
              <w:pStyle w:val="Normal6"/>
              <w:rPr>
                <w:noProof/>
                <w:sz w:val="18"/>
              </w:rPr>
            </w:pPr>
          </w:p>
        </w:tc>
        <w:tc>
          <w:tcPr>
            <w:tcW w:w="1560" w:type="dxa"/>
            <w:tcBorders>
              <w:top w:val="nil"/>
              <w:left w:val="nil"/>
              <w:bottom w:val="nil"/>
              <w:right w:val="nil"/>
            </w:tcBorders>
          </w:tcPr>
          <w:p w:rsidR="007D3698" w:rsidRPr="00AA1077" w:rsidRDefault="007D3698" w:rsidP="0097579A">
            <w:pPr>
              <w:pStyle w:val="Normal6"/>
              <w:rPr>
                <w:noProof/>
                <w:sz w:val="18"/>
              </w:rPr>
            </w:pPr>
          </w:p>
        </w:tc>
      </w:tr>
      <w:tr w:rsidR="007D3698" w:rsidRPr="00AA1077" w:rsidTr="009757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00"/>
        </w:trPr>
        <w:tc>
          <w:tcPr>
            <w:tcW w:w="841" w:type="dxa"/>
            <w:gridSpan w:val="2"/>
            <w:tcBorders>
              <w:top w:val="nil"/>
              <w:left w:val="nil"/>
              <w:bottom w:val="nil"/>
              <w:right w:val="nil"/>
            </w:tcBorders>
            <w:noWrap/>
          </w:tcPr>
          <w:p w:rsidR="007D3698" w:rsidRPr="00AA1077" w:rsidRDefault="007D3698" w:rsidP="0097579A">
            <w:pPr>
              <w:pStyle w:val="Normal6"/>
              <w:rPr>
                <w:b/>
                <w:i/>
                <w:noProof/>
                <w:sz w:val="18"/>
              </w:rPr>
            </w:pPr>
          </w:p>
        </w:tc>
        <w:tc>
          <w:tcPr>
            <w:tcW w:w="2503" w:type="dxa"/>
            <w:tcBorders>
              <w:top w:val="nil"/>
              <w:left w:val="nil"/>
              <w:bottom w:val="nil"/>
              <w:right w:val="nil"/>
            </w:tcBorders>
            <w:noWrap/>
            <w:hideMark/>
          </w:tcPr>
          <w:p w:rsidR="007D3698" w:rsidRPr="00AA1077" w:rsidRDefault="007D3698" w:rsidP="0097579A">
            <w:pPr>
              <w:pStyle w:val="Normal6"/>
              <w:rPr>
                <w:b/>
                <w:i/>
                <w:noProof/>
                <w:sz w:val="18"/>
              </w:rPr>
            </w:pPr>
            <w:r>
              <w:rPr>
                <w:b/>
                <w:i/>
                <w:sz w:val="18"/>
              </w:rPr>
              <w:t>Priorité spécifique «Garantie pour l’enfance»</w:t>
            </w:r>
          </w:p>
        </w:tc>
        <w:tc>
          <w:tcPr>
            <w:tcW w:w="528" w:type="dxa"/>
            <w:tcBorders>
              <w:top w:val="nil"/>
              <w:left w:val="nil"/>
              <w:bottom w:val="nil"/>
              <w:right w:val="nil"/>
            </w:tcBorders>
            <w:noWrap/>
            <w:hideMark/>
          </w:tcPr>
          <w:p w:rsidR="007D3698" w:rsidRPr="00AA1077" w:rsidRDefault="007D3698" w:rsidP="0097579A">
            <w:pPr>
              <w:pStyle w:val="Normal6"/>
              <w:rPr>
                <w:b/>
                <w:i/>
                <w:noProof/>
                <w:sz w:val="18"/>
              </w:rPr>
            </w:pPr>
            <w:r>
              <w:rPr>
                <w:b/>
                <w:i/>
                <w:sz w:val="18"/>
              </w:rPr>
              <w:t>Non</w:t>
            </w:r>
          </w:p>
        </w:tc>
        <w:tc>
          <w:tcPr>
            <w:tcW w:w="1609" w:type="dxa"/>
            <w:tcBorders>
              <w:top w:val="nil"/>
              <w:left w:val="nil"/>
              <w:bottom w:val="nil"/>
              <w:right w:val="nil"/>
            </w:tcBorders>
            <w:noWrap/>
          </w:tcPr>
          <w:p w:rsidR="007D3698" w:rsidRPr="00AA1077" w:rsidRDefault="007D3698" w:rsidP="0097579A">
            <w:pPr>
              <w:pStyle w:val="Normal6"/>
              <w:rPr>
                <w:b/>
                <w:i/>
                <w:noProof/>
                <w:sz w:val="18"/>
              </w:rPr>
            </w:pPr>
          </w:p>
        </w:tc>
        <w:tc>
          <w:tcPr>
            <w:tcW w:w="743" w:type="dxa"/>
            <w:tcBorders>
              <w:top w:val="nil"/>
              <w:left w:val="nil"/>
              <w:bottom w:val="nil"/>
              <w:right w:val="nil"/>
            </w:tcBorders>
            <w:noWrap/>
            <w:hideMark/>
          </w:tcPr>
          <w:p w:rsidR="007D3698" w:rsidRPr="00AA1077" w:rsidRDefault="007D3698" w:rsidP="0097579A">
            <w:pPr>
              <w:pStyle w:val="Normal6"/>
              <w:rPr>
                <w:b/>
                <w:i/>
                <w:noProof/>
                <w:sz w:val="18"/>
              </w:rPr>
            </w:pPr>
            <w:r>
              <w:rPr>
                <w:b/>
                <w:i/>
                <w:sz w:val="18"/>
              </w:rPr>
              <w:t>FSE+</w:t>
            </w:r>
          </w:p>
        </w:tc>
        <w:tc>
          <w:tcPr>
            <w:tcW w:w="1856" w:type="dxa"/>
            <w:tcBorders>
              <w:top w:val="nil"/>
              <w:left w:val="nil"/>
              <w:bottom w:val="nil"/>
              <w:right w:val="nil"/>
            </w:tcBorders>
            <w:noWrap/>
          </w:tcPr>
          <w:p w:rsidR="007D3698" w:rsidRPr="00AA1077" w:rsidRDefault="007D3698" w:rsidP="0097579A">
            <w:pPr>
              <w:pStyle w:val="Normal6"/>
              <w:rPr>
                <w:b/>
                <w:i/>
                <w:noProof/>
                <w:sz w:val="18"/>
              </w:rPr>
            </w:pPr>
          </w:p>
        </w:tc>
        <w:tc>
          <w:tcPr>
            <w:tcW w:w="1560" w:type="dxa"/>
            <w:tcBorders>
              <w:top w:val="nil"/>
              <w:left w:val="nil"/>
              <w:bottom w:val="nil"/>
              <w:right w:val="nil"/>
            </w:tcBorders>
          </w:tcPr>
          <w:p w:rsidR="007D3698" w:rsidRPr="00AA1077" w:rsidRDefault="007D3698" w:rsidP="0097579A">
            <w:pPr>
              <w:pStyle w:val="Normal6"/>
              <w:rPr>
                <w:b/>
                <w:i/>
                <w:noProof/>
                <w:sz w:val="18"/>
              </w:rPr>
            </w:pPr>
          </w:p>
        </w:tc>
      </w:tr>
      <w:tr w:rsidR="007D3698" w:rsidRPr="00AA1077" w:rsidTr="009757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00"/>
        </w:trPr>
        <w:tc>
          <w:tcPr>
            <w:tcW w:w="841" w:type="dxa"/>
            <w:gridSpan w:val="2"/>
            <w:tcBorders>
              <w:top w:val="nil"/>
              <w:left w:val="nil"/>
              <w:bottom w:val="nil"/>
              <w:right w:val="nil"/>
            </w:tcBorders>
            <w:noWrap/>
            <w:hideMark/>
          </w:tcPr>
          <w:p w:rsidR="007D3698" w:rsidRPr="00AA1077" w:rsidRDefault="007D3698" w:rsidP="0097579A">
            <w:pPr>
              <w:pStyle w:val="Normal6"/>
              <w:rPr>
                <w:noProof/>
                <w:sz w:val="18"/>
              </w:rPr>
            </w:pPr>
            <w:r>
              <w:rPr>
                <w:sz w:val="18"/>
              </w:rPr>
              <w:t>..</w:t>
            </w:r>
          </w:p>
        </w:tc>
        <w:tc>
          <w:tcPr>
            <w:tcW w:w="2503" w:type="dxa"/>
            <w:tcBorders>
              <w:top w:val="nil"/>
              <w:left w:val="nil"/>
              <w:bottom w:val="nil"/>
              <w:right w:val="nil"/>
            </w:tcBorders>
            <w:noWrap/>
            <w:hideMark/>
          </w:tcPr>
          <w:p w:rsidR="007D3698" w:rsidRPr="00AA1077" w:rsidRDefault="007D3698" w:rsidP="0097579A">
            <w:pPr>
              <w:pStyle w:val="Normal6"/>
              <w:rPr>
                <w:noProof/>
                <w:sz w:val="18"/>
              </w:rPr>
            </w:pPr>
            <w:r>
              <w:rPr>
                <w:sz w:val="18"/>
              </w:rPr>
              <w:t>Priorité spécifique «Recommandations par pays»</w:t>
            </w:r>
          </w:p>
        </w:tc>
        <w:tc>
          <w:tcPr>
            <w:tcW w:w="528" w:type="dxa"/>
            <w:tcBorders>
              <w:top w:val="nil"/>
              <w:left w:val="nil"/>
              <w:bottom w:val="nil"/>
              <w:right w:val="nil"/>
            </w:tcBorders>
            <w:noWrap/>
            <w:hideMark/>
          </w:tcPr>
          <w:p w:rsidR="007D3698" w:rsidRPr="00AA1077" w:rsidRDefault="007D3698" w:rsidP="0097579A">
            <w:pPr>
              <w:pStyle w:val="Normal6"/>
              <w:rPr>
                <w:noProof/>
                <w:sz w:val="18"/>
              </w:rPr>
            </w:pPr>
            <w:r>
              <w:rPr>
                <w:sz w:val="18"/>
              </w:rPr>
              <w:t>Non</w:t>
            </w:r>
          </w:p>
        </w:tc>
        <w:tc>
          <w:tcPr>
            <w:tcW w:w="1609" w:type="dxa"/>
            <w:tcBorders>
              <w:top w:val="nil"/>
              <w:left w:val="nil"/>
              <w:bottom w:val="nil"/>
              <w:right w:val="nil"/>
            </w:tcBorders>
            <w:noWrap/>
          </w:tcPr>
          <w:p w:rsidR="007D3698" w:rsidRPr="00AA1077" w:rsidRDefault="007D3698" w:rsidP="0097579A">
            <w:pPr>
              <w:pStyle w:val="Normal6"/>
              <w:rPr>
                <w:noProof/>
                <w:sz w:val="18"/>
              </w:rPr>
            </w:pPr>
          </w:p>
        </w:tc>
        <w:tc>
          <w:tcPr>
            <w:tcW w:w="743" w:type="dxa"/>
            <w:tcBorders>
              <w:top w:val="nil"/>
              <w:left w:val="nil"/>
              <w:bottom w:val="nil"/>
              <w:right w:val="nil"/>
            </w:tcBorders>
            <w:noWrap/>
            <w:hideMark/>
          </w:tcPr>
          <w:p w:rsidR="007D3698" w:rsidRPr="00AA1077" w:rsidRDefault="007D3698" w:rsidP="0097579A">
            <w:pPr>
              <w:pStyle w:val="Normal6"/>
              <w:rPr>
                <w:noProof/>
                <w:sz w:val="18"/>
              </w:rPr>
            </w:pPr>
            <w:r>
              <w:rPr>
                <w:sz w:val="18"/>
              </w:rPr>
              <w:t>FSE+</w:t>
            </w:r>
          </w:p>
        </w:tc>
        <w:tc>
          <w:tcPr>
            <w:tcW w:w="1856" w:type="dxa"/>
            <w:tcBorders>
              <w:top w:val="nil"/>
              <w:left w:val="nil"/>
              <w:bottom w:val="nil"/>
              <w:right w:val="nil"/>
            </w:tcBorders>
            <w:noWrap/>
          </w:tcPr>
          <w:p w:rsidR="007D3698" w:rsidRPr="00AA1077" w:rsidRDefault="007D3698" w:rsidP="0097579A">
            <w:pPr>
              <w:pStyle w:val="Normal6"/>
              <w:rPr>
                <w:noProof/>
                <w:sz w:val="18"/>
              </w:rPr>
            </w:pPr>
          </w:p>
        </w:tc>
        <w:tc>
          <w:tcPr>
            <w:tcW w:w="1560" w:type="dxa"/>
            <w:tcBorders>
              <w:top w:val="nil"/>
              <w:left w:val="nil"/>
              <w:bottom w:val="nil"/>
              <w:right w:val="nil"/>
            </w:tcBorders>
          </w:tcPr>
          <w:p w:rsidR="007D3698" w:rsidRPr="00AA1077" w:rsidRDefault="007D3698" w:rsidP="0097579A">
            <w:pPr>
              <w:pStyle w:val="Normal6"/>
              <w:rPr>
                <w:noProof/>
                <w:sz w:val="18"/>
              </w:rPr>
            </w:pPr>
          </w:p>
        </w:tc>
      </w:tr>
      <w:tr w:rsidR="007D3698" w:rsidRPr="00AA1077" w:rsidTr="009757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00"/>
        </w:trPr>
        <w:tc>
          <w:tcPr>
            <w:tcW w:w="841" w:type="dxa"/>
            <w:gridSpan w:val="2"/>
            <w:tcBorders>
              <w:top w:val="nil"/>
              <w:left w:val="nil"/>
              <w:bottom w:val="nil"/>
              <w:right w:val="nil"/>
            </w:tcBorders>
            <w:noWrap/>
            <w:hideMark/>
          </w:tcPr>
          <w:p w:rsidR="007D3698" w:rsidRPr="00AA1077" w:rsidRDefault="007D3698" w:rsidP="0097579A">
            <w:pPr>
              <w:pStyle w:val="Normal6"/>
              <w:rPr>
                <w:noProof/>
                <w:sz w:val="18"/>
              </w:rPr>
            </w:pPr>
            <w:r>
              <w:rPr>
                <w:sz w:val="18"/>
              </w:rPr>
              <w:t>..</w:t>
            </w:r>
          </w:p>
        </w:tc>
        <w:tc>
          <w:tcPr>
            <w:tcW w:w="2503" w:type="dxa"/>
            <w:tcBorders>
              <w:top w:val="nil"/>
              <w:left w:val="nil"/>
              <w:bottom w:val="nil"/>
              <w:right w:val="nil"/>
            </w:tcBorders>
            <w:noWrap/>
            <w:hideMark/>
          </w:tcPr>
          <w:p w:rsidR="007D3698" w:rsidRPr="00AA1077" w:rsidRDefault="007D3698" w:rsidP="0097579A">
            <w:pPr>
              <w:pStyle w:val="Normal6"/>
              <w:rPr>
                <w:noProof/>
                <w:sz w:val="18"/>
              </w:rPr>
            </w:pPr>
            <w:r>
              <w:rPr>
                <w:sz w:val="18"/>
              </w:rPr>
              <w:t>Priorité spécifique «Actions innovatrices»</w:t>
            </w:r>
          </w:p>
        </w:tc>
        <w:tc>
          <w:tcPr>
            <w:tcW w:w="528" w:type="dxa"/>
            <w:tcBorders>
              <w:top w:val="nil"/>
              <w:left w:val="nil"/>
              <w:bottom w:val="nil"/>
              <w:right w:val="nil"/>
            </w:tcBorders>
            <w:noWrap/>
            <w:hideMark/>
          </w:tcPr>
          <w:p w:rsidR="007D3698" w:rsidRPr="00AA1077" w:rsidRDefault="007D3698" w:rsidP="0097579A">
            <w:pPr>
              <w:pStyle w:val="Normal6"/>
              <w:rPr>
                <w:noProof/>
                <w:sz w:val="18"/>
              </w:rPr>
            </w:pPr>
            <w:r>
              <w:rPr>
                <w:sz w:val="18"/>
              </w:rPr>
              <w:t>Non</w:t>
            </w:r>
          </w:p>
        </w:tc>
        <w:tc>
          <w:tcPr>
            <w:tcW w:w="1609" w:type="dxa"/>
            <w:tcBorders>
              <w:top w:val="nil"/>
              <w:left w:val="nil"/>
              <w:bottom w:val="nil"/>
              <w:right w:val="nil"/>
            </w:tcBorders>
            <w:noWrap/>
          </w:tcPr>
          <w:p w:rsidR="007D3698" w:rsidRPr="00AA1077" w:rsidRDefault="007D3698" w:rsidP="0097579A">
            <w:pPr>
              <w:pStyle w:val="Normal6"/>
              <w:rPr>
                <w:noProof/>
                <w:sz w:val="18"/>
              </w:rPr>
            </w:pPr>
          </w:p>
        </w:tc>
        <w:tc>
          <w:tcPr>
            <w:tcW w:w="743" w:type="dxa"/>
            <w:tcBorders>
              <w:top w:val="nil"/>
              <w:left w:val="nil"/>
              <w:bottom w:val="nil"/>
              <w:right w:val="nil"/>
            </w:tcBorders>
            <w:noWrap/>
            <w:hideMark/>
          </w:tcPr>
          <w:p w:rsidR="007D3698" w:rsidRPr="00AA1077" w:rsidRDefault="007D3698" w:rsidP="0097579A">
            <w:pPr>
              <w:pStyle w:val="Normal6"/>
              <w:rPr>
                <w:noProof/>
                <w:sz w:val="18"/>
              </w:rPr>
            </w:pPr>
            <w:r>
              <w:rPr>
                <w:sz w:val="18"/>
              </w:rPr>
              <w:t>FSE+</w:t>
            </w:r>
          </w:p>
        </w:tc>
        <w:tc>
          <w:tcPr>
            <w:tcW w:w="1856" w:type="dxa"/>
            <w:tcBorders>
              <w:top w:val="nil"/>
              <w:left w:val="nil"/>
              <w:bottom w:val="nil"/>
              <w:right w:val="nil"/>
            </w:tcBorders>
            <w:noWrap/>
          </w:tcPr>
          <w:p w:rsidR="007D3698" w:rsidRPr="00AA1077" w:rsidRDefault="007D3698" w:rsidP="0097579A">
            <w:pPr>
              <w:pStyle w:val="Normal6"/>
              <w:rPr>
                <w:noProof/>
                <w:sz w:val="18"/>
              </w:rPr>
            </w:pPr>
          </w:p>
        </w:tc>
        <w:tc>
          <w:tcPr>
            <w:tcW w:w="1560" w:type="dxa"/>
            <w:tcBorders>
              <w:top w:val="nil"/>
              <w:left w:val="nil"/>
              <w:bottom w:val="nil"/>
              <w:right w:val="nil"/>
            </w:tcBorders>
            <w:hideMark/>
          </w:tcPr>
          <w:p w:rsidR="007D3698" w:rsidRPr="00AA1077" w:rsidRDefault="007D3698" w:rsidP="0097579A">
            <w:pPr>
              <w:pStyle w:val="Normal6"/>
              <w:rPr>
                <w:noProof/>
                <w:sz w:val="18"/>
              </w:rPr>
            </w:pPr>
            <w:r>
              <w:rPr>
                <w:sz w:val="18"/>
              </w:rPr>
              <w:t>OS 8</w:t>
            </w:r>
          </w:p>
        </w:tc>
      </w:tr>
      <w:tr w:rsidR="007D3698" w:rsidRPr="00AA1077" w:rsidTr="009757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00"/>
        </w:trPr>
        <w:tc>
          <w:tcPr>
            <w:tcW w:w="841" w:type="dxa"/>
            <w:gridSpan w:val="2"/>
            <w:tcBorders>
              <w:top w:val="nil"/>
              <w:left w:val="nil"/>
              <w:bottom w:val="nil"/>
              <w:right w:val="nil"/>
            </w:tcBorders>
            <w:noWrap/>
          </w:tcPr>
          <w:p w:rsidR="007D3698" w:rsidRPr="00AA1077" w:rsidRDefault="007D3698" w:rsidP="0097579A">
            <w:pPr>
              <w:pStyle w:val="Normal6"/>
              <w:rPr>
                <w:noProof/>
                <w:sz w:val="18"/>
              </w:rPr>
            </w:pPr>
          </w:p>
        </w:tc>
        <w:tc>
          <w:tcPr>
            <w:tcW w:w="2503" w:type="dxa"/>
            <w:tcBorders>
              <w:top w:val="nil"/>
              <w:left w:val="nil"/>
              <w:bottom w:val="nil"/>
              <w:right w:val="nil"/>
            </w:tcBorders>
            <w:noWrap/>
            <w:hideMark/>
          </w:tcPr>
          <w:p w:rsidR="007D3698" w:rsidRPr="00AA1077" w:rsidRDefault="007D3698" w:rsidP="0097579A">
            <w:pPr>
              <w:pStyle w:val="Normal6"/>
              <w:rPr>
                <w:noProof/>
                <w:sz w:val="18"/>
              </w:rPr>
            </w:pPr>
            <w:r>
              <w:rPr>
                <w:sz w:val="18"/>
              </w:rPr>
              <w:t>Priorité spécifique «Privation matérielle»</w:t>
            </w:r>
          </w:p>
        </w:tc>
        <w:tc>
          <w:tcPr>
            <w:tcW w:w="528" w:type="dxa"/>
            <w:tcBorders>
              <w:top w:val="nil"/>
              <w:left w:val="nil"/>
              <w:bottom w:val="nil"/>
              <w:right w:val="nil"/>
            </w:tcBorders>
            <w:noWrap/>
            <w:hideMark/>
          </w:tcPr>
          <w:p w:rsidR="007D3698" w:rsidRPr="00AA1077" w:rsidRDefault="007D3698" w:rsidP="0097579A">
            <w:pPr>
              <w:pStyle w:val="Normal6"/>
              <w:rPr>
                <w:noProof/>
                <w:sz w:val="18"/>
              </w:rPr>
            </w:pPr>
            <w:r>
              <w:rPr>
                <w:sz w:val="18"/>
              </w:rPr>
              <w:t>Non</w:t>
            </w:r>
          </w:p>
        </w:tc>
        <w:tc>
          <w:tcPr>
            <w:tcW w:w="1609" w:type="dxa"/>
            <w:tcBorders>
              <w:top w:val="nil"/>
              <w:left w:val="nil"/>
              <w:bottom w:val="nil"/>
              <w:right w:val="nil"/>
            </w:tcBorders>
            <w:noWrap/>
          </w:tcPr>
          <w:p w:rsidR="007D3698" w:rsidRPr="00AA1077" w:rsidRDefault="007D3698" w:rsidP="0097579A">
            <w:pPr>
              <w:pStyle w:val="Normal6"/>
              <w:rPr>
                <w:noProof/>
                <w:sz w:val="18"/>
              </w:rPr>
            </w:pPr>
          </w:p>
        </w:tc>
        <w:tc>
          <w:tcPr>
            <w:tcW w:w="743" w:type="dxa"/>
            <w:tcBorders>
              <w:top w:val="nil"/>
              <w:left w:val="nil"/>
              <w:bottom w:val="nil"/>
              <w:right w:val="nil"/>
            </w:tcBorders>
            <w:noWrap/>
            <w:hideMark/>
          </w:tcPr>
          <w:p w:rsidR="007D3698" w:rsidRPr="00AA1077" w:rsidRDefault="007D3698" w:rsidP="0097579A">
            <w:pPr>
              <w:pStyle w:val="Normal6"/>
              <w:rPr>
                <w:noProof/>
                <w:sz w:val="18"/>
              </w:rPr>
            </w:pPr>
            <w:r>
              <w:rPr>
                <w:sz w:val="18"/>
              </w:rPr>
              <w:t>FSE+</w:t>
            </w:r>
          </w:p>
        </w:tc>
        <w:tc>
          <w:tcPr>
            <w:tcW w:w="1856" w:type="dxa"/>
            <w:tcBorders>
              <w:top w:val="nil"/>
              <w:left w:val="nil"/>
              <w:bottom w:val="nil"/>
              <w:right w:val="nil"/>
            </w:tcBorders>
            <w:noWrap/>
          </w:tcPr>
          <w:p w:rsidR="007D3698" w:rsidRPr="00AA1077" w:rsidRDefault="007D3698" w:rsidP="0097579A">
            <w:pPr>
              <w:pStyle w:val="Normal6"/>
              <w:rPr>
                <w:noProof/>
                <w:sz w:val="18"/>
              </w:rPr>
            </w:pPr>
          </w:p>
        </w:tc>
        <w:tc>
          <w:tcPr>
            <w:tcW w:w="1560" w:type="dxa"/>
            <w:tcBorders>
              <w:top w:val="nil"/>
              <w:left w:val="nil"/>
              <w:bottom w:val="nil"/>
              <w:right w:val="nil"/>
            </w:tcBorders>
            <w:hideMark/>
          </w:tcPr>
          <w:p w:rsidR="007D3698" w:rsidRPr="00AA1077" w:rsidRDefault="007D3698" w:rsidP="0097579A">
            <w:pPr>
              <w:pStyle w:val="Normal6"/>
              <w:rPr>
                <w:noProof/>
                <w:sz w:val="18"/>
              </w:rPr>
            </w:pPr>
            <w:r>
              <w:rPr>
                <w:sz w:val="18"/>
              </w:rPr>
              <w:t>OS 9</w:t>
            </w:r>
          </w:p>
        </w:tc>
      </w:tr>
    </w:tbl>
    <w:p w:rsidR="007D3698" w:rsidRPr="00AA1077" w:rsidRDefault="007D3698" w:rsidP="007D3698">
      <w:pPr>
        <w:rPr>
          <w:noProof/>
        </w:rPr>
      </w:pPr>
      <w:r>
        <w:rPr>
          <w:rStyle w:val="HideTWBExt"/>
        </w:rPr>
        <w:t>&lt;/Amend&gt;</w:t>
      </w:r>
    </w:p>
    <w:p w:rsidR="007D3698" w:rsidRPr="00AA1077" w:rsidRDefault="007D3698" w:rsidP="007D3698">
      <w:pPr>
        <w:pStyle w:val="AMNumberTabs"/>
        <w:rPr>
          <w:noProof/>
        </w:rPr>
      </w:pPr>
      <w:r>
        <w:rPr>
          <w:rStyle w:val="HideTWBExt"/>
          <w:b w:val="0"/>
          <w:szCs w:val="24"/>
        </w:rPr>
        <w:t>&lt;Amend&gt;</w:t>
      </w:r>
      <w:r w:rsidRPr="00810763">
        <w:t>Amendement</w:t>
      </w:r>
      <w:r w:rsidRPr="00810763">
        <w:tab/>
      </w:r>
      <w:r w:rsidRPr="00810763">
        <w:tab/>
      </w:r>
      <w:r>
        <w:rPr>
          <w:rStyle w:val="HideTWBExt"/>
          <w:b w:val="0"/>
          <w:szCs w:val="24"/>
        </w:rPr>
        <w:t>&lt;NumAm&gt;</w:t>
      </w:r>
      <w:r w:rsidRPr="00810763">
        <w:t>109</w:t>
      </w:r>
      <w:r>
        <w:rPr>
          <w:rStyle w:val="HideTWBExt"/>
          <w:b w:val="0"/>
          <w:szCs w:val="24"/>
        </w:rPr>
        <w:t>&lt;/NumAm&gt;</w:t>
      </w:r>
    </w:p>
    <w:p w:rsidR="007D3698" w:rsidRPr="007D3698" w:rsidRDefault="007D3698" w:rsidP="007D3698">
      <w:pPr>
        <w:pStyle w:val="NormalBold12b"/>
        <w:rPr>
          <w:noProof/>
        </w:rPr>
      </w:pPr>
      <w:r>
        <w:rPr>
          <w:rStyle w:val="HideTWBExt"/>
          <w:b w:val="0"/>
          <w:szCs w:val="24"/>
          <w:lang w:val="en-GB"/>
        </w:rPr>
        <w:t>&lt;DocAmend&gt;</w:t>
      </w:r>
      <w:r w:rsidRPr="00810763">
        <w:t>Proposition de règlement</w:t>
      </w:r>
      <w:r>
        <w:rPr>
          <w:rStyle w:val="HideTWBExt"/>
          <w:b w:val="0"/>
          <w:szCs w:val="24"/>
          <w:lang w:val="en-GB"/>
        </w:rPr>
        <w:t>&lt;/DocAmend&gt;</w:t>
      </w:r>
    </w:p>
    <w:p w:rsidR="007D3698" w:rsidRPr="00F15B66" w:rsidRDefault="007D3698" w:rsidP="007D3698">
      <w:pPr>
        <w:pStyle w:val="NormalBold"/>
        <w:keepNext/>
        <w:rPr>
          <w:noProof/>
        </w:rPr>
      </w:pPr>
      <w:r>
        <w:rPr>
          <w:rStyle w:val="HideTWBExt"/>
          <w:b w:val="0"/>
          <w:szCs w:val="24"/>
        </w:rPr>
        <w:t>&lt;Article&gt;</w:t>
      </w:r>
      <w:r w:rsidRPr="00810763">
        <w:t>Annexe V –point 2.1 - tableau</w:t>
      </w:r>
      <w:r>
        <w:rPr>
          <w:rStyle w:val="HideTWBExt"/>
          <w:b w:val="0"/>
          <w:szCs w:val="24"/>
        </w:rPr>
        <w:t>&lt;/Article&gt;</w:t>
      </w:r>
    </w:p>
    <w:tbl>
      <w:tblPr>
        <w:tblW w:w="9642" w:type="dxa"/>
        <w:jc w:val="center"/>
        <w:tblLayout w:type="fixed"/>
        <w:tblCellMar>
          <w:left w:w="340" w:type="dxa"/>
          <w:right w:w="340" w:type="dxa"/>
        </w:tblCellMar>
        <w:tblLook w:val="0000" w:firstRow="0" w:lastRow="0" w:firstColumn="0" w:lastColumn="0" w:noHBand="0" w:noVBand="0"/>
      </w:tblPr>
      <w:tblGrid>
        <w:gridCol w:w="9642"/>
      </w:tblGrid>
      <w:tr w:rsidR="007D3698" w:rsidRPr="00F15B66" w:rsidTr="0097579A">
        <w:trPr>
          <w:jc w:val="center"/>
        </w:trPr>
        <w:tc>
          <w:tcPr>
            <w:tcW w:w="9642" w:type="dxa"/>
          </w:tcPr>
          <w:p w:rsidR="007D3698" w:rsidRPr="00F15B66" w:rsidRDefault="007D3698" w:rsidP="0097579A">
            <w:pPr>
              <w:keepNext/>
              <w:rPr>
                <w:noProof/>
              </w:rPr>
            </w:pPr>
          </w:p>
        </w:tc>
      </w:tr>
      <w:tr w:rsidR="007D3698" w:rsidRPr="007D3698" w:rsidTr="0097579A">
        <w:trPr>
          <w:jc w:val="center"/>
        </w:trPr>
        <w:tc>
          <w:tcPr>
            <w:tcW w:w="9642" w:type="dxa"/>
          </w:tcPr>
          <w:p w:rsidR="007D3698" w:rsidRPr="007D3698" w:rsidRDefault="007D3698" w:rsidP="0097579A">
            <w:pPr>
              <w:pStyle w:val="ColumnHeading"/>
              <w:keepNext/>
              <w:rPr>
                <w:noProof/>
                <w:szCs w:val="24"/>
              </w:rPr>
            </w:pPr>
            <w:r>
              <w:t>Texte proposé par la Commission</w:t>
            </w:r>
          </w:p>
        </w:tc>
      </w:tr>
      <w:tr w:rsidR="007D3698" w:rsidRPr="007D3698" w:rsidTr="0097579A">
        <w:trPr>
          <w:jc w:val="center"/>
        </w:trPr>
        <w:tc>
          <w:tcPr>
            <w:tcW w:w="9642" w:type="dxa"/>
          </w:tcPr>
          <w:p w:rsidR="007D3698" w:rsidRPr="007D3698" w:rsidRDefault="007D3698" w:rsidP="0097579A">
            <w:pPr>
              <w:pStyle w:val="Normal6"/>
              <w:rPr>
                <w:noProof/>
              </w:rPr>
            </w:pPr>
            <w:r w:rsidRPr="00AA1077">
              <w:fldChar w:fldCharType="begin">
                <w:ffData>
                  <w:name w:val="Check1"/>
                  <w:enabled/>
                  <w:calcOnExit w:val="0"/>
                  <w:checkBox>
                    <w:sizeAuto/>
                    <w:default w:val="0"/>
                  </w:checkBox>
                </w:ffData>
              </w:fldChar>
            </w:r>
            <w:r w:rsidRPr="007D3698">
              <w:instrText xml:space="preserve"> FORMCHECKBOX </w:instrText>
            </w:r>
            <w:r w:rsidR="00930809">
              <w:fldChar w:fldCharType="separate"/>
            </w:r>
            <w:r w:rsidRPr="00AA1077">
              <w:fldChar w:fldCharType="end"/>
            </w:r>
            <w:r>
              <w:t xml:space="preserve"> Cette priorité concerne spécifiquement une recommandation pertinente par pays</w:t>
            </w:r>
          </w:p>
        </w:tc>
      </w:tr>
      <w:tr w:rsidR="007D3698" w:rsidRPr="007D3698" w:rsidTr="0097579A">
        <w:trPr>
          <w:jc w:val="center"/>
        </w:trPr>
        <w:tc>
          <w:tcPr>
            <w:tcW w:w="9642" w:type="dxa"/>
          </w:tcPr>
          <w:p w:rsidR="007D3698" w:rsidRPr="007D3698" w:rsidRDefault="007D3698" w:rsidP="0097579A">
            <w:pPr>
              <w:pStyle w:val="Normal6"/>
              <w:rPr>
                <w:noProof/>
              </w:rPr>
            </w:pPr>
            <w:r w:rsidRPr="00AA1077">
              <w:fldChar w:fldCharType="begin">
                <w:ffData>
                  <w:name w:val="Check2"/>
                  <w:enabled/>
                  <w:calcOnExit w:val="0"/>
                  <w:checkBox>
                    <w:sizeAuto/>
                    <w:default w:val="0"/>
                  </w:checkBox>
                </w:ffData>
              </w:fldChar>
            </w:r>
            <w:r w:rsidRPr="007D3698">
              <w:instrText xml:space="preserve"> FORMCHECKBOX </w:instrText>
            </w:r>
            <w:r w:rsidR="00930809">
              <w:fldChar w:fldCharType="separate"/>
            </w:r>
            <w:r w:rsidRPr="00AA1077">
              <w:fldChar w:fldCharType="end"/>
            </w:r>
            <w:r>
              <w:t xml:space="preserve"> Cette priorité concerne spécifiquement l’emploi des jeunes</w:t>
            </w:r>
          </w:p>
        </w:tc>
      </w:tr>
      <w:tr w:rsidR="007D3698" w:rsidRPr="007D3698" w:rsidTr="0097579A">
        <w:trPr>
          <w:jc w:val="center"/>
        </w:trPr>
        <w:tc>
          <w:tcPr>
            <w:tcW w:w="9642" w:type="dxa"/>
          </w:tcPr>
          <w:p w:rsidR="007D3698" w:rsidRPr="007D3698" w:rsidRDefault="007D3698" w:rsidP="0097579A">
            <w:pPr>
              <w:pStyle w:val="Normal6"/>
              <w:rPr>
                <w:noProof/>
              </w:rPr>
            </w:pPr>
            <w:r w:rsidRPr="00AA1077">
              <w:fldChar w:fldCharType="begin">
                <w:ffData>
                  <w:name w:val="Check2"/>
                  <w:enabled/>
                  <w:calcOnExit w:val="0"/>
                  <w:checkBox>
                    <w:sizeAuto/>
                    <w:default w:val="0"/>
                  </w:checkBox>
                </w:ffData>
              </w:fldChar>
            </w:r>
            <w:r w:rsidRPr="007D3698">
              <w:instrText xml:space="preserve"> FORMCHECKBOX </w:instrText>
            </w:r>
            <w:r w:rsidR="00930809">
              <w:fldChar w:fldCharType="separate"/>
            </w:r>
            <w:r w:rsidRPr="00AA1077">
              <w:fldChar w:fldCharType="end"/>
            </w:r>
            <w:r>
              <w:t xml:space="preserve"> Cette priorité concerne spécifiquement les actions innovatrices</w:t>
            </w:r>
          </w:p>
        </w:tc>
      </w:tr>
      <w:tr w:rsidR="007D3698" w:rsidRPr="007D3698" w:rsidTr="0097579A">
        <w:trPr>
          <w:jc w:val="center"/>
        </w:trPr>
        <w:tc>
          <w:tcPr>
            <w:tcW w:w="9642" w:type="dxa"/>
          </w:tcPr>
          <w:p w:rsidR="007D3698" w:rsidRPr="007D3698" w:rsidRDefault="007D3698" w:rsidP="0097579A">
            <w:pPr>
              <w:pStyle w:val="Normal6"/>
              <w:rPr>
                <w:noProof/>
              </w:rPr>
            </w:pPr>
            <w:r w:rsidRPr="00AA1077">
              <w:fldChar w:fldCharType="begin">
                <w:ffData>
                  <w:name w:val="Check2"/>
                  <w:enabled/>
                  <w:calcOnExit w:val="0"/>
                  <w:checkBox>
                    <w:sizeAuto/>
                    <w:default w:val="0"/>
                  </w:checkBox>
                </w:ffData>
              </w:fldChar>
            </w:r>
            <w:r w:rsidRPr="007D3698">
              <w:instrText xml:space="preserve"> FORMCHECKBOX </w:instrText>
            </w:r>
            <w:r w:rsidR="00930809">
              <w:fldChar w:fldCharType="separate"/>
            </w:r>
            <w:r w:rsidRPr="00AA1077">
              <w:fldChar w:fldCharType="end"/>
            </w:r>
            <w:r>
              <w:t xml:space="preserve"> Cette priorité concerne spécifiquement la privation matérielle</w:t>
            </w:r>
          </w:p>
        </w:tc>
      </w:tr>
      <w:tr w:rsidR="007D3698" w:rsidRPr="007D3698" w:rsidTr="0097579A">
        <w:trPr>
          <w:jc w:val="center"/>
        </w:trPr>
        <w:tc>
          <w:tcPr>
            <w:tcW w:w="9642" w:type="dxa"/>
          </w:tcPr>
          <w:p w:rsidR="007D3698" w:rsidRPr="00930809" w:rsidRDefault="007D3698" w:rsidP="0097579A">
            <w:pPr>
              <w:pStyle w:val="Normal6"/>
              <w:rPr>
                <w:noProof/>
                <w:lang w:val="fr-BE" w:eastAsia="en-US"/>
              </w:rPr>
            </w:pPr>
          </w:p>
        </w:tc>
      </w:tr>
      <w:tr w:rsidR="007D3698" w:rsidRPr="00AA1077" w:rsidTr="0097579A">
        <w:trPr>
          <w:jc w:val="center"/>
        </w:trPr>
        <w:tc>
          <w:tcPr>
            <w:tcW w:w="9642" w:type="dxa"/>
          </w:tcPr>
          <w:p w:rsidR="007D3698" w:rsidRPr="00AA1077" w:rsidRDefault="007D3698" w:rsidP="0097579A">
            <w:pPr>
              <w:pStyle w:val="ColumnHeading"/>
              <w:rPr>
                <w:noProof/>
                <w:szCs w:val="24"/>
              </w:rPr>
            </w:pPr>
            <w:r>
              <w:t>Amendement</w:t>
            </w:r>
          </w:p>
        </w:tc>
      </w:tr>
      <w:tr w:rsidR="007D3698" w:rsidRPr="007D3698" w:rsidTr="0097579A">
        <w:trPr>
          <w:jc w:val="center"/>
        </w:trPr>
        <w:tc>
          <w:tcPr>
            <w:tcW w:w="9642" w:type="dxa"/>
          </w:tcPr>
          <w:p w:rsidR="007D3698" w:rsidRPr="007D3698" w:rsidRDefault="007D3698" w:rsidP="0097579A">
            <w:pPr>
              <w:pStyle w:val="Normal6"/>
              <w:rPr>
                <w:i/>
                <w:noProof/>
              </w:rPr>
            </w:pPr>
            <w:r w:rsidRPr="00AA1077">
              <w:rPr>
                <w:i/>
              </w:rPr>
              <w:lastRenderedPageBreak/>
              <w:fldChar w:fldCharType="begin">
                <w:ffData>
                  <w:name w:val="Check2"/>
                  <w:enabled/>
                  <w:calcOnExit w:val="0"/>
                  <w:checkBox>
                    <w:sizeAuto/>
                    <w:default w:val="0"/>
                  </w:checkBox>
                </w:ffData>
              </w:fldChar>
            </w:r>
            <w:r w:rsidRPr="007D3698">
              <w:instrText xml:space="preserve"> FORMCHECKBOX </w:instrText>
            </w:r>
            <w:r w:rsidR="00930809">
              <w:rPr>
                <w:i/>
              </w:rPr>
            </w:r>
            <w:r w:rsidR="00930809">
              <w:rPr>
                <w:i/>
              </w:rPr>
              <w:fldChar w:fldCharType="separate"/>
            </w:r>
            <w:r w:rsidRPr="00AA1077">
              <w:rPr>
                <w:i/>
              </w:rPr>
              <w:fldChar w:fldCharType="end"/>
            </w:r>
            <w:r>
              <w:t xml:space="preserve"> Cette priorité concerne spécifiquement une recommandation pertinente par pays</w:t>
            </w:r>
          </w:p>
        </w:tc>
      </w:tr>
      <w:tr w:rsidR="007D3698" w:rsidRPr="007D3698" w:rsidTr="0097579A">
        <w:trPr>
          <w:jc w:val="center"/>
        </w:trPr>
        <w:tc>
          <w:tcPr>
            <w:tcW w:w="9642" w:type="dxa"/>
          </w:tcPr>
          <w:p w:rsidR="007D3698" w:rsidRPr="007D3698" w:rsidRDefault="007D3698" w:rsidP="0097579A">
            <w:pPr>
              <w:pStyle w:val="Normal6"/>
              <w:rPr>
                <w:i/>
                <w:noProof/>
              </w:rPr>
            </w:pPr>
            <w:r w:rsidRPr="00AA1077">
              <w:rPr>
                <w:i/>
              </w:rPr>
              <w:fldChar w:fldCharType="begin">
                <w:ffData>
                  <w:name w:val="Check2"/>
                  <w:enabled/>
                  <w:calcOnExit w:val="0"/>
                  <w:checkBox>
                    <w:sizeAuto/>
                    <w:default w:val="0"/>
                  </w:checkBox>
                </w:ffData>
              </w:fldChar>
            </w:r>
            <w:r w:rsidRPr="007D3698">
              <w:instrText xml:space="preserve"> FORMCHECKBOX </w:instrText>
            </w:r>
            <w:r w:rsidR="00930809">
              <w:rPr>
                <w:i/>
              </w:rPr>
            </w:r>
            <w:r w:rsidR="00930809">
              <w:rPr>
                <w:i/>
              </w:rPr>
              <w:fldChar w:fldCharType="separate"/>
            </w:r>
            <w:r w:rsidRPr="00AA1077">
              <w:rPr>
                <w:i/>
              </w:rPr>
              <w:fldChar w:fldCharType="end"/>
            </w:r>
            <w:r>
              <w:t xml:space="preserve"> Cette priorité concerne spécifiquement l’emploi des jeunes</w:t>
            </w:r>
          </w:p>
        </w:tc>
      </w:tr>
      <w:tr w:rsidR="007D3698" w:rsidRPr="007D3698" w:rsidTr="0097579A">
        <w:trPr>
          <w:jc w:val="center"/>
        </w:trPr>
        <w:tc>
          <w:tcPr>
            <w:tcW w:w="9642" w:type="dxa"/>
          </w:tcPr>
          <w:p w:rsidR="007D3698" w:rsidRPr="007D3698" w:rsidRDefault="007D3698" w:rsidP="0097579A">
            <w:pPr>
              <w:pStyle w:val="Normal6"/>
              <w:rPr>
                <w:i/>
                <w:noProof/>
              </w:rPr>
            </w:pPr>
            <w:r w:rsidRPr="00AA1077">
              <w:rPr>
                <w:i/>
              </w:rPr>
              <w:fldChar w:fldCharType="begin">
                <w:ffData>
                  <w:name w:val="Check1"/>
                  <w:enabled/>
                  <w:calcOnExit w:val="0"/>
                  <w:checkBox>
                    <w:sizeAuto/>
                    <w:default w:val="0"/>
                  </w:checkBox>
                </w:ffData>
              </w:fldChar>
            </w:r>
            <w:r w:rsidRPr="007D3698">
              <w:rPr>
                <w:i/>
              </w:rPr>
              <w:instrText xml:space="preserve"> FORMCHECKBOX </w:instrText>
            </w:r>
            <w:r w:rsidR="00930809">
              <w:rPr>
                <w:i/>
              </w:rPr>
            </w:r>
            <w:r w:rsidR="00930809">
              <w:rPr>
                <w:i/>
              </w:rPr>
              <w:fldChar w:fldCharType="separate"/>
            </w:r>
            <w:r w:rsidRPr="00AA1077">
              <w:rPr>
                <w:i/>
              </w:rPr>
              <w:fldChar w:fldCharType="end"/>
            </w:r>
            <w:r>
              <w:rPr>
                <w:b/>
                <w:i/>
              </w:rPr>
              <w:t>Cette priorité concerne spécifiquement la garantie pour l’enfance</w:t>
            </w:r>
          </w:p>
        </w:tc>
      </w:tr>
      <w:tr w:rsidR="007D3698" w:rsidRPr="007D3698" w:rsidTr="0097579A">
        <w:trPr>
          <w:jc w:val="center"/>
        </w:trPr>
        <w:tc>
          <w:tcPr>
            <w:tcW w:w="9642" w:type="dxa"/>
          </w:tcPr>
          <w:p w:rsidR="007D3698" w:rsidRPr="007D3698" w:rsidRDefault="007D3698" w:rsidP="0097579A">
            <w:pPr>
              <w:pStyle w:val="Normal6"/>
              <w:rPr>
                <w:i/>
                <w:noProof/>
              </w:rPr>
            </w:pPr>
            <w:r w:rsidRPr="00AA1077">
              <w:rPr>
                <w:i/>
              </w:rPr>
              <w:fldChar w:fldCharType="begin">
                <w:ffData>
                  <w:name w:val="Check2"/>
                  <w:enabled/>
                  <w:calcOnExit w:val="0"/>
                  <w:checkBox>
                    <w:sizeAuto/>
                    <w:default w:val="0"/>
                  </w:checkBox>
                </w:ffData>
              </w:fldChar>
            </w:r>
            <w:r w:rsidRPr="007D3698">
              <w:instrText xml:space="preserve"> FORMCHECKBOX </w:instrText>
            </w:r>
            <w:r w:rsidR="00930809">
              <w:rPr>
                <w:i/>
              </w:rPr>
            </w:r>
            <w:r w:rsidR="00930809">
              <w:rPr>
                <w:i/>
              </w:rPr>
              <w:fldChar w:fldCharType="separate"/>
            </w:r>
            <w:r w:rsidRPr="00AA1077">
              <w:rPr>
                <w:i/>
              </w:rPr>
              <w:fldChar w:fldCharType="end"/>
            </w:r>
            <w:r>
              <w:t xml:space="preserve"> Cette priorité concerne spécifiquement les actions innovatrices</w:t>
            </w:r>
          </w:p>
        </w:tc>
      </w:tr>
      <w:tr w:rsidR="007D3698" w:rsidRPr="007D3698" w:rsidTr="0097579A">
        <w:trPr>
          <w:jc w:val="center"/>
        </w:trPr>
        <w:tc>
          <w:tcPr>
            <w:tcW w:w="9642" w:type="dxa"/>
          </w:tcPr>
          <w:p w:rsidR="007D3698" w:rsidRPr="007D3698" w:rsidRDefault="007D3698" w:rsidP="0097579A">
            <w:pPr>
              <w:pStyle w:val="Normal6"/>
              <w:rPr>
                <w:i/>
                <w:noProof/>
              </w:rPr>
            </w:pPr>
            <w:r w:rsidRPr="00AA1077">
              <w:rPr>
                <w:i/>
              </w:rPr>
              <w:fldChar w:fldCharType="begin">
                <w:ffData>
                  <w:name w:val="Check1"/>
                  <w:enabled/>
                  <w:calcOnExit w:val="0"/>
                  <w:checkBox>
                    <w:sizeAuto/>
                    <w:default w:val="0"/>
                  </w:checkBox>
                </w:ffData>
              </w:fldChar>
            </w:r>
            <w:r w:rsidRPr="007D3698">
              <w:instrText xml:space="preserve"> FORMCHECKBOX </w:instrText>
            </w:r>
            <w:r w:rsidR="00930809">
              <w:rPr>
                <w:i/>
              </w:rPr>
            </w:r>
            <w:r w:rsidR="00930809">
              <w:rPr>
                <w:i/>
              </w:rPr>
              <w:fldChar w:fldCharType="separate"/>
            </w:r>
            <w:r w:rsidRPr="00AA1077">
              <w:rPr>
                <w:i/>
              </w:rPr>
              <w:fldChar w:fldCharType="end"/>
            </w:r>
            <w:r>
              <w:t xml:space="preserve"> Cette priorité concerne spécifiquement la privation matérielle</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110</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Annexe V – point 2.1.1 – partie introductive</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2.1.1.</w:t>
            </w:r>
            <w:r w:rsidRPr="00810763">
              <w:tab/>
              <w:t>Objectif spécifique</w:t>
            </w:r>
            <w:r w:rsidRPr="00810763">
              <w:rPr>
                <w:vertAlign w:val="superscript"/>
              </w:rPr>
              <w:t>54</w:t>
            </w:r>
            <w:r w:rsidRPr="00810763">
              <w:t xml:space="preserve"> (objectif </w:t>
            </w:r>
            <w:r w:rsidRPr="00810763">
              <w:rPr>
                <w:b/>
                <w:i/>
              </w:rPr>
              <w:t>«Emploi</w:t>
            </w:r>
            <w:r w:rsidRPr="00810763">
              <w:t xml:space="preserve"> et </w:t>
            </w:r>
            <w:r w:rsidRPr="00810763">
              <w:rPr>
                <w:b/>
                <w:i/>
              </w:rPr>
              <w:t>croissance»</w:t>
            </w:r>
            <w:r w:rsidRPr="00810763">
              <w:t>) ou domaine de soutien (FEAMP) – répété pour chaque objectif spécifique ou domaine de soutien retenu, pour les priorités autres que l’assistance technique</w:t>
            </w:r>
          </w:p>
        </w:tc>
        <w:tc>
          <w:tcPr>
            <w:tcW w:w="4876" w:type="dxa"/>
            <w:hideMark/>
          </w:tcPr>
          <w:p w:rsidR="007D3698" w:rsidRPr="00810763" w:rsidRDefault="007D3698" w:rsidP="0097579A">
            <w:pPr>
              <w:pStyle w:val="Normal6"/>
              <w:rPr>
                <w:noProof/>
                <w:szCs w:val="24"/>
              </w:rPr>
            </w:pPr>
            <w:r w:rsidRPr="00810763">
              <w:t>2.1.1.</w:t>
            </w:r>
            <w:r w:rsidRPr="00810763">
              <w:tab/>
              <w:t>Objectif spécifique</w:t>
            </w:r>
            <w:r w:rsidRPr="00810763">
              <w:rPr>
                <w:vertAlign w:val="superscript"/>
              </w:rPr>
              <w:t>54</w:t>
            </w:r>
            <w:r w:rsidRPr="00810763">
              <w:t xml:space="preserve"> (objectif </w:t>
            </w:r>
            <w:r w:rsidRPr="00810763">
              <w:rPr>
                <w:b/>
                <w:i/>
              </w:rPr>
              <w:t>«Investissement pour l’emploi, la croissance, l’inclusion sociale</w:t>
            </w:r>
            <w:r w:rsidRPr="00810763">
              <w:t xml:space="preserve"> et </w:t>
            </w:r>
            <w:r w:rsidRPr="00810763">
              <w:rPr>
                <w:b/>
                <w:i/>
              </w:rPr>
              <w:t>la convergence ascendante»</w:t>
            </w:r>
            <w:r w:rsidRPr="00810763">
              <w:t>) ou domaine de soutien (FEAMP) – répété pour chaque objectif spécifique ou domaine de soutien retenu, pour les priorités autres que l’assistance technique</w:t>
            </w:r>
          </w:p>
        </w:tc>
      </w:tr>
      <w:tr w:rsidR="007D3698" w:rsidRPr="00AA1077" w:rsidTr="0097579A">
        <w:trPr>
          <w:jc w:val="center"/>
        </w:trPr>
        <w:tc>
          <w:tcPr>
            <w:tcW w:w="4876" w:type="dxa"/>
            <w:hideMark/>
          </w:tcPr>
          <w:p w:rsidR="007D3698" w:rsidRPr="00810763" w:rsidRDefault="007D3698" w:rsidP="0097579A">
            <w:pPr>
              <w:pStyle w:val="Normal6"/>
              <w:rPr>
                <w:noProof/>
              </w:rPr>
            </w:pPr>
            <w:r w:rsidRPr="00810763">
              <w:t>__________________</w:t>
            </w:r>
          </w:p>
        </w:tc>
        <w:tc>
          <w:tcPr>
            <w:tcW w:w="4876" w:type="dxa"/>
            <w:hideMark/>
          </w:tcPr>
          <w:p w:rsidR="007D3698" w:rsidRPr="00810763" w:rsidRDefault="007D3698" w:rsidP="0097579A">
            <w:pPr>
              <w:pStyle w:val="Normal6"/>
              <w:rPr>
                <w:noProof/>
                <w:szCs w:val="24"/>
              </w:rPr>
            </w:pPr>
            <w:r w:rsidRPr="00810763">
              <w:t>__________________</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rPr>
                <w:vertAlign w:val="superscript"/>
              </w:rPr>
              <w:t>54</w:t>
            </w:r>
            <w:r w:rsidRPr="00810763">
              <w:t xml:space="preserve"> Sauf objectif spécifique énoncé à l’article 4, paragraphe 1, point c) vii), du règlement FSE+.</w:t>
            </w:r>
          </w:p>
        </w:tc>
        <w:tc>
          <w:tcPr>
            <w:tcW w:w="4876" w:type="dxa"/>
            <w:hideMark/>
          </w:tcPr>
          <w:p w:rsidR="007D3698" w:rsidRPr="00810763" w:rsidRDefault="007D3698" w:rsidP="0097579A">
            <w:pPr>
              <w:pStyle w:val="Normal6"/>
              <w:rPr>
                <w:noProof/>
                <w:szCs w:val="24"/>
              </w:rPr>
            </w:pPr>
            <w:r w:rsidRPr="00810763">
              <w:rPr>
                <w:vertAlign w:val="superscript"/>
              </w:rPr>
              <w:t>54</w:t>
            </w:r>
            <w:r w:rsidRPr="00810763">
              <w:t xml:space="preserve"> Sauf objectif spécifique énoncé à l’article 4, paragraphe 1, point c) vii), du règlement FSE+.</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111</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rPr>
          <w:b/>
          <w:noProof/>
        </w:rPr>
      </w:pPr>
      <w:r>
        <w:rPr>
          <w:rStyle w:val="HideTWBExt"/>
        </w:rPr>
        <w:t>&lt;Article&gt;</w:t>
      </w:r>
      <w:r w:rsidRPr="00810763">
        <w:rPr>
          <w:b/>
        </w:rPr>
        <w:t>Annexe V –point 3 - tableau 15</w:t>
      </w:r>
      <w:r>
        <w:rPr>
          <w:rStyle w:val="HideTWBExt"/>
        </w:rPr>
        <w:t>&lt;/Article&gt;</w:t>
      </w:r>
    </w:p>
    <w:tbl>
      <w:tblPr>
        <w:tblW w:w="9670" w:type="dxa"/>
        <w:jc w:val="center"/>
        <w:tblLayout w:type="fixed"/>
        <w:tblCellMar>
          <w:left w:w="340" w:type="dxa"/>
          <w:right w:w="340" w:type="dxa"/>
        </w:tblCellMar>
        <w:tblLook w:val="0000" w:firstRow="0" w:lastRow="0" w:firstColumn="0" w:lastColumn="0" w:noHBand="0" w:noVBand="0"/>
      </w:tblPr>
      <w:tblGrid>
        <w:gridCol w:w="9670"/>
      </w:tblGrid>
      <w:tr w:rsidR="007D3698" w:rsidRPr="00F15B66" w:rsidTr="0097579A">
        <w:trPr>
          <w:jc w:val="center"/>
        </w:trPr>
        <w:tc>
          <w:tcPr>
            <w:tcW w:w="9670" w:type="dxa"/>
          </w:tcPr>
          <w:p w:rsidR="007D3698" w:rsidRPr="00AA1077" w:rsidRDefault="007D3698" w:rsidP="0097579A">
            <w:pPr>
              <w:keepNext/>
              <w:rPr>
                <w:noProof/>
              </w:rPr>
            </w:pPr>
          </w:p>
        </w:tc>
      </w:tr>
      <w:tr w:rsidR="007D3698" w:rsidRPr="007D3698" w:rsidTr="0097579A">
        <w:trPr>
          <w:jc w:val="center"/>
        </w:trPr>
        <w:tc>
          <w:tcPr>
            <w:tcW w:w="9670" w:type="dxa"/>
          </w:tcPr>
          <w:p w:rsidR="007D3698" w:rsidRPr="007D3698" w:rsidRDefault="007D3698" w:rsidP="0097579A">
            <w:pPr>
              <w:pStyle w:val="ColumnHeading"/>
              <w:keepNext/>
              <w:rPr>
                <w:noProof/>
              </w:rPr>
            </w:pPr>
            <w:r>
              <w:t>Texte proposé par la Commission</w:t>
            </w:r>
          </w:p>
        </w:tc>
      </w:tr>
    </w:tbl>
    <w:p w:rsidR="007D3698" w:rsidRPr="00930809" w:rsidRDefault="007D3698" w:rsidP="007D3698">
      <w:pPr>
        <w:rPr>
          <w:noProof/>
          <w:vanish/>
          <w:lang w:val="fr-BE"/>
        </w:rPr>
      </w:pPr>
    </w:p>
    <w:tbl>
      <w:tblPr>
        <w:tblStyle w:val="TableGrid"/>
        <w:tblW w:w="5431" w:type="pct"/>
        <w:tblInd w:w="-176" w:type="dxa"/>
        <w:tblLook w:val="04A0" w:firstRow="1" w:lastRow="0" w:firstColumn="1" w:lastColumn="0" w:noHBand="0" w:noVBand="1"/>
      </w:tblPr>
      <w:tblGrid>
        <w:gridCol w:w="883"/>
        <w:gridCol w:w="1783"/>
        <w:gridCol w:w="954"/>
        <w:gridCol w:w="954"/>
        <w:gridCol w:w="954"/>
        <w:gridCol w:w="954"/>
        <w:gridCol w:w="954"/>
        <w:gridCol w:w="2405"/>
      </w:tblGrid>
      <w:tr w:rsidR="007D3698" w:rsidRPr="00AA1077" w:rsidTr="0097579A">
        <w:tc>
          <w:tcPr>
            <w:tcW w:w="418" w:type="pct"/>
            <w:tcBorders>
              <w:top w:val="single" w:sz="4" w:space="0" w:color="auto"/>
              <w:left w:val="single" w:sz="4" w:space="0" w:color="auto"/>
              <w:bottom w:val="nil"/>
              <w:right w:val="single" w:sz="4" w:space="0" w:color="auto"/>
            </w:tcBorders>
          </w:tcPr>
          <w:p w:rsidR="007D3698" w:rsidRPr="00930809" w:rsidRDefault="007D3698" w:rsidP="0097579A">
            <w:pPr>
              <w:pStyle w:val="Normal6"/>
              <w:rPr>
                <w:noProof/>
                <w:sz w:val="20"/>
                <w:lang w:val="fr-BE"/>
              </w:rPr>
            </w:pPr>
          </w:p>
        </w:tc>
        <w:tc>
          <w:tcPr>
            <w:tcW w:w="623" w:type="pct"/>
            <w:tcBorders>
              <w:top w:val="single" w:sz="4" w:space="0" w:color="auto"/>
              <w:left w:val="single" w:sz="4" w:space="0" w:color="auto"/>
              <w:bottom w:val="nil"/>
              <w:right w:val="single" w:sz="4" w:space="0" w:color="auto"/>
            </w:tcBorders>
            <w:hideMark/>
          </w:tcPr>
          <w:p w:rsidR="007D3698" w:rsidRPr="00AA1077" w:rsidRDefault="007D3698" w:rsidP="0097579A">
            <w:pPr>
              <w:pStyle w:val="Normal6"/>
              <w:rPr>
                <w:noProof/>
                <w:sz w:val="20"/>
              </w:rPr>
            </w:pPr>
            <w:r>
              <w:rPr>
                <w:sz w:val="20"/>
              </w:rPr>
              <w:t>Catégorie de régions</w:t>
            </w:r>
          </w:p>
        </w:tc>
        <w:tc>
          <w:tcPr>
            <w:tcW w:w="537" w:type="pct"/>
            <w:tcBorders>
              <w:top w:val="single" w:sz="4" w:space="0" w:color="auto"/>
              <w:left w:val="single" w:sz="4" w:space="0" w:color="auto"/>
              <w:bottom w:val="nil"/>
              <w:right w:val="single" w:sz="4" w:space="0" w:color="auto"/>
            </w:tcBorders>
            <w:hideMark/>
          </w:tcPr>
          <w:p w:rsidR="007D3698" w:rsidRPr="00AA1077" w:rsidRDefault="007D3698" w:rsidP="0097579A">
            <w:pPr>
              <w:pStyle w:val="Normal6"/>
              <w:rPr>
                <w:noProof/>
                <w:sz w:val="20"/>
              </w:rPr>
            </w:pPr>
            <w:r>
              <w:rPr>
                <w:sz w:val="20"/>
              </w:rPr>
              <w:t>Volet 1</w:t>
            </w:r>
          </w:p>
        </w:tc>
        <w:tc>
          <w:tcPr>
            <w:tcW w:w="537" w:type="pct"/>
            <w:tcBorders>
              <w:top w:val="single" w:sz="4" w:space="0" w:color="auto"/>
              <w:left w:val="single" w:sz="4" w:space="0" w:color="auto"/>
              <w:bottom w:val="nil"/>
              <w:right w:val="single" w:sz="4" w:space="0" w:color="auto"/>
            </w:tcBorders>
            <w:hideMark/>
          </w:tcPr>
          <w:p w:rsidR="007D3698" w:rsidRPr="00AA1077" w:rsidRDefault="007D3698" w:rsidP="0097579A">
            <w:pPr>
              <w:pStyle w:val="Normal6"/>
              <w:rPr>
                <w:noProof/>
                <w:sz w:val="20"/>
              </w:rPr>
            </w:pPr>
            <w:r>
              <w:rPr>
                <w:sz w:val="20"/>
              </w:rPr>
              <w:t>Volet 2</w:t>
            </w:r>
          </w:p>
        </w:tc>
        <w:tc>
          <w:tcPr>
            <w:tcW w:w="537" w:type="pct"/>
            <w:tcBorders>
              <w:top w:val="single" w:sz="4" w:space="0" w:color="auto"/>
              <w:left w:val="single" w:sz="4" w:space="0" w:color="auto"/>
              <w:bottom w:val="nil"/>
              <w:right w:val="single" w:sz="4" w:space="0" w:color="auto"/>
            </w:tcBorders>
            <w:hideMark/>
          </w:tcPr>
          <w:p w:rsidR="007D3698" w:rsidRPr="00AA1077" w:rsidRDefault="007D3698" w:rsidP="0097579A">
            <w:pPr>
              <w:pStyle w:val="Normal6"/>
              <w:rPr>
                <w:noProof/>
                <w:sz w:val="20"/>
              </w:rPr>
            </w:pPr>
            <w:r>
              <w:rPr>
                <w:sz w:val="20"/>
              </w:rPr>
              <w:t>Volet 3</w:t>
            </w:r>
          </w:p>
        </w:tc>
        <w:tc>
          <w:tcPr>
            <w:tcW w:w="537" w:type="pct"/>
            <w:tcBorders>
              <w:top w:val="single" w:sz="4" w:space="0" w:color="auto"/>
              <w:left w:val="single" w:sz="4" w:space="0" w:color="auto"/>
              <w:bottom w:val="nil"/>
              <w:right w:val="single" w:sz="4" w:space="0" w:color="auto"/>
            </w:tcBorders>
            <w:hideMark/>
          </w:tcPr>
          <w:p w:rsidR="007D3698" w:rsidRPr="00AA1077" w:rsidRDefault="007D3698" w:rsidP="0097579A">
            <w:pPr>
              <w:pStyle w:val="Normal6"/>
              <w:rPr>
                <w:noProof/>
                <w:sz w:val="20"/>
              </w:rPr>
            </w:pPr>
            <w:r>
              <w:rPr>
                <w:sz w:val="20"/>
              </w:rPr>
              <w:t>Volet 4</w:t>
            </w:r>
          </w:p>
        </w:tc>
        <w:tc>
          <w:tcPr>
            <w:tcW w:w="537" w:type="pct"/>
            <w:tcBorders>
              <w:top w:val="single" w:sz="4" w:space="0" w:color="auto"/>
              <w:left w:val="single" w:sz="4" w:space="0" w:color="auto"/>
              <w:bottom w:val="nil"/>
              <w:right w:val="single" w:sz="4" w:space="0" w:color="auto"/>
            </w:tcBorders>
            <w:hideMark/>
          </w:tcPr>
          <w:p w:rsidR="007D3698" w:rsidRPr="00AA1077" w:rsidRDefault="007D3698" w:rsidP="0097579A">
            <w:pPr>
              <w:pStyle w:val="Normal6"/>
              <w:rPr>
                <w:noProof/>
                <w:sz w:val="20"/>
              </w:rPr>
            </w:pPr>
            <w:r>
              <w:rPr>
                <w:sz w:val="20"/>
              </w:rPr>
              <w:t>Volet 5</w:t>
            </w:r>
          </w:p>
        </w:tc>
        <w:tc>
          <w:tcPr>
            <w:tcW w:w="1275" w:type="pct"/>
            <w:tcBorders>
              <w:top w:val="single" w:sz="4" w:space="0" w:color="auto"/>
              <w:left w:val="single" w:sz="4" w:space="0" w:color="auto"/>
              <w:bottom w:val="nil"/>
              <w:right w:val="single" w:sz="4" w:space="0" w:color="auto"/>
            </w:tcBorders>
            <w:hideMark/>
          </w:tcPr>
          <w:p w:rsidR="007D3698" w:rsidRPr="00AA1077" w:rsidRDefault="007D3698" w:rsidP="0097579A">
            <w:pPr>
              <w:pStyle w:val="Normal6"/>
              <w:rPr>
                <w:noProof/>
                <w:sz w:val="20"/>
              </w:rPr>
            </w:pPr>
            <w:r>
              <w:rPr>
                <w:sz w:val="20"/>
              </w:rPr>
              <w:t>Montant</w:t>
            </w:r>
          </w:p>
        </w:tc>
      </w:tr>
      <w:tr w:rsidR="007D3698" w:rsidRPr="00AA1077" w:rsidTr="0097579A">
        <w:tc>
          <w:tcPr>
            <w:tcW w:w="418" w:type="pct"/>
            <w:tcBorders>
              <w:top w:val="nil"/>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623" w:type="pct"/>
            <w:tcBorders>
              <w:top w:val="nil"/>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nil"/>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a)</w:t>
            </w:r>
          </w:p>
        </w:tc>
        <w:tc>
          <w:tcPr>
            <w:tcW w:w="537" w:type="pct"/>
            <w:tcBorders>
              <w:top w:val="nil"/>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b)</w:t>
            </w:r>
          </w:p>
        </w:tc>
        <w:tc>
          <w:tcPr>
            <w:tcW w:w="537" w:type="pct"/>
            <w:tcBorders>
              <w:top w:val="nil"/>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c)</w:t>
            </w:r>
          </w:p>
        </w:tc>
        <w:tc>
          <w:tcPr>
            <w:tcW w:w="537" w:type="pct"/>
            <w:tcBorders>
              <w:top w:val="nil"/>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d)</w:t>
            </w:r>
          </w:p>
        </w:tc>
        <w:tc>
          <w:tcPr>
            <w:tcW w:w="537" w:type="pct"/>
            <w:tcBorders>
              <w:top w:val="nil"/>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e)</w:t>
            </w:r>
          </w:p>
        </w:tc>
        <w:tc>
          <w:tcPr>
            <w:tcW w:w="1275" w:type="pct"/>
            <w:tcBorders>
              <w:top w:val="nil"/>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f)=a)+b)+c)+d)+e))</w:t>
            </w:r>
          </w:p>
        </w:tc>
      </w:tr>
      <w:tr w:rsidR="007D3698" w:rsidRPr="00AA1077" w:rsidTr="0097579A">
        <w:tc>
          <w:tcPr>
            <w:tcW w:w="418" w:type="pct"/>
            <w:vMerge w:val="restar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FEDER</w:t>
            </w:r>
          </w:p>
        </w:tc>
        <w:tc>
          <w:tcPr>
            <w:tcW w:w="623" w:type="pc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Plus développées</w:t>
            </w: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1275"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r>
      <w:tr w:rsidR="007D3698" w:rsidRPr="00AA1077" w:rsidTr="0097579A">
        <w:tc>
          <w:tcPr>
            <w:tcW w:w="418" w:type="pct"/>
            <w:vMerge/>
            <w:tcBorders>
              <w:top w:val="single" w:sz="4" w:space="0" w:color="auto"/>
              <w:left w:val="single" w:sz="4" w:space="0" w:color="auto"/>
              <w:bottom w:val="single" w:sz="4" w:space="0" w:color="auto"/>
              <w:right w:val="single" w:sz="4" w:space="0" w:color="auto"/>
            </w:tcBorders>
            <w:vAlign w:val="center"/>
            <w:hideMark/>
          </w:tcPr>
          <w:p w:rsidR="007D3698" w:rsidRPr="00AA1077" w:rsidRDefault="007D3698" w:rsidP="0097579A">
            <w:pPr>
              <w:pStyle w:val="Normal6"/>
              <w:rPr>
                <w:noProof/>
                <w:sz w:val="20"/>
                <w:lang w:eastAsia="en-US"/>
              </w:rPr>
            </w:pPr>
          </w:p>
        </w:tc>
        <w:tc>
          <w:tcPr>
            <w:tcW w:w="623" w:type="pc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Moins développées</w:t>
            </w: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1275"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r>
      <w:tr w:rsidR="007D3698" w:rsidRPr="00AA1077" w:rsidTr="0097579A">
        <w:tc>
          <w:tcPr>
            <w:tcW w:w="418" w:type="pct"/>
            <w:vMerge/>
            <w:tcBorders>
              <w:top w:val="single" w:sz="4" w:space="0" w:color="auto"/>
              <w:left w:val="single" w:sz="4" w:space="0" w:color="auto"/>
              <w:bottom w:val="single" w:sz="4" w:space="0" w:color="auto"/>
              <w:right w:val="single" w:sz="4" w:space="0" w:color="auto"/>
            </w:tcBorders>
            <w:vAlign w:val="center"/>
            <w:hideMark/>
          </w:tcPr>
          <w:p w:rsidR="007D3698" w:rsidRPr="00AA1077" w:rsidRDefault="007D3698" w:rsidP="0097579A">
            <w:pPr>
              <w:pStyle w:val="Normal6"/>
              <w:rPr>
                <w:noProof/>
                <w:sz w:val="20"/>
                <w:lang w:eastAsia="en-US"/>
              </w:rPr>
            </w:pPr>
          </w:p>
        </w:tc>
        <w:tc>
          <w:tcPr>
            <w:tcW w:w="623" w:type="pc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rFonts w:eastAsia="Calibri"/>
                <w:noProof/>
                <w:sz w:val="20"/>
              </w:rPr>
            </w:pPr>
            <w:r>
              <w:rPr>
                <w:sz w:val="20"/>
              </w:rPr>
              <w:t>En transition</w:t>
            </w: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1275"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r>
      <w:tr w:rsidR="007D3698" w:rsidRPr="007D3698" w:rsidTr="0097579A">
        <w:tc>
          <w:tcPr>
            <w:tcW w:w="418" w:type="pct"/>
            <w:vMerge/>
            <w:tcBorders>
              <w:top w:val="single" w:sz="4" w:space="0" w:color="auto"/>
              <w:left w:val="single" w:sz="4" w:space="0" w:color="auto"/>
              <w:bottom w:val="single" w:sz="4" w:space="0" w:color="auto"/>
              <w:right w:val="single" w:sz="4" w:space="0" w:color="auto"/>
            </w:tcBorders>
            <w:vAlign w:val="center"/>
            <w:hideMark/>
          </w:tcPr>
          <w:p w:rsidR="007D3698" w:rsidRPr="00AA1077" w:rsidRDefault="007D3698" w:rsidP="0097579A">
            <w:pPr>
              <w:pStyle w:val="Normal6"/>
              <w:rPr>
                <w:noProof/>
                <w:sz w:val="20"/>
                <w:lang w:eastAsia="en-US"/>
              </w:rPr>
            </w:pPr>
          </w:p>
        </w:tc>
        <w:tc>
          <w:tcPr>
            <w:tcW w:w="623" w:type="pct"/>
            <w:tcBorders>
              <w:top w:val="single" w:sz="4" w:space="0" w:color="auto"/>
              <w:left w:val="single" w:sz="4" w:space="0" w:color="auto"/>
              <w:bottom w:val="single" w:sz="4" w:space="0" w:color="auto"/>
              <w:right w:val="single" w:sz="4" w:space="0" w:color="auto"/>
            </w:tcBorders>
            <w:hideMark/>
          </w:tcPr>
          <w:p w:rsidR="007D3698" w:rsidRPr="007D3698" w:rsidRDefault="007D3698" w:rsidP="0097579A">
            <w:pPr>
              <w:pStyle w:val="Normal6"/>
              <w:rPr>
                <w:noProof/>
                <w:sz w:val="20"/>
              </w:rPr>
            </w:pPr>
            <w:r>
              <w:rPr>
                <w:sz w:val="20"/>
              </w:rPr>
              <w:t>Ultrapériphériques et septentrionales à faible densité de population</w:t>
            </w:r>
          </w:p>
        </w:tc>
        <w:tc>
          <w:tcPr>
            <w:tcW w:w="537" w:type="pct"/>
            <w:tcBorders>
              <w:top w:val="single" w:sz="4" w:space="0" w:color="auto"/>
              <w:left w:val="single" w:sz="4" w:space="0" w:color="auto"/>
              <w:bottom w:val="single" w:sz="4" w:space="0" w:color="auto"/>
              <w:right w:val="single" w:sz="4" w:space="0" w:color="auto"/>
            </w:tcBorders>
          </w:tcPr>
          <w:p w:rsidR="007D3698" w:rsidRPr="00930809" w:rsidRDefault="007D3698" w:rsidP="0097579A">
            <w:pPr>
              <w:pStyle w:val="Normal6"/>
              <w:rPr>
                <w:noProof/>
                <w:sz w:val="20"/>
                <w:lang w:val="fr-BE"/>
              </w:rPr>
            </w:pPr>
          </w:p>
        </w:tc>
        <w:tc>
          <w:tcPr>
            <w:tcW w:w="537" w:type="pct"/>
            <w:tcBorders>
              <w:top w:val="single" w:sz="4" w:space="0" w:color="auto"/>
              <w:left w:val="single" w:sz="4" w:space="0" w:color="auto"/>
              <w:bottom w:val="single" w:sz="4" w:space="0" w:color="auto"/>
              <w:right w:val="single" w:sz="4" w:space="0" w:color="auto"/>
            </w:tcBorders>
          </w:tcPr>
          <w:p w:rsidR="007D3698" w:rsidRPr="00930809" w:rsidRDefault="007D3698" w:rsidP="0097579A">
            <w:pPr>
              <w:pStyle w:val="Normal6"/>
              <w:rPr>
                <w:noProof/>
                <w:sz w:val="20"/>
                <w:lang w:val="fr-BE"/>
              </w:rPr>
            </w:pPr>
          </w:p>
        </w:tc>
        <w:tc>
          <w:tcPr>
            <w:tcW w:w="537" w:type="pct"/>
            <w:tcBorders>
              <w:top w:val="single" w:sz="4" w:space="0" w:color="auto"/>
              <w:left w:val="single" w:sz="4" w:space="0" w:color="auto"/>
              <w:bottom w:val="single" w:sz="4" w:space="0" w:color="auto"/>
              <w:right w:val="single" w:sz="4" w:space="0" w:color="auto"/>
            </w:tcBorders>
          </w:tcPr>
          <w:p w:rsidR="007D3698" w:rsidRPr="00930809" w:rsidRDefault="007D3698" w:rsidP="0097579A">
            <w:pPr>
              <w:pStyle w:val="Normal6"/>
              <w:rPr>
                <w:noProof/>
                <w:sz w:val="20"/>
                <w:lang w:val="fr-BE"/>
              </w:rPr>
            </w:pPr>
          </w:p>
        </w:tc>
        <w:tc>
          <w:tcPr>
            <w:tcW w:w="537" w:type="pct"/>
            <w:tcBorders>
              <w:top w:val="single" w:sz="4" w:space="0" w:color="auto"/>
              <w:left w:val="single" w:sz="4" w:space="0" w:color="auto"/>
              <w:bottom w:val="single" w:sz="4" w:space="0" w:color="auto"/>
              <w:right w:val="single" w:sz="4" w:space="0" w:color="auto"/>
            </w:tcBorders>
          </w:tcPr>
          <w:p w:rsidR="007D3698" w:rsidRPr="00930809" w:rsidRDefault="007D3698" w:rsidP="0097579A">
            <w:pPr>
              <w:pStyle w:val="Normal6"/>
              <w:rPr>
                <w:noProof/>
                <w:sz w:val="20"/>
                <w:lang w:val="fr-BE"/>
              </w:rPr>
            </w:pPr>
          </w:p>
        </w:tc>
        <w:tc>
          <w:tcPr>
            <w:tcW w:w="537" w:type="pct"/>
            <w:tcBorders>
              <w:top w:val="single" w:sz="4" w:space="0" w:color="auto"/>
              <w:left w:val="single" w:sz="4" w:space="0" w:color="auto"/>
              <w:bottom w:val="single" w:sz="4" w:space="0" w:color="auto"/>
              <w:right w:val="single" w:sz="4" w:space="0" w:color="auto"/>
            </w:tcBorders>
          </w:tcPr>
          <w:p w:rsidR="007D3698" w:rsidRPr="00930809" w:rsidRDefault="007D3698" w:rsidP="0097579A">
            <w:pPr>
              <w:pStyle w:val="Normal6"/>
              <w:rPr>
                <w:noProof/>
                <w:sz w:val="20"/>
                <w:lang w:val="fr-BE"/>
              </w:rPr>
            </w:pPr>
          </w:p>
        </w:tc>
        <w:tc>
          <w:tcPr>
            <w:tcW w:w="1275" w:type="pct"/>
            <w:tcBorders>
              <w:top w:val="single" w:sz="4" w:space="0" w:color="auto"/>
              <w:left w:val="single" w:sz="4" w:space="0" w:color="auto"/>
              <w:bottom w:val="single" w:sz="4" w:space="0" w:color="auto"/>
              <w:right w:val="single" w:sz="4" w:space="0" w:color="auto"/>
            </w:tcBorders>
          </w:tcPr>
          <w:p w:rsidR="007D3698" w:rsidRPr="00930809" w:rsidRDefault="007D3698" w:rsidP="0097579A">
            <w:pPr>
              <w:pStyle w:val="Normal6"/>
              <w:rPr>
                <w:noProof/>
                <w:sz w:val="20"/>
                <w:lang w:val="fr-BE"/>
              </w:rPr>
            </w:pPr>
          </w:p>
        </w:tc>
      </w:tr>
      <w:tr w:rsidR="007D3698" w:rsidRPr="00AA1077" w:rsidTr="0097579A">
        <w:tc>
          <w:tcPr>
            <w:tcW w:w="418" w:type="pct"/>
            <w:vMerge w:val="restar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b/>
                <w:i/>
                <w:noProof/>
                <w:sz w:val="20"/>
              </w:rPr>
            </w:pPr>
            <w:r>
              <w:rPr>
                <w:b/>
                <w:i/>
                <w:sz w:val="20"/>
              </w:rPr>
              <w:lastRenderedPageBreak/>
              <w:t>FSE+</w:t>
            </w:r>
          </w:p>
        </w:tc>
        <w:tc>
          <w:tcPr>
            <w:tcW w:w="623" w:type="pc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b/>
                <w:i/>
                <w:noProof/>
                <w:sz w:val="20"/>
              </w:rPr>
            </w:pPr>
            <w:r>
              <w:rPr>
                <w:b/>
                <w:i/>
                <w:sz w:val="20"/>
              </w:rPr>
              <w:t>Plus développées</w:t>
            </w: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i/>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c>
          <w:tcPr>
            <w:tcW w:w="1275"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r>
      <w:tr w:rsidR="007D3698" w:rsidRPr="00AA1077" w:rsidTr="0097579A">
        <w:tc>
          <w:tcPr>
            <w:tcW w:w="418" w:type="pct"/>
            <w:vMerge/>
            <w:tcBorders>
              <w:top w:val="single" w:sz="4" w:space="0" w:color="auto"/>
              <w:left w:val="single" w:sz="4" w:space="0" w:color="auto"/>
              <w:bottom w:val="single" w:sz="4" w:space="0" w:color="auto"/>
              <w:right w:val="single" w:sz="4" w:space="0" w:color="auto"/>
            </w:tcBorders>
            <w:vAlign w:val="center"/>
            <w:hideMark/>
          </w:tcPr>
          <w:p w:rsidR="007D3698" w:rsidRPr="00AA1077" w:rsidRDefault="007D3698" w:rsidP="0097579A">
            <w:pPr>
              <w:pStyle w:val="Normal6"/>
              <w:rPr>
                <w:b/>
                <w:i/>
                <w:noProof/>
                <w:sz w:val="20"/>
                <w:lang w:eastAsia="en-US"/>
              </w:rPr>
            </w:pPr>
          </w:p>
        </w:tc>
        <w:tc>
          <w:tcPr>
            <w:tcW w:w="623" w:type="pc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b/>
                <w:i/>
                <w:noProof/>
                <w:sz w:val="20"/>
              </w:rPr>
            </w:pPr>
            <w:r>
              <w:rPr>
                <w:b/>
                <w:i/>
                <w:sz w:val="20"/>
              </w:rPr>
              <w:t>Moins développées</w:t>
            </w: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i/>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c>
          <w:tcPr>
            <w:tcW w:w="1275"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r>
      <w:tr w:rsidR="007D3698" w:rsidRPr="00AA1077" w:rsidTr="0097579A">
        <w:tc>
          <w:tcPr>
            <w:tcW w:w="418" w:type="pct"/>
            <w:vMerge/>
            <w:tcBorders>
              <w:top w:val="single" w:sz="4" w:space="0" w:color="auto"/>
              <w:left w:val="single" w:sz="4" w:space="0" w:color="auto"/>
              <w:bottom w:val="single" w:sz="4" w:space="0" w:color="auto"/>
              <w:right w:val="single" w:sz="4" w:space="0" w:color="auto"/>
            </w:tcBorders>
            <w:vAlign w:val="center"/>
            <w:hideMark/>
          </w:tcPr>
          <w:p w:rsidR="007D3698" w:rsidRPr="00AA1077" w:rsidRDefault="007D3698" w:rsidP="0097579A">
            <w:pPr>
              <w:pStyle w:val="Normal6"/>
              <w:rPr>
                <w:b/>
                <w:i/>
                <w:noProof/>
                <w:sz w:val="20"/>
                <w:lang w:eastAsia="en-US"/>
              </w:rPr>
            </w:pPr>
          </w:p>
        </w:tc>
        <w:tc>
          <w:tcPr>
            <w:tcW w:w="623" w:type="pc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b/>
                <w:i/>
                <w:noProof/>
                <w:sz w:val="20"/>
              </w:rPr>
            </w:pPr>
            <w:r>
              <w:rPr>
                <w:b/>
                <w:i/>
                <w:sz w:val="20"/>
              </w:rPr>
              <w:t>En transition</w:t>
            </w: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i/>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c>
          <w:tcPr>
            <w:tcW w:w="1275"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r>
      <w:tr w:rsidR="007D3698" w:rsidRPr="00AA1077" w:rsidTr="0097579A">
        <w:tc>
          <w:tcPr>
            <w:tcW w:w="418" w:type="pct"/>
            <w:vMerge/>
            <w:tcBorders>
              <w:top w:val="single" w:sz="4" w:space="0" w:color="auto"/>
              <w:left w:val="single" w:sz="4" w:space="0" w:color="auto"/>
              <w:bottom w:val="single" w:sz="4" w:space="0" w:color="auto"/>
              <w:right w:val="single" w:sz="4" w:space="0" w:color="auto"/>
            </w:tcBorders>
            <w:vAlign w:val="center"/>
            <w:hideMark/>
          </w:tcPr>
          <w:p w:rsidR="007D3698" w:rsidRPr="00AA1077" w:rsidRDefault="007D3698" w:rsidP="0097579A">
            <w:pPr>
              <w:pStyle w:val="Normal6"/>
              <w:rPr>
                <w:b/>
                <w:i/>
                <w:noProof/>
                <w:sz w:val="20"/>
                <w:lang w:eastAsia="en-US"/>
              </w:rPr>
            </w:pPr>
          </w:p>
        </w:tc>
        <w:tc>
          <w:tcPr>
            <w:tcW w:w="623" w:type="pc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b/>
                <w:i/>
                <w:noProof/>
                <w:sz w:val="20"/>
              </w:rPr>
            </w:pPr>
            <w:r>
              <w:rPr>
                <w:b/>
                <w:i/>
                <w:sz w:val="20"/>
              </w:rPr>
              <w:t>Ultrapériphériques</w:t>
            </w: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i/>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c>
          <w:tcPr>
            <w:tcW w:w="1275"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b/>
                <w:noProof/>
                <w:sz w:val="20"/>
              </w:rPr>
            </w:pPr>
          </w:p>
        </w:tc>
      </w:tr>
      <w:tr w:rsidR="007D3698" w:rsidRPr="00AA1077" w:rsidTr="0097579A">
        <w:tc>
          <w:tcPr>
            <w:tcW w:w="418" w:type="pc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FC</w:t>
            </w:r>
          </w:p>
        </w:tc>
        <w:tc>
          <w:tcPr>
            <w:tcW w:w="623"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1275"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r>
      <w:tr w:rsidR="007D3698" w:rsidRPr="00AA1077" w:rsidTr="0097579A">
        <w:tc>
          <w:tcPr>
            <w:tcW w:w="418" w:type="pc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FEAMP</w:t>
            </w:r>
          </w:p>
        </w:tc>
        <w:tc>
          <w:tcPr>
            <w:tcW w:w="623"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1275"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r>
      <w:tr w:rsidR="007D3698" w:rsidRPr="00AA1077" w:rsidTr="0097579A">
        <w:tc>
          <w:tcPr>
            <w:tcW w:w="418" w:type="pc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Total</w:t>
            </w:r>
          </w:p>
        </w:tc>
        <w:tc>
          <w:tcPr>
            <w:tcW w:w="623"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37"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1275"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r>
    </w:tbl>
    <w:tbl>
      <w:tblPr>
        <w:tblW w:w="10491" w:type="dxa"/>
        <w:jc w:val="center"/>
        <w:tblLayout w:type="fixed"/>
        <w:tblCellMar>
          <w:left w:w="340" w:type="dxa"/>
          <w:right w:w="340" w:type="dxa"/>
        </w:tblCellMar>
        <w:tblLook w:val="0000" w:firstRow="0" w:lastRow="0" w:firstColumn="0" w:lastColumn="0" w:noHBand="0" w:noVBand="0"/>
      </w:tblPr>
      <w:tblGrid>
        <w:gridCol w:w="10491"/>
      </w:tblGrid>
      <w:tr w:rsidR="007D3698" w:rsidRPr="00AA1077" w:rsidTr="0097579A">
        <w:trPr>
          <w:jc w:val="center"/>
        </w:trPr>
        <w:tc>
          <w:tcPr>
            <w:tcW w:w="10491" w:type="dxa"/>
          </w:tcPr>
          <w:p w:rsidR="007D3698" w:rsidRPr="00AA1077" w:rsidRDefault="007D3698" w:rsidP="0097579A">
            <w:pPr>
              <w:keepNext/>
              <w:rPr>
                <w:noProof/>
              </w:rPr>
            </w:pPr>
          </w:p>
        </w:tc>
      </w:tr>
      <w:tr w:rsidR="007D3698" w:rsidRPr="00AA1077" w:rsidTr="0097579A">
        <w:trPr>
          <w:jc w:val="center"/>
        </w:trPr>
        <w:tc>
          <w:tcPr>
            <w:tcW w:w="10491" w:type="dxa"/>
          </w:tcPr>
          <w:p w:rsidR="007D3698" w:rsidRPr="00AA1077" w:rsidRDefault="007D3698" w:rsidP="0097579A">
            <w:pPr>
              <w:pStyle w:val="ColumnHeading"/>
              <w:keepNext/>
              <w:rPr>
                <w:noProof/>
              </w:rPr>
            </w:pPr>
            <w:r>
              <w:t>Amendement</w:t>
            </w:r>
          </w:p>
        </w:tc>
      </w:tr>
    </w:tbl>
    <w:tbl>
      <w:tblPr>
        <w:tblStyle w:val="TableGrid"/>
        <w:tblW w:w="5419" w:type="pct"/>
        <w:tblInd w:w="-176" w:type="dxa"/>
        <w:tblLook w:val="04A0" w:firstRow="1" w:lastRow="0" w:firstColumn="1" w:lastColumn="0" w:noHBand="0" w:noVBand="1"/>
      </w:tblPr>
      <w:tblGrid>
        <w:gridCol w:w="883"/>
        <w:gridCol w:w="788"/>
        <w:gridCol w:w="1716"/>
        <w:gridCol w:w="872"/>
        <w:gridCol w:w="872"/>
        <w:gridCol w:w="872"/>
        <w:gridCol w:w="872"/>
        <w:gridCol w:w="872"/>
        <w:gridCol w:w="2072"/>
      </w:tblGrid>
      <w:tr w:rsidR="007D3698" w:rsidRPr="00AA1077" w:rsidTr="0097579A">
        <w:tc>
          <w:tcPr>
            <w:tcW w:w="376" w:type="pct"/>
            <w:tcBorders>
              <w:top w:val="single" w:sz="4" w:space="0" w:color="auto"/>
              <w:left w:val="single" w:sz="4" w:space="0" w:color="auto"/>
              <w:bottom w:val="nil"/>
              <w:right w:val="single" w:sz="4" w:space="0" w:color="auto"/>
            </w:tcBorders>
          </w:tcPr>
          <w:p w:rsidR="007D3698" w:rsidRPr="00AA1077" w:rsidRDefault="007D3698" w:rsidP="0097579A">
            <w:pPr>
              <w:pStyle w:val="Normal6"/>
              <w:rPr>
                <w:noProof/>
                <w:sz w:val="20"/>
              </w:rPr>
            </w:pPr>
          </w:p>
        </w:tc>
        <w:tc>
          <w:tcPr>
            <w:tcW w:w="455" w:type="pct"/>
            <w:tcBorders>
              <w:top w:val="single" w:sz="4" w:space="0" w:color="auto"/>
              <w:left w:val="single" w:sz="4" w:space="0" w:color="auto"/>
              <w:bottom w:val="nil"/>
              <w:right w:val="single" w:sz="4" w:space="0" w:color="auto"/>
            </w:tcBorders>
          </w:tcPr>
          <w:p w:rsidR="007D3698" w:rsidRPr="00AA1077" w:rsidRDefault="007D3698" w:rsidP="0097579A">
            <w:pPr>
              <w:pStyle w:val="Normal6"/>
              <w:rPr>
                <w:noProof/>
                <w:sz w:val="20"/>
              </w:rPr>
            </w:pPr>
          </w:p>
        </w:tc>
        <w:tc>
          <w:tcPr>
            <w:tcW w:w="570" w:type="pct"/>
            <w:tcBorders>
              <w:top w:val="single" w:sz="4" w:space="0" w:color="auto"/>
              <w:left w:val="single" w:sz="4" w:space="0" w:color="auto"/>
              <w:bottom w:val="nil"/>
              <w:right w:val="single" w:sz="4" w:space="0" w:color="auto"/>
            </w:tcBorders>
            <w:hideMark/>
          </w:tcPr>
          <w:p w:rsidR="007D3698" w:rsidRPr="00AA1077" w:rsidRDefault="007D3698" w:rsidP="0097579A">
            <w:pPr>
              <w:pStyle w:val="Normal6"/>
              <w:rPr>
                <w:noProof/>
                <w:sz w:val="20"/>
              </w:rPr>
            </w:pPr>
            <w:r>
              <w:rPr>
                <w:sz w:val="20"/>
              </w:rPr>
              <w:t>Catégorie de régions</w:t>
            </w:r>
          </w:p>
        </w:tc>
        <w:tc>
          <w:tcPr>
            <w:tcW w:w="498" w:type="pct"/>
            <w:tcBorders>
              <w:top w:val="single" w:sz="4" w:space="0" w:color="auto"/>
              <w:left w:val="single" w:sz="4" w:space="0" w:color="auto"/>
              <w:bottom w:val="nil"/>
              <w:right w:val="single" w:sz="4" w:space="0" w:color="auto"/>
            </w:tcBorders>
            <w:hideMark/>
          </w:tcPr>
          <w:p w:rsidR="007D3698" w:rsidRPr="00AA1077" w:rsidRDefault="007D3698" w:rsidP="0097579A">
            <w:pPr>
              <w:pStyle w:val="Normal6"/>
              <w:rPr>
                <w:noProof/>
                <w:sz w:val="20"/>
              </w:rPr>
            </w:pPr>
            <w:r>
              <w:rPr>
                <w:sz w:val="20"/>
              </w:rPr>
              <w:t>Volet 1</w:t>
            </w:r>
          </w:p>
        </w:tc>
        <w:tc>
          <w:tcPr>
            <w:tcW w:w="498" w:type="pct"/>
            <w:tcBorders>
              <w:top w:val="single" w:sz="4" w:space="0" w:color="auto"/>
              <w:left w:val="single" w:sz="4" w:space="0" w:color="auto"/>
              <w:bottom w:val="nil"/>
              <w:right w:val="single" w:sz="4" w:space="0" w:color="auto"/>
            </w:tcBorders>
            <w:hideMark/>
          </w:tcPr>
          <w:p w:rsidR="007D3698" w:rsidRPr="00AA1077" w:rsidRDefault="007D3698" w:rsidP="0097579A">
            <w:pPr>
              <w:pStyle w:val="Normal6"/>
              <w:rPr>
                <w:noProof/>
                <w:sz w:val="20"/>
              </w:rPr>
            </w:pPr>
            <w:r>
              <w:rPr>
                <w:sz w:val="20"/>
              </w:rPr>
              <w:t>Volet 2</w:t>
            </w:r>
          </w:p>
        </w:tc>
        <w:tc>
          <w:tcPr>
            <w:tcW w:w="498" w:type="pct"/>
            <w:tcBorders>
              <w:top w:val="single" w:sz="4" w:space="0" w:color="auto"/>
              <w:left w:val="single" w:sz="4" w:space="0" w:color="auto"/>
              <w:bottom w:val="nil"/>
              <w:right w:val="single" w:sz="4" w:space="0" w:color="auto"/>
            </w:tcBorders>
            <w:hideMark/>
          </w:tcPr>
          <w:p w:rsidR="007D3698" w:rsidRPr="00AA1077" w:rsidRDefault="007D3698" w:rsidP="0097579A">
            <w:pPr>
              <w:pStyle w:val="Normal6"/>
              <w:rPr>
                <w:noProof/>
                <w:sz w:val="20"/>
              </w:rPr>
            </w:pPr>
            <w:r>
              <w:rPr>
                <w:sz w:val="20"/>
              </w:rPr>
              <w:t>Volet 3</w:t>
            </w:r>
          </w:p>
        </w:tc>
        <w:tc>
          <w:tcPr>
            <w:tcW w:w="498" w:type="pct"/>
            <w:tcBorders>
              <w:top w:val="single" w:sz="4" w:space="0" w:color="auto"/>
              <w:left w:val="single" w:sz="4" w:space="0" w:color="auto"/>
              <w:bottom w:val="nil"/>
              <w:right w:val="single" w:sz="4" w:space="0" w:color="auto"/>
            </w:tcBorders>
            <w:hideMark/>
          </w:tcPr>
          <w:p w:rsidR="007D3698" w:rsidRPr="00AA1077" w:rsidRDefault="007D3698" w:rsidP="0097579A">
            <w:pPr>
              <w:pStyle w:val="Normal6"/>
              <w:rPr>
                <w:noProof/>
                <w:sz w:val="20"/>
              </w:rPr>
            </w:pPr>
            <w:r>
              <w:rPr>
                <w:sz w:val="20"/>
              </w:rPr>
              <w:t>Volet 4</w:t>
            </w:r>
          </w:p>
        </w:tc>
        <w:tc>
          <w:tcPr>
            <w:tcW w:w="498" w:type="pct"/>
            <w:tcBorders>
              <w:top w:val="single" w:sz="4" w:space="0" w:color="auto"/>
              <w:left w:val="single" w:sz="4" w:space="0" w:color="auto"/>
              <w:bottom w:val="nil"/>
              <w:right w:val="single" w:sz="4" w:space="0" w:color="auto"/>
            </w:tcBorders>
            <w:hideMark/>
          </w:tcPr>
          <w:p w:rsidR="007D3698" w:rsidRPr="00AA1077" w:rsidRDefault="007D3698" w:rsidP="0097579A">
            <w:pPr>
              <w:pStyle w:val="Normal6"/>
              <w:rPr>
                <w:noProof/>
                <w:sz w:val="20"/>
              </w:rPr>
            </w:pPr>
            <w:r>
              <w:rPr>
                <w:sz w:val="20"/>
              </w:rPr>
              <w:t>Volet 5</w:t>
            </w:r>
          </w:p>
        </w:tc>
        <w:tc>
          <w:tcPr>
            <w:tcW w:w="1110" w:type="pct"/>
            <w:tcBorders>
              <w:top w:val="single" w:sz="4" w:space="0" w:color="auto"/>
              <w:left w:val="single" w:sz="4" w:space="0" w:color="auto"/>
              <w:bottom w:val="nil"/>
              <w:right w:val="single" w:sz="4" w:space="0" w:color="auto"/>
            </w:tcBorders>
            <w:hideMark/>
          </w:tcPr>
          <w:p w:rsidR="007D3698" w:rsidRPr="00AA1077" w:rsidRDefault="007D3698" w:rsidP="0097579A">
            <w:pPr>
              <w:pStyle w:val="Normal6"/>
              <w:rPr>
                <w:noProof/>
                <w:sz w:val="20"/>
              </w:rPr>
            </w:pPr>
            <w:r>
              <w:rPr>
                <w:sz w:val="20"/>
              </w:rPr>
              <w:t>Montant</w:t>
            </w:r>
          </w:p>
        </w:tc>
      </w:tr>
      <w:tr w:rsidR="007D3698" w:rsidRPr="00AA1077" w:rsidTr="0097579A">
        <w:tc>
          <w:tcPr>
            <w:tcW w:w="376" w:type="pct"/>
            <w:tcBorders>
              <w:top w:val="nil"/>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55" w:type="pct"/>
            <w:tcBorders>
              <w:top w:val="nil"/>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70" w:type="pct"/>
            <w:tcBorders>
              <w:top w:val="nil"/>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nil"/>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a)</w:t>
            </w:r>
          </w:p>
        </w:tc>
        <w:tc>
          <w:tcPr>
            <w:tcW w:w="498" w:type="pct"/>
            <w:tcBorders>
              <w:top w:val="nil"/>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b)</w:t>
            </w:r>
          </w:p>
        </w:tc>
        <w:tc>
          <w:tcPr>
            <w:tcW w:w="498" w:type="pct"/>
            <w:tcBorders>
              <w:top w:val="nil"/>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c)</w:t>
            </w:r>
          </w:p>
        </w:tc>
        <w:tc>
          <w:tcPr>
            <w:tcW w:w="498" w:type="pct"/>
            <w:tcBorders>
              <w:top w:val="nil"/>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d)</w:t>
            </w:r>
          </w:p>
        </w:tc>
        <w:tc>
          <w:tcPr>
            <w:tcW w:w="498" w:type="pct"/>
            <w:tcBorders>
              <w:top w:val="nil"/>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e)</w:t>
            </w:r>
          </w:p>
        </w:tc>
        <w:tc>
          <w:tcPr>
            <w:tcW w:w="1110" w:type="pct"/>
            <w:tcBorders>
              <w:top w:val="nil"/>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f)=a)+b)+c)+d)+e))</w:t>
            </w:r>
          </w:p>
        </w:tc>
      </w:tr>
      <w:tr w:rsidR="007D3698" w:rsidRPr="00AA1077" w:rsidTr="0097579A">
        <w:tc>
          <w:tcPr>
            <w:tcW w:w="376" w:type="pct"/>
            <w:vMerge w:val="restar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FEDER</w:t>
            </w:r>
          </w:p>
        </w:tc>
        <w:tc>
          <w:tcPr>
            <w:tcW w:w="455"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70" w:type="pc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Plus développées</w:t>
            </w: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1110"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r>
      <w:tr w:rsidR="007D3698" w:rsidRPr="00AA1077" w:rsidTr="0097579A">
        <w:tc>
          <w:tcPr>
            <w:tcW w:w="376" w:type="pct"/>
            <w:vMerge/>
            <w:tcBorders>
              <w:top w:val="single" w:sz="4" w:space="0" w:color="auto"/>
              <w:left w:val="single" w:sz="4" w:space="0" w:color="auto"/>
              <w:bottom w:val="single" w:sz="4" w:space="0" w:color="auto"/>
              <w:right w:val="single" w:sz="4" w:space="0" w:color="auto"/>
            </w:tcBorders>
            <w:vAlign w:val="center"/>
            <w:hideMark/>
          </w:tcPr>
          <w:p w:rsidR="007D3698" w:rsidRPr="00AA1077" w:rsidRDefault="007D3698" w:rsidP="0097579A">
            <w:pPr>
              <w:pStyle w:val="Normal6"/>
              <w:rPr>
                <w:noProof/>
                <w:sz w:val="20"/>
                <w:lang w:eastAsia="en-US"/>
              </w:rPr>
            </w:pPr>
          </w:p>
        </w:tc>
        <w:tc>
          <w:tcPr>
            <w:tcW w:w="455"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70" w:type="pc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Moins développées</w:t>
            </w: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1110"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r>
      <w:tr w:rsidR="007D3698" w:rsidRPr="00AA1077" w:rsidTr="0097579A">
        <w:tc>
          <w:tcPr>
            <w:tcW w:w="376" w:type="pct"/>
            <w:vMerge/>
            <w:tcBorders>
              <w:top w:val="single" w:sz="4" w:space="0" w:color="auto"/>
              <w:left w:val="single" w:sz="4" w:space="0" w:color="auto"/>
              <w:bottom w:val="single" w:sz="4" w:space="0" w:color="auto"/>
              <w:right w:val="single" w:sz="4" w:space="0" w:color="auto"/>
            </w:tcBorders>
            <w:vAlign w:val="center"/>
            <w:hideMark/>
          </w:tcPr>
          <w:p w:rsidR="007D3698" w:rsidRPr="00AA1077" w:rsidRDefault="007D3698" w:rsidP="0097579A">
            <w:pPr>
              <w:pStyle w:val="Normal6"/>
              <w:rPr>
                <w:noProof/>
                <w:sz w:val="20"/>
                <w:lang w:eastAsia="en-US"/>
              </w:rPr>
            </w:pPr>
          </w:p>
        </w:tc>
        <w:tc>
          <w:tcPr>
            <w:tcW w:w="455"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70" w:type="pc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rFonts w:eastAsia="Calibri"/>
                <w:noProof/>
                <w:sz w:val="20"/>
              </w:rPr>
            </w:pPr>
            <w:r>
              <w:rPr>
                <w:sz w:val="20"/>
              </w:rPr>
              <w:t>En transition</w:t>
            </w: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1110"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r>
      <w:tr w:rsidR="007D3698" w:rsidRPr="007D3698" w:rsidTr="0097579A">
        <w:tc>
          <w:tcPr>
            <w:tcW w:w="376" w:type="pct"/>
            <w:vMerge/>
            <w:tcBorders>
              <w:top w:val="single" w:sz="4" w:space="0" w:color="auto"/>
              <w:left w:val="single" w:sz="4" w:space="0" w:color="auto"/>
              <w:bottom w:val="single" w:sz="4" w:space="0" w:color="auto"/>
              <w:right w:val="single" w:sz="4" w:space="0" w:color="auto"/>
            </w:tcBorders>
            <w:vAlign w:val="center"/>
            <w:hideMark/>
          </w:tcPr>
          <w:p w:rsidR="007D3698" w:rsidRPr="00AA1077" w:rsidRDefault="007D3698" w:rsidP="0097579A">
            <w:pPr>
              <w:pStyle w:val="Normal6"/>
              <w:rPr>
                <w:noProof/>
                <w:sz w:val="20"/>
                <w:lang w:eastAsia="en-US"/>
              </w:rPr>
            </w:pPr>
          </w:p>
        </w:tc>
        <w:tc>
          <w:tcPr>
            <w:tcW w:w="455"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70" w:type="pct"/>
            <w:tcBorders>
              <w:top w:val="single" w:sz="4" w:space="0" w:color="auto"/>
              <w:left w:val="single" w:sz="4" w:space="0" w:color="auto"/>
              <w:bottom w:val="single" w:sz="4" w:space="0" w:color="auto"/>
              <w:right w:val="single" w:sz="4" w:space="0" w:color="auto"/>
            </w:tcBorders>
            <w:hideMark/>
          </w:tcPr>
          <w:p w:rsidR="007D3698" w:rsidRPr="007D3698" w:rsidRDefault="007D3698" w:rsidP="0097579A">
            <w:pPr>
              <w:pStyle w:val="Normal6"/>
              <w:rPr>
                <w:noProof/>
                <w:sz w:val="20"/>
              </w:rPr>
            </w:pPr>
            <w:r>
              <w:rPr>
                <w:sz w:val="20"/>
              </w:rPr>
              <w:t>Ultrapériphériques et septentrionales à faible densité de population</w:t>
            </w:r>
          </w:p>
        </w:tc>
        <w:tc>
          <w:tcPr>
            <w:tcW w:w="498" w:type="pct"/>
            <w:tcBorders>
              <w:top w:val="single" w:sz="4" w:space="0" w:color="auto"/>
              <w:left w:val="single" w:sz="4" w:space="0" w:color="auto"/>
              <w:bottom w:val="single" w:sz="4" w:space="0" w:color="auto"/>
              <w:right w:val="single" w:sz="4" w:space="0" w:color="auto"/>
            </w:tcBorders>
          </w:tcPr>
          <w:p w:rsidR="007D3698" w:rsidRPr="00930809" w:rsidRDefault="007D3698" w:rsidP="0097579A">
            <w:pPr>
              <w:pStyle w:val="Normal6"/>
              <w:rPr>
                <w:noProof/>
                <w:sz w:val="20"/>
                <w:lang w:val="fr-BE"/>
              </w:rPr>
            </w:pPr>
          </w:p>
        </w:tc>
        <w:tc>
          <w:tcPr>
            <w:tcW w:w="498" w:type="pct"/>
            <w:tcBorders>
              <w:top w:val="single" w:sz="4" w:space="0" w:color="auto"/>
              <w:left w:val="single" w:sz="4" w:space="0" w:color="auto"/>
              <w:bottom w:val="single" w:sz="4" w:space="0" w:color="auto"/>
              <w:right w:val="single" w:sz="4" w:space="0" w:color="auto"/>
            </w:tcBorders>
          </w:tcPr>
          <w:p w:rsidR="007D3698" w:rsidRPr="00930809" w:rsidRDefault="007D3698" w:rsidP="0097579A">
            <w:pPr>
              <w:pStyle w:val="Normal6"/>
              <w:rPr>
                <w:noProof/>
                <w:sz w:val="20"/>
                <w:lang w:val="fr-BE"/>
              </w:rPr>
            </w:pPr>
          </w:p>
        </w:tc>
        <w:tc>
          <w:tcPr>
            <w:tcW w:w="498" w:type="pct"/>
            <w:tcBorders>
              <w:top w:val="single" w:sz="4" w:space="0" w:color="auto"/>
              <w:left w:val="single" w:sz="4" w:space="0" w:color="auto"/>
              <w:bottom w:val="single" w:sz="4" w:space="0" w:color="auto"/>
              <w:right w:val="single" w:sz="4" w:space="0" w:color="auto"/>
            </w:tcBorders>
          </w:tcPr>
          <w:p w:rsidR="007D3698" w:rsidRPr="00930809" w:rsidRDefault="007D3698" w:rsidP="0097579A">
            <w:pPr>
              <w:pStyle w:val="Normal6"/>
              <w:rPr>
                <w:noProof/>
                <w:sz w:val="20"/>
                <w:lang w:val="fr-BE"/>
              </w:rPr>
            </w:pPr>
          </w:p>
        </w:tc>
        <w:tc>
          <w:tcPr>
            <w:tcW w:w="498" w:type="pct"/>
            <w:tcBorders>
              <w:top w:val="single" w:sz="4" w:space="0" w:color="auto"/>
              <w:left w:val="single" w:sz="4" w:space="0" w:color="auto"/>
              <w:bottom w:val="single" w:sz="4" w:space="0" w:color="auto"/>
              <w:right w:val="single" w:sz="4" w:space="0" w:color="auto"/>
            </w:tcBorders>
          </w:tcPr>
          <w:p w:rsidR="007D3698" w:rsidRPr="00930809" w:rsidRDefault="007D3698" w:rsidP="0097579A">
            <w:pPr>
              <w:pStyle w:val="Normal6"/>
              <w:rPr>
                <w:noProof/>
                <w:sz w:val="20"/>
                <w:lang w:val="fr-BE"/>
              </w:rPr>
            </w:pPr>
          </w:p>
        </w:tc>
        <w:tc>
          <w:tcPr>
            <w:tcW w:w="498" w:type="pct"/>
            <w:tcBorders>
              <w:top w:val="single" w:sz="4" w:space="0" w:color="auto"/>
              <w:left w:val="single" w:sz="4" w:space="0" w:color="auto"/>
              <w:bottom w:val="single" w:sz="4" w:space="0" w:color="auto"/>
              <w:right w:val="single" w:sz="4" w:space="0" w:color="auto"/>
            </w:tcBorders>
          </w:tcPr>
          <w:p w:rsidR="007D3698" w:rsidRPr="00930809" w:rsidRDefault="007D3698" w:rsidP="0097579A">
            <w:pPr>
              <w:pStyle w:val="Normal6"/>
              <w:rPr>
                <w:noProof/>
                <w:sz w:val="20"/>
                <w:lang w:val="fr-BE"/>
              </w:rPr>
            </w:pPr>
          </w:p>
        </w:tc>
        <w:tc>
          <w:tcPr>
            <w:tcW w:w="1110" w:type="pct"/>
            <w:tcBorders>
              <w:top w:val="single" w:sz="4" w:space="0" w:color="auto"/>
              <w:left w:val="single" w:sz="4" w:space="0" w:color="auto"/>
              <w:bottom w:val="single" w:sz="4" w:space="0" w:color="auto"/>
              <w:right w:val="single" w:sz="4" w:space="0" w:color="auto"/>
            </w:tcBorders>
          </w:tcPr>
          <w:p w:rsidR="007D3698" w:rsidRPr="00930809" w:rsidRDefault="007D3698" w:rsidP="0097579A">
            <w:pPr>
              <w:pStyle w:val="Normal6"/>
              <w:rPr>
                <w:noProof/>
                <w:sz w:val="20"/>
                <w:lang w:val="fr-BE"/>
              </w:rPr>
            </w:pPr>
          </w:p>
        </w:tc>
      </w:tr>
      <w:tr w:rsidR="007D3698" w:rsidRPr="00AA1077" w:rsidTr="0097579A">
        <w:tc>
          <w:tcPr>
            <w:tcW w:w="376" w:type="pc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FC</w:t>
            </w:r>
          </w:p>
        </w:tc>
        <w:tc>
          <w:tcPr>
            <w:tcW w:w="455"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70"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1110"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r>
      <w:tr w:rsidR="007D3698" w:rsidRPr="00AA1077" w:rsidTr="0097579A">
        <w:tc>
          <w:tcPr>
            <w:tcW w:w="376" w:type="pc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FEAMP</w:t>
            </w:r>
          </w:p>
        </w:tc>
        <w:tc>
          <w:tcPr>
            <w:tcW w:w="455"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70"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1110"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r>
      <w:tr w:rsidR="007D3698" w:rsidRPr="00AA1077" w:rsidTr="0097579A">
        <w:tc>
          <w:tcPr>
            <w:tcW w:w="376" w:type="pct"/>
            <w:tcBorders>
              <w:top w:val="single" w:sz="4" w:space="0" w:color="auto"/>
              <w:left w:val="single" w:sz="4" w:space="0" w:color="auto"/>
              <w:bottom w:val="single" w:sz="4" w:space="0" w:color="auto"/>
              <w:right w:val="single" w:sz="4" w:space="0" w:color="auto"/>
            </w:tcBorders>
            <w:hideMark/>
          </w:tcPr>
          <w:p w:rsidR="007D3698" w:rsidRPr="00AA1077" w:rsidRDefault="007D3698" w:rsidP="0097579A">
            <w:pPr>
              <w:pStyle w:val="Normal6"/>
              <w:rPr>
                <w:noProof/>
                <w:sz w:val="20"/>
              </w:rPr>
            </w:pPr>
            <w:r>
              <w:rPr>
                <w:sz w:val="20"/>
              </w:rPr>
              <w:t>Total</w:t>
            </w:r>
          </w:p>
        </w:tc>
        <w:tc>
          <w:tcPr>
            <w:tcW w:w="455"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570"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498"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c>
          <w:tcPr>
            <w:tcW w:w="1110" w:type="pct"/>
            <w:tcBorders>
              <w:top w:val="single" w:sz="4" w:space="0" w:color="auto"/>
              <w:left w:val="single" w:sz="4" w:space="0" w:color="auto"/>
              <w:bottom w:val="single" w:sz="4" w:space="0" w:color="auto"/>
              <w:right w:val="single" w:sz="4" w:space="0" w:color="auto"/>
            </w:tcBorders>
          </w:tcPr>
          <w:p w:rsidR="007D3698" w:rsidRPr="00AA1077" w:rsidRDefault="007D3698" w:rsidP="0097579A">
            <w:pPr>
              <w:pStyle w:val="Normal6"/>
              <w:rPr>
                <w:noProof/>
                <w:sz w:val="20"/>
              </w:rPr>
            </w:pPr>
          </w:p>
        </w:tc>
      </w:tr>
    </w:tbl>
    <w:p w:rsidR="007D3698" w:rsidRPr="00AA1077" w:rsidRDefault="007D3698" w:rsidP="007D3698">
      <w:pPr>
        <w:rPr>
          <w:noProof/>
        </w:rPr>
      </w:pPr>
      <w:r>
        <w:rPr>
          <w:rStyle w:val="HideTWBExt"/>
        </w:rPr>
        <w:t>&lt;/Amend&gt;</w:t>
      </w:r>
    </w:p>
    <w:p w:rsidR="007D3698" w:rsidRDefault="007D3698" w:rsidP="007D3698">
      <w:pPr>
        <w:pStyle w:val="AMNumberTabs"/>
        <w:rPr>
          <w:noProof/>
        </w:rPr>
      </w:pPr>
      <w:r>
        <w:rPr>
          <w:rStyle w:val="HideTWBExt"/>
          <w:b w:val="0"/>
          <w:szCs w:val="24"/>
        </w:rPr>
        <w:t>&lt;Amend&gt;</w:t>
      </w:r>
      <w:r w:rsidRPr="00810763">
        <w:t>Amendement</w:t>
      </w:r>
      <w:r w:rsidRPr="00810763">
        <w:tab/>
      </w:r>
      <w:r w:rsidRPr="00810763">
        <w:tab/>
      </w:r>
      <w:r>
        <w:rPr>
          <w:rStyle w:val="HideTWBExt"/>
          <w:b w:val="0"/>
          <w:szCs w:val="24"/>
        </w:rPr>
        <w:t>&lt;NumAm&gt;</w:t>
      </w:r>
      <w:r w:rsidRPr="00810763">
        <w:t>112</w:t>
      </w:r>
      <w:r>
        <w:rPr>
          <w:rStyle w:val="HideTWBExt"/>
          <w:b w:val="0"/>
          <w:szCs w:val="24"/>
        </w:rPr>
        <w:t>&lt;/NumAm&gt;</w:t>
      </w:r>
    </w:p>
    <w:p w:rsidR="007D3698" w:rsidRPr="007D3698" w:rsidRDefault="007D3698" w:rsidP="007D3698">
      <w:pPr>
        <w:pStyle w:val="NormalBold12b"/>
        <w:rPr>
          <w:noProof/>
        </w:rPr>
      </w:pPr>
      <w:r>
        <w:rPr>
          <w:rStyle w:val="HideTWBExt"/>
          <w:b w:val="0"/>
          <w:szCs w:val="24"/>
          <w:lang w:val="en-GB"/>
        </w:rPr>
        <w:t>&lt;DocAmend&gt;</w:t>
      </w:r>
      <w:r w:rsidRPr="00810763">
        <w:t>Proposition de règlement</w:t>
      </w:r>
      <w:r>
        <w:rPr>
          <w:rStyle w:val="HideTWBExt"/>
          <w:b w:val="0"/>
          <w:szCs w:val="24"/>
          <w:lang w:val="en-GB"/>
        </w:rPr>
        <w:t>&lt;/DocAmend&gt;</w:t>
      </w:r>
    </w:p>
    <w:p w:rsidR="007D3698" w:rsidRPr="00AA1077" w:rsidRDefault="007D3698" w:rsidP="007D3698">
      <w:pPr>
        <w:pStyle w:val="NormalBold"/>
        <w:rPr>
          <w:noProof/>
        </w:rPr>
      </w:pPr>
      <w:r>
        <w:rPr>
          <w:rStyle w:val="HideTWBExt"/>
          <w:b w:val="0"/>
          <w:szCs w:val="24"/>
        </w:rPr>
        <w:t>&lt;Article&gt;</w:t>
      </w:r>
      <w:r w:rsidRPr="00810763">
        <w:t>Annexe V – point 3.2 – alinéa 2 – partie introductive</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 xml:space="preserve">Objectif </w:t>
            </w:r>
            <w:r w:rsidRPr="00810763">
              <w:rPr>
                <w:b/>
                <w:i/>
              </w:rPr>
              <w:t>«Emploi</w:t>
            </w:r>
            <w:r w:rsidRPr="00810763">
              <w:t xml:space="preserve"> et </w:t>
            </w:r>
            <w:r w:rsidRPr="00810763">
              <w:rPr>
                <w:b/>
                <w:i/>
              </w:rPr>
              <w:t>croissance»</w:t>
            </w:r>
          </w:p>
        </w:tc>
        <w:tc>
          <w:tcPr>
            <w:tcW w:w="4876" w:type="dxa"/>
            <w:hideMark/>
          </w:tcPr>
          <w:p w:rsidR="007D3698" w:rsidRPr="00810763" w:rsidRDefault="007D3698" w:rsidP="0097579A">
            <w:pPr>
              <w:pStyle w:val="Normal6"/>
              <w:rPr>
                <w:noProof/>
                <w:szCs w:val="24"/>
              </w:rPr>
            </w:pPr>
            <w:r w:rsidRPr="00810763">
              <w:t xml:space="preserve">Objectif </w:t>
            </w:r>
            <w:r w:rsidRPr="00810763">
              <w:rPr>
                <w:b/>
                <w:i/>
              </w:rPr>
              <w:t>«Investissement pour l’emploi, la croissance, l’inclusion sociale</w:t>
            </w:r>
            <w:r w:rsidRPr="00810763">
              <w:t xml:space="preserve"> et </w:t>
            </w:r>
            <w:r w:rsidRPr="00810763">
              <w:rPr>
                <w:b/>
                <w:i/>
              </w:rPr>
              <w:t>la convergence ascendante»</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113</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Annexe XXII – intertitre 2</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 xml:space="preserve">Méthode de détermination des montants alloués pour les régions les moins développées éligibles au titre de l’objectif «Investissement pour la croissance et </w:t>
            </w:r>
            <w:r w:rsidRPr="00810763">
              <w:rPr>
                <w:b/>
                <w:i/>
              </w:rPr>
              <w:t>l’emploi»</w:t>
            </w:r>
            <w:r w:rsidRPr="00810763">
              <w:t xml:space="preserve"> - article 102, paragraphe 2, point a)</w:t>
            </w:r>
          </w:p>
        </w:tc>
        <w:tc>
          <w:tcPr>
            <w:tcW w:w="4876" w:type="dxa"/>
            <w:hideMark/>
          </w:tcPr>
          <w:p w:rsidR="007D3698" w:rsidRPr="00810763" w:rsidRDefault="007D3698" w:rsidP="0097579A">
            <w:pPr>
              <w:pStyle w:val="Normal6"/>
              <w:rPr>
                <w:noProof/>
                <w:szCs w:val="24"/>
              </w:rPr>
            </w:pPr>
            <w:r w:rsidRPr="00810763">
              <w:t xml:space="preserve">Méthode de détermination des montants alloués pour les régions les moins développées éligibles au titre de l’objectif «Investissement pour </w:t>
            </w:r>
            <w:r w:rsidRPr="00810763">
              <w:rPr>
                <w:b/>
                <w:i/>
              </w:rPr>
              <w:t xml:space="preserve">l’emploi, </w:t>
            </w:r>
            <w:r w:rsidRPr="00810763">
              <w:t>la croissance</w:t>
            </w:r>
            <w:r w:rsidRPr="00810763">
              <w:rPr>
                <w:b/>
                <w:i/>
              </w:rPr>
              <w:t>, l’inclusion sociale</w:t>
            </w:r>
            <w:r w:rsidRPr="00810763">
              <w:t xml:space="preserve"> et </w:t>
            </w:r>
            <w:r w:rsidRPr="00810763">
              <w:rPr>
                <w:b/>
                <w:i/>
              </w:rPr>
              <w:t>la convergence ascendante»</w:t>
            </w:r>
            <w:r w:rsidRPr="00810763">
              <w:t xml:space="preserve"> - article 102, paragraphe 2, point a)</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114</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Annexe XXII – intertitre 3</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 xml:space="preserve">Méthode de détermination des montants alloués pour les régions en transition éligibles au titre de l’objectif «Investissement pour la croissance et </w:t>
            </w:r>
            <w:r w:rsidRPr="00810763">
              <w:rPr>
                <w:b/>
                <w:i/>
              </w:rPr>
              <w:t>l’emploi»</w:t>
            </w:r>
            <w:r w:rsidRPr="00810763">
              <w:t xml:space="preserve"> - article 102, paragraphe 2, point b)</w:t>
            </w:r>
          </w:p>
        </w:tc>
        <w:tc>
          <w:tcPr>
            <w:tcW w:w="4876" w:type="dxa"/>
            <w:hideMark/>
          </w:tcPr>
          <w:p w:rsidR="007D3698" w:rsidRPr="00810763" w:rsidRDefault="007D3698" w:rsidP="0097579A">
            <w:pPr>
              <w:pStyle w:val="Normal6"/>
              <w:rPr>
                <w:noProof/>
                <w:szCs w:val="24"/>
              </w:rPr>
            </w:pPr>
            <w:r w:rsidRPr="00810763">
              <w:t xml:space="preserve">Méthode de détermination des montants alloués pour les régions en transition éligibles au titre de l’objectif «Investissement pour </w:t>
            </w:r>
            <w:r w:rsidRPr="00810763">
              <w:rPr>
                <w:b/>
                <w:i/>
              </w:rPr>
              <w:t xml:space="preserve">l’emploi, </w:t>
            </w:r>
            <w:r w:rsidRPr="00810763">
              <w:t>la croissance</w:t>
            </w:r>
            <w:r w:rsidRPr="00810763">
              <w:rPr>
                <w:b/>
                <w:i/>
              </w:rPr>
              <w:t>, l’inclusion sociale</w:t>
            </w:r>
            <w:r w:rsidRPr="00810763">
              <w:t xml:space="preserve"> et </w:t>
            </w:r>
            <w:r w:rsidRPr="00810763">
              <w:rPr>
                <w:b/>
                <w:i/>
              </w:rPr>
              <w:t>la convergence ascendante»</w:t>
            </w:r>
            <w:r w:rsidRPr="00810763">
              <w:t xml:space="preserve"> - article 102, paragraphe 2, point b)</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115</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Annexe XXII – intertitre 4</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AA1077"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 xml:space="preserve">Méthode de détermination des montants alloués pour les régions les plus développées éligibles au titre de l’objectif «Investissement pour la croissance et </w:t>
            </w:r>
            <w:r w:rsidRPr="00810763">
              <w:rPr>
                <w:b/>
                <w:i/>
              </w:rPr>
              <w:t>l’emploi»</w:t>
            </w:r>
            <w:r w:rsidRPr="00810763">
              <w:t xml:space="preserve"> - article 102, paragraphe 2, point c)</w:t>
            </w:r>
          </w:p>
        </w:tc>
        <w:tc>
          <w:tcPr>
            <w:tcW w:w="4876" w:type="dxa"/>
            <w:hideMark/>
          </w:tcPr>
          <w:p w:rsidR="007D3698" w:rsidRPr="00810763" w:rsidRDefault="007D3698" w:rsidP="0097579A">
            <w:pPr>
              <w:pStyle w:val="Normal6"/>
              <w:rPr>
                <w:noProof/>
                <w:szCs w:val="24"/>
              </w:rPr>
            </w:pPr>
            <w:r w:rsidRPr="00810763">
              <w:t xml:space="preserve">Méthode de détermination des montants alloués pour les régions les plus développées éligibles au titre de l’objectif «Investissement pour </w:t>
            </w:r>
            <w:r w:rsidRPr="00810763">
              <w:rPr>
                <w:b/>
                <w:i/>
              </w:rPr>
              <w:t xml:space="preserve">l’emploi, </w:t>
            </w:r>
            <w:r w:rsidRPr="00810763">
              <w:t>la croissance</w:t>
            </w:r>
            <w:r w:rsidRPr="00810763">
              <w:rPr>
                <w:b/>
                <w:i/>
              </w:rPr>
              <w:t>, l’inclusion sociale</w:t>
            </w:r>
            <w:r w:rsidRPr="00810763">
              <w:t xml:space="preserve"> et </w:t>
            </w:r>
            <w:r w:rsidRPr="00810763">
              <w:rPr>
                <w:b/>
                <w:i/>
              </w:rPr>
              <w:t>la convergence ascendante»</w:t>
            </w:r>
            <w:r w:rsidRPr="00810763">
              <w:t xml:space="preserve"> - article 102, paragraphe 2, point c)</w:t>
            </w:r>
          </w:p>
        </w:tc>
      </w:tr>
    </w:tbl>
    <w:p w:rsidR="007D3698" w:rsidRPr="007D3698" w:rsidRDefault="007D3698" w:rsidP="007D3698">
      <w:pPr>
        <w:rPr>
          <w:noProof/>
        </w:rPr>
      </w:pPr>
      <w:r w:rsidRPr="00930809">
        <w:rPr>
          <w:rStyle w:val="HideTWBExt"/>
          <w:lang w:val="fr-BE"/>
        </w:rPr>
        <w:t>&lt;/Amend&gt;</w:t>
      </w:r>
    </w:p>
    <w:p w:rsidR="007D3698" w:rsidRPr="007D3698" w:rsidRDefault="007D3698" w:rsidP="007D3698">
      <w:pPr>
        <w:pStyle w:val="AMNumberTabs"/>
        <w:rPr>
          <w:noProof/>
        </w:rPr>
      </w:pPr>
      <w:r w:rsidRPr="00930809">
        <w:rPr>
          <w:rStyle w:val="HideTWBExt"/>
          <w:b w:val="0"/>
          <w:szCs w:val="24"/>
          <w:lang w:val="fr-BE"/>
        </w:rPr>
        <w:t>&lt;Amend&gt;</w:t>
      </w:r>
      <w:r w:rsidRPr="00810763">
        <w:t>Amendement</w:t>
      </w:r>
      <w:r w:rsidRPr="00810763">
        <w:tab/>
      </w:r>
      <w:r w:rsidRPr="00810763">
        <w:tab/>
      </w:r>
      <w:r w:rsidRPr="00930809">
        <w:rPr>
          <w:rStyle w:val="HideTWBExt"/>
          <w:b w:val="0"/>
          <w:szCs w:val="24"/>
          <w:lang w:val="fr-BE"/>
        </w:rPr>
        <w:t>&lt;NumAm&gt;</w:t>
      </w:r>
      <w:r w:rsidRPr="00810763">
        <w:t>116</w:t>
      </w:r>
      <w:r w:rsidRPr="00930809">
        <w:rPr>
          <w:rStyle w:val="HideTWBExt"/>
          <w:b w:val="0"/>
          <w:szCs w:val="24"/>
          <w:lang w:val="fr-BE"/>
        </w:rPr>
        <w:t>&lt;/NumAm&gt;</w:t>
      </w:r>
    </w:p>
    <w:p w:rsidR="007D3698" w:rsidRPr="007D3698" w:rsidRDefault="007D3698" w:rsidP="007D3698">
      <w:pPr>
        <w:pStyle w:val="NormalBold12b"/>
        <w:rPr>
          <w:noProof/>
        </w:rPr>
      </w:pPr>
      <w:r w:rsidRPr="00930809">
        <w:rPr>
          <w:rStyle w:val="HideTWBExt"/>
          <w:b w:val="0"/>
          <w:szCs w:val="24"/>
          <w:lang w:val="fr-BE"/>
        </w:rPr>
        <w:t>&lt;DocAmend&gt;</w:t>
      </w:r>
      <w:r w:rsidRPr="00810763">
        <w:t>Proposition de règlement</w:t>
      </w:r>
      <w:r w:rsidRPr="00930809">
        <w:rPr>
          <w:rStyle w:val="HideTWBExt"/>
          <w:b w:val="0"/>
          <w:szCs w:val="24"/>
          <w:lang w:val="fr-BE"/>
        </w:rPr>
        <w:t>&lt;/DocAmend&gt;</w:t>
      </w:r>
    </w:p>
    <w:p w:rsidR="007D3698" w:rsidRPr="00AA1077" w:rsidRDefault="007D3698" w:rsidP="007D3698">
      <w:pPr>
        <w:pStyle w:val="NormalBold"/>
        <w:rPr>
          <w:noProof/>
        </w:rPr>
      </w:pPr>
      <w:r>
        <w:rPr>
          <w:rStyle w:val="HideTWBExt"/>
          <w:b w:val="0"/>
          <w:szCs w:val="24"/>
        </w:rPr>
        <w:t>&lt;Article&gt;</w:t>
      </w:r>
      <w:r w:rsidRPr="00810763">
        <w:t>Annexe XXII – point 14</w:t>
      </w:r>
      <w:r>
        <w:rPr>
          <w:rStyle w:val="HideTWBExt"/>
          <w:b w:val="0"/>
          <w:szCs w:val="24"/>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3698" w:rsidRPr="00F15B66" w:rsidTr="0097579A">
        <w:trPr>
          <w:jc w:val="center"/>
        </w:trPr>
        <w:tc>
          <w:tcPr>
            <w:tcW w:w="9752" w:type="dxa"/>
            <w:gridSpan w:val="2"/>
          </w:tcPr>
          <w:p w:rsidR="007D3698" w:rsidRPr="00AA1077" w:rsidRDefault="007D3698" w:rsidP="0097579A">
            <w:pPr>
              <w:keepNext/>
              <w:rPr>
                <w:noProof/>
              </w:rPr>
            </w:pPr>
          </w:p>
        </w:tc>
      </w:tr>
      <w:tr w:rsidR="007D3698" w:rsidRPr="00AA1077" w:rsidTr="0097579A">
        <w:trPr>
          <w:jc w:val="center"/>
        </w:trPr>
        <w:tc>
          <w:tcPr>
            <w:tcW w:w="4876" w:type="dxa"/>
            <w:hideMark/>
          </w:tcPr>
          <w:p w:rsidR="007D3698" w:rsidRPr="00810763" w:rsidRDefault="007D3698" w:rsidP="0097579A">
            <w:pPr>
              <w:pStyle w:val="ColumnHeading"/>
              <w:keepNext/>
              <w:rPr>
                <w:noProof/>
              </w:rPr>
            </w:pPr>
            <w:r w:rsidRPr="00810763">
              <w:t>Texte proposé par la Commission</w:t>
            </w:r>
          </w:p>
        </w:tc>
        <w:tc>
          <w:tcPr>
            <w:tcW w:w="4876" w:type="dxa"/>
            <w:hideMark/>
          </w:tcPr>
          <w:p w:rsidR="007D3698" w:rsidRPr="00810763" w:rsidRDefault="007D3698" w:rsidP="0097579A">
            <w:pPr>
              <w:pStyle w:val="ColumnHeading"/>
              <w:keepNext/>
              <w:rPr>
                <w:noProof/>
              </w:rPr>
            </w:pPr>
            <w:r w:rsidRPr="00810763">
              <w:t>Amendement</w:t>
            </w:r>
          </w:p>
        </w:tc>
      </w:tr>
      <w:tr w:rsidR="007D3698" w:rsidRPr="007D3698" w:rsidTr="0097579A">
        <w:trPr>
          <w:jc w:val="center"/>
        </w:trPr>
        <w:tc>
          <w:tcPr>
            <w:tcW w:w="4876" w:type="dxa"/>
            <w:hideMark/>
          </w:tcPr>
          <w:p w:rsidR="007D3698" w:rsidRPr="00810763" w:rsidRDefault="007D3698" w:rsidP="0097579A">
            <w:pPr>
              <w:pStyle w:val="Normal6"/>
              <w:rPr>
                <w:noProof/>
              </w:rPr>
            </w:pPr>
            <w:r w:rsidRPr="00810763">
              <w:t>14.</w:t>
            </w:r>
            <w:r w:rsidRPr="00810763">
              <w:tab/>
              <w:t xml:space="preserve">Pour toutes les régions qui étaient classées comme régions les moins développées pour la période de programmation 2014-2020, mais dont le PIB par habitant est supérieur à 75 % de la moyenne de l’UE-27, le niveau minimal annuel de soutien au titre de l’objectif «Investissement pour la croissance et </w:t>
            </w:r>
            <w:r w:rsidRPr="00810763">
              <w:rPr>
                <w:b/>
                <w:i/>
              </w:rPr>
              <w:t>l’emploi»</w:t>
            </w:r>
            <w:r w:rsidRPr="00810763">
              <w:t xml:space="preserve"> correspondra à 60 % de leur précédente dotation annuelle indicative moyenne au titre de l’objectif «Investissement pour la croissance et l’emploi», calculée par la Commission à l’intérieur du cadre financier pluriannuel 2014-2020.</w:t>
            </w:r>
          </w:p>
        </w:tc>
        <w:tc>
          <w:tcPr>
            <w:tcW w:w="4876" w:type="dxa"/>
            <w:hideMark/>
          </w:tcPr>
          <w:p w:rsidR="007D3698" w:rsidRPr="00810763" w:rsidRDefault="007D3698" w:rsidP="0097579A">
            <w:pPr>
              <w:pStyle w:val="Normal6"/>
              <w:rPr>
                <w:noProof/>
                <w:szCs w:val="24"/>
              </w:rPr>
            </w:pPr>
            <w:r w:rsidRPr="00810763">
              <w:t>14.</w:t>
            </w:r>
            <w:r w:rsidRPr="00810763">
              <w:tab/>
              <w:t xml:space="preserve">Pour toutes les régions qui étaient classées comme régions les moins développées pour la période de programmation 2014-2020, mais dont le PIB par habitant est supérieur à 75 % de la moyenne de l’UE-27, le niveau minimal annuel de soutien au titre de l’objectif «Investissement pour </w:t>
            </w:r>
            <w:r w:rsidRPr="00810763">
              <w:rPr>
                <w:b/>
                <w:i/>
              </w:rPr>
              <w:t xml:space="preserve">l’emploi, </w:t>
            </w:r>
            <w:r w:rsidRPr="00810763">
              <w:t>la croissance</w:t>
            </w:r>
            <w:r w:rsidRPr="00810763">
              <w:rPr>
                <w:b/>
                <w:i/>
              </w:rPr>
              <w:t>, l’inclusion sociale</w:t>
            </w:r>
            <w:r w:rsidRPr="00810763">
              <w:t xml:space="preserve"> et </w:t>
            </w:r>
            <w:r w:rsidRPr="00810763">
              <w:rPr>
                <w:b/>
                <w:i/>
              </w:rPr>
              <w:t>la convergence ascendante»</w:t>
            </w:r>
            <w:r w:rsidRPr="00810763">
              <w:t xml:space="preserve"> correspondra à 60 % de leur précédente dotation annuelle indicative moyenne au titre de l’objectif «Investissement pour la croissance et l’emploi», calculée par la Commission à l’intérieur du cadre financier pluriannuel 2014-2020.</w:t>
            </w:r>
          </w:p>
        </w:tc>
      </w:tr>
    </w:tbl>
    <w:p w:rsidR="007D3698" w:rsidRPr="00AA1077" w:rsidRDefault="007D3698" w:rsidP="007D3698">
      <w:pPr>
        <w:rPr>
          <w:rStyle w:val="HideTWBExt"/>
        </w:rPr>
      </w:pPr>
      <w:r>
        <w:rPr>
          <w:rStyle w:val="HideTWBExt"/>
        </w:rPr>
        <w:t>&lt;/Amend&gt;</w:t>
      </w:r>
    </w:p>
    <w:p w:rsidR="005167D0" w:rsidRPr="00DA072D" w:rsidRDefault="007D3698" w:rsidP="007D3698">
      <w:r>
        <w:rPr>
          <w:rStyle w:val="HideTWBExt"/>
        </w:rPr>
        <w:t>&lt;/RepeatBlock-Amend&gt;</w:t>
      </w:r>
    </w:p>
    <w:p w:rsidR="005167D0" w:rsidRPr="00DA072D" w:rsidRDefault="005167D0" w:rsidP="005167D0"/>
    <w:p w:rsidR="009071D9" w:rsidRPr="009071D9" w:rsidRDefault="009071D9" w:rsidP="009071D9">
      <w:r>
        <w:br w:type="page"/>
      </w:r>
    </w:p>
    <w:p w:rsidR="009071D9" w:rsidRDefault="009071D9" w:rsidP="009071D9">
      <w:pPr>
        <w:pStyle w:val="PageHeadingNotTOC"/>
      </w:pPr>
      <w:bookmarkStart w:id="2" w:name="ProcPageAD"/>
      <w:r>
        <w:lastRenderedPageBreak/>
        <w:t>PROCÉDURE DE LA COMMISSION SAISIE POUR AVIS</w:t>
      </w:r>
    </w:p>
    <w:tbl>
      <w:tblPr>
        <w:tblW w:w="9637" w:type="dxa"/>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071D9" w:rsidTr="007D36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b/>
                <w:bCs/>
                <w:color w:val="000000"/>
                <w:sz w:val="20"/>
                <w:szCs w:val="20"/>
              </w:rPr>
            </w:pPr>
            <w:r>
              <w:rPr>
                <w:b/>
                <w:bCs/>
                <w:color w:val="000000"/>
                <w:sz w:val="20"/>
                <w:szCs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color w:val="000000"/>
                <w:sz w:val="20"/>
                <w:szCs w:val="20"/>
              </w:rPr>
            </w:pPr>
            <w:r>
              <w:rPr>
                <w:color w:val="000000"/>
                <w:sz w:val="20"/>
                <w:szCs w:val="20"/>
              </w:rPr>
              <w:t>Dispositions communes relatives au Fonds européen de développement régional, au Fonds social européen plus, au Fonds de cohésion et au Fonds européen pour les affaires maritimes et la pêche, et règles financières applicables à ces Fonds et au Fonds «Asile et migration», au Fonds pour la sécurité intérieure et à l’instrument relatif à la gestion des frontières et aux visas</w:t>
            </w:r>
          </w:p>
        </w:tc>
      </w:tr>
      <w:tr w:rsidR="009071D9" w:rsidTr="007D369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b/>
                <w:bCs/>
                <w:color w:val="000000"/>
                <w:sz w:val="20"/>
                <w:szCs w:val="20"/>
              </w:rPr>
            </w:pPr>
            <w:r>
              <w:rPr>
                <w:b/>
                <w:bCs/>
                <w:color w:val="000000"/>
                <w:sz w:val="20"/>
                <w:szCs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color w:val="000000"/>
                <w:sz w:val="20"/>
                <w:szCs w:val="20"/>
              </w:rPr>
            </w:pPr>
            <w:r>
              <w:rPr>
                <w:color w:val="000000"/>
                <w:sz w:val="20"/>
                <w:szCs w:val="20"/>
              </w:rPr>
              <w:t>COM(2018)0375 – C8-0230/2018 – 2018/0196(COD)</w:t>
            </w:r>
          </w:p>
        </w:tc>
      </w:tr>
      <w:tr w:rsidR="009071D9" w:rsidTr="007D36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b/>
                <w:bCs/>
                <w:color w:val="000000"/>
                <w:sz w:val="20"/>
                <w:szCs w:val="20"/>
              </w:rPr>
            </w:pPr>
            <w:r>
              <w:rPr>
                <w:b/>
                <w:bCs/>
                <w:color w:val="000000"/>
                <w:sz w:val="20"/>
                <w:szCs w:val="20"/>
              </w:rPr>
              <w:t>Commission compétente au fond</w:t>
            </w:r>
          </w:p>
          <w:p w:rsidR="009071D9" w:rsidRDefault="009071D9">
            <w:pPr>
              <w:widowControl w:val="0"/>
              <w:autoSpaceDE w:val="0"/>
              <w:autoSpaceDN w:val="0"/>
              <w:adjustRightInd w:val="0"/>
              <w:rPr>
                <w:color w:val="000000"/>
                <w:sz w:val="20"/>
                <w:szCs w:val="20"/>
              </w:rPr>
            </w:pPr>
            <w:r>
              <w:rPr>
                <w:color w:val="000000"/>
                <w:sz w:val="20"/>
                <w:szCs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071D9" w:rsidRDefault="009071D9">
            <w:pPr>
              <w:widowControl w:val="0"/>
              <w:autoSpaceDE w:val="0"/>
              <w:autoSpaceDN w:val="0"/>
              <w:adjustRightInd w:val="0"/>
              <w:rPr>
                <w:color w:val="000000"/>
                <w:sz w:val="20"/>
                <w:szCs w:val="20"/>
              </w:rPr>
            </w:pPr>
            <w:r>
              <w:rPr>
                <w:color w:val="000000"/>
                <w:sz w:val="20"/>
                <w:szCs w:val="20"/>
              </w:rPr>
              <w:t>REGI</w:t>
            </w:r>
          </w:p>
          <w:p w:rsidR="009071D9" w:rsidRDefault="009071D9">
            <w:pPr>
              <w:widowControl w:val="0"/>
              <w:autoSpaceDE w:val="0"/>
              <w:autoSpaceDN w:val="0"/>
              <w:adjustRightInd w:val="0"/>
              <w:rPr>
                <w:color w:val="000000"/>
                <w:sz w:val="20"/>
                <w:szCs w:val="20"/>
              </w:rPr>
            </w:pPr>
            <w:r>
              <w:rPr>
                <w:color w:val="000000"/>
                <w:sz w:val="20"/>
                <w:szCs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71D9" w:rsidRDefault="009071D9">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71D9" w:rsidRDefault="009071D9">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rFonts w:ascii="sans-serif" w:hAnsi="sans-serif" w:cs="sans-serif"/>
                <w:color w:val="000000"/>
              </w:rPr>
            </w:pPr>
          </w:p>
        </w:tc>
      </w:tr>
      <w:tr w:rsidR="009071D9" w:rsidTr="007D36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b/>
                <w:bCs/>
                <w:color w:val="000000"/>
                <w:sz w:val="20"/>
                <w:szCs w:val="20"/>
              </w:rPr>
            </w:pPr>
            <w:r>
              <w:rPr>
                <w:b/>
                <w:bCs/>
                <w:color w:val="000000"/>
                <w:sz w:val="20"/>
                <w:szCs w:val="20"/>
              </w:rPr>
              <w:t>Avis émis par</w:t>
            </w:r>
          </w:p>
          <w:p w:rsidR="009071D9" w:rsidRDefault="009071D9">
            <w:pPr>
              <w:widowControl w:val="0"/>
              <w:autoSpaceDE w:val="0"/>
              <w:autoSpaceDN w:val="0"/>
              <w:adjustRightInd w:val="0"/>
              <w:rPr>
                <w:color w:val="000000"/>
                <w:sz w:val="20"/>
                <w:szCs w:val="20"/>
              </w:rPr>
            </w:pPr>
            <w:r>
              <w:rPr>
                <w:color w:val="000000"/>
                <w:sz w:val="20"/>
                <w:szCs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color w:val="000000"/>
                <w:sz w:val="20"/>
                <w:szCs w:val="20"/>
              </w:rPr>
            </w:pPr>
            <w:r>
              <w:rPr>
                <w:color w:val="000000"/>
                <w:sz w:val="20"/>
                <w:szCs w:val="20"/>
              </w:rPr>
              <w:t>EMPL</w:t>
            </w:r>
          </w:p>
          <w:p w:rsidR="009071D9" w:rsidRDefault="009071D9">
            <w:pPr>
              <w:widowControl w:val="0"/>
              <w:autoSpaceDE w:val="0"/>
              <w:autoSpaceDN w:val="0"/>
              <w:adjustRightInd w:val="0"/>
              <w:rPr>
                <w:color w:val="000000"/>
                <w:sz w:val="20"/>
                <w:szCs w:val="20"/>
              </w:rPr>
            </w:pPr>
            <w:r>
              <w:rPr>
                <w:color w:val="000000"/>
                <w:sz w:val="20"/>
                <w:szCs w:val="20"/>
              </w:rPr>
              <w:t>11.6.2018</w:t>
            </w:r>
          </w:p>
        </w:tc>
      </w:tr>
      <w:tr w:rsidR="009071D9" w:rsidTr="007D36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b/>
                <w:bCs/>
                <w:color w:val="000000"/>
                <w:sz w:val="20"/>
                <w:szCs w:val="20"/>
              </w:rPr>
            </w:pPr>
            <w:r>
              <w:rPr>
                <w:b/>
                <w:bCs/>
                <w:color w:val="000000"/>
                <w:sz w:val="20"/>
                <w:szCs w:val="20"/>
              </w:rPr>
              <w:t>Rapporteur(e) pour avis</w:t>
            </w:r>
          </w:p>
          <w:p w:rsidR="009071D9" w:rsidRDefault="009071D9">
            <w:pPr>
              <w:widowControl w:val="0"/>
              <w:autoSpaceDE w:val="0"/>
              <w:autoSpaceDN w:val="0"/>
              <w:adjustRightInd w:val="0"/>
              <w:rPr>
                <w:color w:val="000000"/>
                <w:sz w:val="20"/>
                <w:szCs w:val="20"/>
              </w:rPr>
            </w:pPr>
            <w:r>
              <w:rPr>
                <w:color w:val="000000"/>
                <w:sz w:val="20"/>
                <w:szCs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color w:val="000000"/>
                <w:sz w:val="20"/>
                <w:szCs w:val="20"/>
              </w:rPr>
            </w:pPr>
            <w:r>
              <w:rPr>
                <w:color w:val="000000"/>
                <w:sz w:val="20"/>
                <w:szCs w:val="20"/>
              </w:rPr>
              <w:t>Agnes Jongerius</w:t>
            </w:r>
          </w:p>
          <w:p w:rsidR="009071D9" w:rsidRDefault="009071D9">
            <w:pPr>
              <w:widowControl w:val="0"/>
              <w:autoSpaceDE w:val="0"/>
              <w:autoSpaceDN w:val="0"/>
              <w:adjustRightInd w:val="0"/>
              <w:rPr>
                <w:color w:val="000000"/>
                <w:sz w:val="20"/>
                <w:szCs w:val="20"/>
              </w:rPr>
            </w:pPr>
            <w:r>
              <w:rPr>
                <w:color w:val="000000"/>
                <w:sz w:val="20"/>
                <w:szCs w:val="20"/>
              </w:rPr>
              <w:t>28.6.2018</w:t>
            </w:r>
          </w:p>
        </w:tc>
      </w:tr>
      <w:tr w:rsidR="009071D9" w:rsidTr="007D36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b/>
                <w:bCs/>
                <w:color w:val="000000"/>
                <w:sz w:val="20"/>
                <w:szCs w:val="20"/>
              </w:rPr>
            </w:pPr>
            <w:r>
              <w:rPr>
                <w:b/>
                <w:bCs/>
                <w:color w:val="000000"/>
                <w:sz w:val="20"/>
                <w:szCs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071D9" w:rsidRDefault="009071D9">
            <w:pPr>
              <w:widowControl w:val="0"/>
              <w:autoSpaceDE w:val="0"/>
              <w:autoSpaceDN w:val="0"/>
              <w:adjustRightInd w:val="0"/>
              <w:rPr>
                <w:color w:val="000000"/>
                <w:sz w:val="20"/>
                <w:szCs w:val="20"/>
              </w:rPr>
            </w:pPr>
            <w:r>
              <w:rPr>
                <w:color w:val="000000"/>
                <w:sz w:val="20"/>
                <w:szCs w:val="20"/>
              </w:rPr>
              <w:t>24.9.2018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71D9" w:rsidRDefault="009071D9">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071D9" w:rsidRDefault="009071D9">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rFonts w:ascii="sans-serif" w:hAnsi="sans-serif" w:cs="sans-serif"/>
                <w:color w:val="000000"/>
              </w:rPr>
            </w:pPr>
          </w:p>
        </w:tc>
      </w:tr>
      <w:tr w:rsidR="009071D9" w:rsidTr="007D369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b/>
                <w:bCs/>
                <w:color w:val="000000"/>
                <w:sz w:val="20"/>
                <w:szCs w:val="20"/>
              </w:rPr>
            </w:pPr>
            <w:r>
              <w:rPr>
                <w:b/>
                <w:bCs/>
                <w:color w:val="000000"/>
                <w:sz w:val="20"/>
                <w:szCs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9071D9" w:rsidRDefault="009071D9">
            <w:pPr>
              <w:widowControl w:val="0"/>
              <w:autoSpaceDE w:val="0"/>
              <w:autoSpaceDN w:val="0"/>
              <w:adjustRightInd w:val="0"/>
              <w:rPr>
                <w:color w:val="000000"/>
                <w:sz w:val="20"/>
                <w:szCs w:val="20"/>
              </w:rPr>
            </w:pPr>
            <w:r>
              <w:rPr>
                <w:color w:val="000000"/>
                <w:sz w:val="20"/>
                <w:szCs w:val="20"/>
              </w:rPr>
              <w:t>27.11.2018</w:t>
            </w:r>
          </w:p>
        </w:tc>
        <w:tc>
          <w:tcPr>
            <w:tcW w:w="1474" w:type="dxa"/>
            <w:tcBorders>
              <w:top w:val="nil"/>
              <w:left w:val="nil"/>
              <w:bottom w:val="single" w:sz="8" w:space="0" w:color="000000"/>
              <w:right w:val="nil"/>
            </w:tcBorders>
            <w:tcMar>
              <w:top w:w="79" w:type="dxa"/>
              <w:left w:w="79" w:type="dxa"/>
              <w:bottom w:w="79" w:type="dxa"/>
              <w:right w:w="79" w:type="dxa"/>
            </w:tcMar>
          </w:tcPr>
          <w:p w:rsidR="009071D9" w:rsidRDefault="009071D9">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9071D9" w:rsidRDefault="009071D9">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rFonts w:ascii="sans-serif" w:hAnsi="sans-serif" w:cs="sans-serif"/>
                <w:color w:val="000000"/>
              </w:rPr>
            </w:pPr>
          </w:p>
        </w:tc>
      </w:tr>
      <w:tr w:rsidR="009071D9" w:rsidTr="007D36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b/>
                <w:bCs/>
                <w:color w:val="000000"/>
                <w:sz w:val="20"/>
                <w:szCs w:val="20"/>
              </w:rPr>
            </w:pPr>
            <w:r>
              <w:rPr>
                <w:b/>
                <w:bCs/>
                <w:color w:val="000000"/>
                <w:sz w:val="20"/>
                <w:szCs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071D9" w:rsidRDefault="009071D9">
            <w:pPr>
              <w:widowControl w:val="0"/>
              <w:autoSpaceDE w:val="0"/>
              <w:autoSpaceDN w:val="0"/>
              <w:adjustRightInd w:val="0"/>
              <w:rPr>
                <w:color w:val="000000"/>
                <w:sz w:val="20"/>
                <w:szCs w:val="20"/>
              </w:rPr>
            </w:pPr>
            <w:r>
              <w:rPr>
                <w:color w:val="000000"/>
                <w:sz w:val="20"/>
                <w:szCs w:val="20"/>
              </w:rPr>
              <w:t>+:</w:t>
            </w:r>
          </w:p>
          <w:p w:rsidR="009071D9" w:rsidRDefault="009071D9">
            <w:pPr>
              <w:widowControl w:val="0"/>
              <w:autoSpaceDE w:val="0"/>
              <w:autoSpaceDN w:val="0"/>
              <w:adjustRightInd w:val="0"/>
              <w:rPr>
                <w:color w:val="000000"/>
                <w:sz w:val="20"/>
                <w:szCs w:val="20"/>
              </w:rPr>
            </w:pPr>
            <w:r>
              <w:rPr>
                <w:color w:val="000000"/>
                <w:sz w:val="20"/>
                <w:szCs w:val="20"/>
              </w:rPr>
              <w:t>–:</w:t>
            </w:r>
          </w:p>
          <w:p w:rsidR="009071D9" w:rsidRDefault="009071D9">
            <w:pPr>
              <w:widowControl w:val="0"/>
              <w:autoSpaceDE w:val="0"/>
              <w:autoSpaceDN w:val="0"/>
              <w:adjustRightInd w:val="0"/>
              <w:rPr>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color w:val="000000"/>
                <w:sz w:val="20"/>
                <w:szCs w:val="20"/>
              </w:rPr>
            </w:pPr>
            <w:r>
              <w:rPr>
                <w:color w:val="000000"/>
                <w:sz w:val="20"/>
                <w:szCs w:val="20"/>
              </w:rPr>
              <w:t>22</w:t>
            </w:r>
          </w:p>
          <w:p w:rsidR="009071D9" w:rsidRDefault="009071D9">
            <w:pPr>
              <w:widowControl w:val="0"/>
              <w:autoSpaceDE w:val="0"/>
              <w:autoSpaceDN w:val="0"/>
              <w:adjustRightInd w:val="0"/>
              <w:rPr>
                <w:color w:val="000000"/>
                <w:sz w:val="20"/>
                <w:szCs w:val="20"/>
              </w:rPr>
            </w:pPr>
            <w:r>
              <w:rPr>
                <w:color w:val="000000"/>
                <w:sz w:val="20"/>
                <w:szCs w:val="20"/>
              </w:rPr>
              <w:t>18</w:t>
            </w:r>
          </w:p>
          <w:p w:rsidR="009071D9" w:rsidRDefault="009071D9">
            <w:pPr>
              <w:widowControl w:val="0"/>
              <w:autoSpaceDE w:val="0"/>
              <w:autoSpaceDN w:val="0"/>
              <w:adjustRightInd w:val="0"/>
              <w:rPr>
                <w:color w:val="000000"/>
                <w:sz w:val="20"/>
                <w:szCs w:val="20"/>
              </w:rPr>
            </w:pPr>
            <w:r>
              <w:rPr>
                <w:color w:val="000000"/>
                <w:sz w:val="20"/>
                <w:szCs w:val="20"/>
              </w:rPr>
              <w:t>1</w:t>
            </w:r>
          </w:p>
        </w:tc>
      </w:tr>
      <w:tr w:rsidR="009071D9" w:rsidTr="007D369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b/>
                <w:bCs/>
                <w:color w:val="000000"/>
                <w:sz w:val="20"/>
                <w:szCs w:val="20"/>
              </w:rPr>
            </w:pPr>
            <w:r>
              <w:rPr>
                <w:b/>
                <w:bCs/>
                <w:color w:val="000000"/>
                <w:sz w:val="20"/>
                <w:szCs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color w:val="000000"/>
                <w:sz w:val="20"/>
                <w:szCs w:val="20"/>
              </w:rPr>
            </w:pPr>
            <w:r>
              <w:rPr>
                <w:color w:val="000000"/>
                <w:sz w:val="20"/>
                <w:szCs w:val="20"/>
              </w:rPr>
              <w:t>David Casa, Ole Christensen, Michael Detjen, Lampros Fountoulis, Elena Gentile, Marian Harkin, Czesław Hoc, Danuta Jazłowiecka, Agnes Jongerius, Jan Keller, Ádám Kósa, Jean Lambert, Jérôme Lavrilleux, Patrick Le Hyaric, Jeroen Lenaers, Verónica Lope Fontagné, Javi López, Dominique Martin, Joëlle Mélin, Miroslavs Mitrofanovs, Elisabeth Morin-Chartier, Emilian Pavel, Georgi Pirinski, Sofia Ribeiro, Robert Rochefort, Claude Rolin, Siôn Simon, Romana Tomc, Yana Toom, Marita Ulvskog, Renate Weber</w:t>
            </w:r>
          </w:p>
        </w:tc>
      </w:tr>
      <w:tr w:rsidR="009071D9" w:rsidTr="007D369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b/>
                <w:bCs/>
                <w:color w:val="000000"/>
                <w:sz w:val="20"/>
                <w:szCs w:val="20"/>
              </w:rPr>
            </w:pPr>
            <w:r>
              <w:rPr>
                <w:b/>
                <w:bCs/>
                <w:color w:val="000000"/>
                <w:sz w:val="20"/>
                <w:szCs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071D9" w:rsidRDefault="009071D9">
            <w:pPr>
              <w:widowControl w:val="0"/>
              <w:autoSpaceDE w:val="0"/>
              <w:autoSpaceDN w:val="0"/>
              <w:adjustRightInd w:val="0"/>
              <w:rPr>
                <w:color w:val="000000"/>
                <w:sz w:val="20"/>
                <w:szCs w:val="20"/>
              </w:rPr>
            </w:pPr>
            <w:r>
              <w:rPr>
                <w:color w:val="000000"/>
                <w:sz w:val="20"/>
                <w:szCs w:val="20"/>
              </w:rPr>
              <w:t>Maria Arena, Georges Bach, Amjad Bashir, Tania González Peñas, Krzysztof Hetman, António Marinho e Pinto, Tamás Meszerics, Michaela Šojdrová, Tom Vandenkendelaere, Flavio Zanonato</w:t>
            </w:r>
          </w:p>
        </w:tc>
      </w:tr>
      <w:bookmarkEnd w:id="2"/>
    </w:tbl>
    <w:p w:rsidR="007D3698" w:rsidRPr="00AA1077" w:rsidRDefault="007D3698" w:rsidP="007D3698">
      <w:pPr>
        <w:widowControl w:val="0"/>
        <w:autoSpaceDE w:val="0"/>
        <w:autoSpaceDN w:val="0"/>
        <w:adjustRightInd w:val="0"/>
        <w:rPr>
          <w:rFonts w:ascii="Arial" w:hAnsi="Arial" w:cs="Arial"/>
        </w:rPr>
      </w:pPr>
    </w:p>
    <w:p w:rsidR="007D3698" w:rsidRPr="00AA1077" w:rsidRDefault="007D3698" w:rsidP="007D3698">
      <w:r>
        <w:br w:type="page"/>
      </w:r>
    </w:p>
    <w:p w:rsidR="007D3698" w:rsidRPr="007D3698" w:rsidRDefault="007D3698" w:rsidP="007D3698">
      <w:pPr>
        <w:pStyle w:val="PageHeadingNotTOC"/>
      </w:pPr>
      <w:bookmarkStart w:id="3" w:name="RollCallPageAD"/>
      <w:r>
        <w:lastRenderedPageBreak/>
        <w:t>VOTE FINAL PAR APPEL NOMINAL</w:t>
      </w:r>
      <w:r>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D3698" w:rsidRPr="00AA1077" w:rsidTr="0097579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D3698" w:rsidRPr="00AA1077" w:rsidRDefault="007D3698" w:rsidP="0097579A">
            <w:pPr>
              <w:spacing w:before="120" w:after="120"/>
              <w:jc w:val="center"/>
              <w:rPr>
                <w:b/>
                <w:sz w:val="20"/>
              </w:rPr>
            </w:pPr>
            <w:r>
              <w:rPr>
                <w:b/>
                <w:sz w:val="20"/>
              </w:rPr>
              <w:t>22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7D3698" w:rsidRPr="00AA1077" w:rsidRDefault="007D3698" w:rsidP="0097579A">
            <w:pPr>
              <w:spacing w:before="120" w:after="120"/>
              <w:jc w:val="center"/>
              <w:rPr>
                <w:rFonts w:ascii="Arial" w:hAnsi="Arial" w:cs="Arial"/>
                <w:b/>
                <w:sz w:val="28"/>
                <w:szCs w:val="28"/>
              </w:rPr>
            </w:pPr>
            <w:r>
              <w:rPr>
                <w:rFonts w:ascii="Arial" w:hAnsi="Arial"/>
                <w:b/>
                <w:sz w:val="28"/>
                <w:szCs w:val="28"/>
              </w:rPr>
              <w:t>+</w:t>
            </w:r>
          </w:p>
        </w:tc>
      </w:tr>
      <w:tr w:rsidR="007D3698" w:rsidRPr="00930809" w:rsidTr="0097579A">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7D3698" w:rsidRPr="00AA1077" w:rsidRDefault="007D3698" w:rsidP="0097579A">
            <w:pPr>
              <w:spacing w:before="120" w:after="120"/>
              <w:rPr>
                <w:sz w:val="20"/>
              </w:rPr>
            </w:pPr>
            <w:r>
              <w:rPr>
                <w:sz w:val="20"/>
              </w:rPr>
              <w:t>GUE/NGL</w:t>
            </w:r>
          </w:p>
          <w:p w:rsidR="007D3698" w:rsidRPr="00AA1077" w:rsidRDefault="007D3698" w:rsidP="0097579A">
            <w:pPr>
              <w:spacing w:before="120" w:after="120"/>
              <w:rPr>
                <w:sz w:val="20"/>
              </w:rPr>
            </w:pPr>
            <w:r>
              <w:rPr>
                <w:sz w:val="20"/>
              </w:rPr>
              <w:t>PPE</w:t>
            </w:r>
          </w:p>
          <w:p w:rsidR="007D3698" w:rsidRPr="00AA1077" w:rsidRDefault="007D3698" w:rsidP="0097579A">
            <w:pPr>
              <w:spacing w:before="80" w:after="120"/>
              <w:rPr>
                <w:sz w:val="20"/>
                <w:lang w:val="pt-PT"/>
              </w:rPr>
            </w:pPr>
          </w:p>
          <w:p w:rsidR="007D3698" w:rsidRPr="00AA1077" w:rsidRDefault="007D3698" w:rsidP="0097579A">
            <w:pPr>
              <w:spacing w:before="80" w:after="120"/>
              <w:rPr>
                <w:sz w:val="20"/>
              </w:rPr>
            </w:pPr>
            <w:r>
              <w:rPr>
                <w:sz w:val="20"/>
              </w:rPr>
              <w:t>S&amp;D</w:t>
            </w:r>
          </w:p>
          <w:p w:rsidR="007D3698" w:rsidRPr="00AA1077" w:rsidRDefault="007D3698" w:rsidP="0097579A">
            <w:pPr>
              <w:spacing w:before="60" w:after="120"/>
              <w:rPr>
                <w:sz w:val="20"/>
                <w:lang w:val="pt-PT"/>
              </w:rPr>
            </w:pPr>
          </w:p>
          <w:p w:rsidR="007D3698" w:rsidRPr="00AA1077" w:rsidRDefault="007D3698" w:rsidP="0097579A">
            <w:pPr>
              <w:spacing w:before="60" w:after="120"/>
              <w:rPr>
                <w:sz w:val="20"/>
              </w:rPr>
            </w:pPr>
            <w:r>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7D3698" w:rsidRPr="00930809" w:rsidRDefault="007D3698" w:rsidP="0097579A">
            <w:pPr>
              <w:spacing w:before="120" w:after="120"/>
              <w:rPr>
                <w:sz w:val="20"/>
                <w:lang w:val="es-ES_tradnl"/>
              </w:rPr>
            </w:pPr>
            <w:r w:rsidRPr="00930809">
              <w:rPr>
                <w:sz w:val="20"/>
                <w:lang w:val="es-ES_tradnl"/>
              </w:rPr>
              <w:t>Tania González Peñas, Patrick Le Hyaric</w:t>
            </w:r>
          </w:p>
          <w:p w:rsidR="007D3698" w:rsidRPr="00930809" w:rsidRDefault="007D3698" w:rsidP="0097579A">
            <w:pPr>
              <w:spacing w:before="120" w:after="120"/>
              <w:rPr>
                <w:sz w:val="20"/>
                <w:lang w:val="es-ES_tradnl"/>
              </w:rPr>
            </w:pPr>
            <w:r w:rsidRPr="00930809">
              <w:rPr>
                <w:sz w:val="20"/>
                <w:lang w:val="es-ES_tradnl"/>
              </w:rPr>
              <w:t>Georges Bach, Jérôme Lavrilleux, Elisabeth Morin-Chartier, Claude Rolin, Tom Vandenkendelaere</w:t>
            </w:r>
          </w:p>
          <w:p w:rsidR="007D3698" w:rsidRPr="00930809" w:rsidRDefault="007D3698" w:rsidP="0097579A">
            <w:pPr>
              <w:spacing w:before="120" w:after="120"/>
              <w:rPr>
                <w:sz w:val="20"/>
                <w:lang w:val="es-ES_tradnl"/>
              </w:rPr>
            </w:pPr>
            <w:r w:rsidRPr="00930809">
              <w:rPr>
                <w:sz w:val="20"/>
                <w:lang w:val="es-ES_tradnl"/>
              </w:rPr>
              <w:t>Maria Arena, Ole Christensen, Michael Detjen, Elena Gentile, Agnes Jongerius, Jan Keller, Javi López, Emilian Pavel, Georgi Pirinski, Siôn Simon, Marita Ulvskog, Flavio Zanonato</w:t>
            </w:r>
          </w:p>
          <w:p w:rsidR="007D3698" w:rsidRPr="00930809" w:rsidRDefault="007D3698" w:rsidP="0097579A">
            <w:pPr>
              <w:spacing w:before="120" w:after="120"/>
              <w:rPr>
                <w:sz w:val="20"/>
                <w:lang w:val="es-ES_tradnl"/>
              </w:rPr>
            </w:pPr>
            <w:r w:rsidRPr="00930809">
              <w:rPr>
                <w:sz w:val="20"/>
                <w:lang w:val="es-ES_tradnl"/>
              </w:rPr>
              <w:t>Jean Lambert, Tamás Meszerics, Miroslavs Mitrofanovs</w:t>
            </w:r>
          </w:p>
        </w:tc>
      </w:tr>
    </w:tbl>
    <w:p w:rsidR="007D3698" w:rsidRPr="00AA1077" w:rsidRDefault="007D3698" w:rsidP="007D3698">
      <w:pPr>
        <w:rPr>
          <w:rFonts w:asciiTheme="minorHAnsi" w:hAnsiTheme="minorHAnsi" w:cstheme="minorBidi"/>
          <w:sz w:val="22"/>
          <w:szCs w:val="22"/>
          <w:lang w:val="es-ES"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D3698" w:rsidRPr="00AA1077" w:rsidTr="0097579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D3698" w:rsidRPr="00AA1077" w:rsidRDefault="007D3698" w:rsidP="0097579A">
            <w:pPr>
              <w:spacing w:before="120" w:after="120"/>
              <w:jc w:val="center"/>
              <w:rPr>
                <w:b/>
                <w:sz w:val="16"/>
              </w:rPr>
            </w:pPr>
            <w:r>
              <w:rPr>
                <w:b/>
                <w:sz w:val="20"/>
              </w:rPr>
              <w:t>18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7D3698" w:rsidRPr="00AA1077" w:rsidRDefault="007D3698" w:rsidP="0097579A">
            <w:pPr>
              <w:spacing w:before="120" w:after="120"/>
              <w:jc w:val="center"/>
              <w:rPr>
                <w:sz w:val="28"/>
                <w:szCs w:val="28"/>
              </w:rPr>
            </w:pPr>
            <w:r>
              <w:rPr>
                <w:rFonts w:ascii="Arial" w:hAnsi="Arial"/>
                <w:b/>
                <w:sz w:val="28"/>
                <w:szCs w:val="28"/>
              </w:rPr>
              <w:t>-</w:t>
            </w:r>
          </w:p>
        </w:tc>
      </w:tr>
      <w:tr w:rsidR="007D3698" w:rsidRPr="000C3DF0" w:rsidTr="0097579A">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7D3698" w:rsidRPr="00930809" w:rsidRDefault="007D3698" w:rsidP="0097579A">
            <w:pPr>
              <w:spacing w:before="120" w:after="120"/>
              <w:rPr>
                <w:sz w:val="20"/>
                <w:szCs w:val="22"/>
                <w:lang w:val="da-DK"/>
              </w:rPr>
            </w:pPr>
            <w:r w:rsidRPr="00930809">
              <w:rPr>
                <w:sz w:val="20"/>
                <w:lang w:val="da-DK"/>
              </w:rPr>
              <w:t>ALDE</w:t>
            </w:r>
          </w:p>
          <w:p w:rsidR="007D3698" w:rsidRPr="00930809" w:rsidRDefault="007D3698" w:rsidP="0097579A">
            <w:pPr>
              <w:spacing w:before="120" w:after="120"/>
              <w:rPr>
                <w:sz w:val="20"/>
                <w:lang w:val="da-DK"/>
              </w:rPr>
            </w:pPr>
            <w:r w:rsidRPr="00930809">
              <w:rPr>
                <w:sz w:val="20"/>
                <w:lang w:val="da-DK"/>
              </w:rPr>
              <w:t>ECR</w:t>
            </w:r>
          </w:p>
          <w:p w:rsidR="007D3698" w:rsidRPr="00930809" w:rsidRDefault="007D3698" w:rsidP="0097579A">
            <w:pPr>
              <w:spacing w:before="120" w:after="120"/>
              <w:rPr>
                <w:sz w:val="20"/>
                <w:lang w:val="da-DK"/>
              </w:rPr>
            </w:pPr>
            <w:r w:rsidRPr="00930809">
              <w:rPr>
                <w:sz w:val="20"/>
                <w:lang w:val="da-DK"/>
              </w:rPr>
              <w:t>ENF</w:t>
            </w:r>
          </w:p>
          <w:p w:rsidR="007D3698" w:rsidRPr="00930809" w:rsidRDefault="007D3698" w:rsidP="0097579A">
            <w:pPr>
              <w:spacing w:before="120" w:after="120"/>
              <w:rPr>
                <w:sz w:val="20"/>
                <w:lang w:val="da-DK"/>
              </w:rPr>
            </w:pPr>
            <w:r w:rsidRPr="00930809">
              <w:rPr>
                <w:sz w:val="20"/>
                <w:lang w:val="da-DK"/>
              </w:rPr>
              <w:t>NI</w:t>
            </w:r>
          </w:p>
          <w:p w:rsidR="007D3698" w:rsidRPr="00930809" w:rsidRDefault="007D3698" w:rsidP="0097579A">
            <w:pPr>
              <w:spacing w:before="120" w:after="120"/>
              <w:rPr>
                <w:sz w:val="20"/>
                <w:lang w:val="da-DK"/>
              </w:rPr>
            </w:pPr>
            <w:r w:rsidRPr="00930809">
              <w:rPr>
                <w:sz w:val="20"/>
                <w:lang w:val="da-DK"/>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7D3698" w:rsidRPr="00930809" w:rsidRDefault="007D3698" w:rsidP="0097579A">
            <w:pPr>
              <w:spacing w:before="120" w:after="120"/>
              <w:rPr>
                <w:sz w:val="20"/>
                <w:lang w:val="pt-PT"/>
              </w:rPr>
            </w:pPr>
            <w:r w:rsidRPr="00930809">
              <w:rPr>
                <w:sz w:val="20"/>
                <w:lang w:val="pt-PT"/>
              </w:rPr>
              <w:t>Marian Harkin, António Marinho e Pinto, Robert Rochefort, Yana Toom, Renate Weber</w:t>
            </w:r>
          </w:p>
          <w:p w:rsidR="007D3698" w:rsidRPr="00AA1077" w:rsidRDefault="007D3698" w:rsidP="0097579A">
            <w:pPr>
              <w:spacing w:before="120" w:after="120"/>
              <w:rPr>
                <w:sz w:val="20"/>
              </w:rPr>
            </w:pPr>
            <w:r>
              <w:rPr>
                <w:sz w:val="20"/>
              </w:rPr>
              <w:t>Amjad Bashir</w:t>
            </w:r>
          </w:p>
          <w:p w:rsidR="007D3698" w:rsidRPr="00AA1077" w:rsidRDefault="007D3698" w:rsidP="0097579A">
            <w:pPr>
              <w:spacing w:before="120" w:after="120"/>
              <w:rPr>
                <w:sz w:val="20"/>
              </w:rPr>
            </w:pPr>
            <w:r>
              <w:rPr>
                <w:sz w:val="20"/>
              </w:rPr>
              <w:t>Joëlle Mélin, Dominique Martin</w:t>
            </w:r>
          </w:p>
          <w:p w:rsidR="007D3698" w:rsidRPr="00AA1077" w:rsidRDefault="007D3698" w:rsidP="0097579A">
            <w:pPr>
              <w:spacing w:before="120" w:after="120"/>
              <w:rPr>
                <w:sz w:val="20"/>
              </w:rPr>
            </w:pPr>
            <w:r>
              <w:rPr>
                <w:sz w:val="20"/>
              </w:rPr>
              <w:t>Lampros Fountoulis</w:t>
            </w:r>
          </w:p>
          <w:p w:rsidR="007D3698" w:rsidRPr="00AA1077" w:rsidRDefault="007D3698" w:rsidP="0097579A">
            <w:pPr>
              <w:spacing w:before="120" w:after="120"/>
              <w:rPr>
                <w:sz w:val="20"/>
              </w:rPr>
            </w:pPr>
            <w:r>
              <w:rPr>
                <w:sz w:val="20"/>
              </w:rPr>
              <w:t>David Casa, Krzysztof Hetman, Danuta Jazłowiecka, Ádám Kósa, Jeroen Lenaers, Verónica Lope Fontagné, Sofia Ribeiro, Michaela Šojdrová, Romana Tomc</w:t>
            </w:r>
          </w:p>
        </w:tc>
      </w:tr>
    </w:tbl>
    <w:p w:rsidR="007D3698" w:rsidRPr="00AA1077" w:rsidRDefault="007D3698" w:rsidP="007D3698">
      <w:pPr>
        <w:rPr>
          <w:rFonts w:asciiTheme="minorHAnsi" w:hAnsiTheme="minorHAnsi" w:cstheme="minorBidi"/>
          <w:sz w:val="22"/>
          <w:szCs w:val="22"/>
          <w:lang w:eastAsia="en-US"/>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D3698" w:rsidRPr="00AA1077" w:rsidTr="0097579A">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D3698" w:rsidRPr="00AA1077" w:rsidRDefault="007D3698" w:rsidP="0097579A">
            <w:pPr>
              <w:spacing w:before="120" w:after="120"/>
              <w:jc w:val="center"/>
              <w:rPr>
                <w:b/>
                <w:sz w:val="16"/>
              </w:rPr>
            </w:pPr>
            <w:r>
              <w:rPr>
                <w:b/>
                <w:sz w:val="20"/>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7D3698" w:rsidRPr="00AA1077" w:rsidRDefault="007D3698" w:rsidP="0097579A">
            <w:pPr>
              <w:spacing w:before="120" w:after="120"/>
              <w:jc w:val="center"/>
              <w:rPr>
                <w:sz w:val="28"/>
                <w:szCs w:val="28"/>
              </w:rPr>
            </w:pPr>
            <w:r>
              <w:rPr>
                <w:rFonts w:ascii="Arial" w:hAnsi="Arial"/>
                <w:b/>
                <w:sz w:val="28"/>
                <w:szCs w:val="28"/>
              </w:rPr>
              <w:t>0</w:t>
            </w:r>
          </w:p>
        </w:tc>
      </w:tr>
      <w:tr w:rsidR="007D3698" w:rsidRPr="00AA1077" w:rsidTr="0097579A">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7D3698" w:rsidRPr="00AA1077" w:rsidRDefault="007D3698" w:rsidP="0097579A">
            <w:pPr>
              <w:spacing w:before="120" w:after="120"/>
              <w:rPr>
                <w:sz w:val="20"/>
                <w:szCs w:val="22"/>
              </w:rPr>
            </w:pPr>
            <w:r>
              <w:rPr>
                <w:sz w:val="20"/>
              </w:rPr>
              <w:t>ECR</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7D3698" w:rsidRPr="00AA1077" w:rsidRDefault="007D3698" w:rsidP="0097579A">
            <w:pPr>
              <w:spacing w:before="120" w:after="120"/>
              <w:rPr>
                <w:sz w:val="20"/>
              </w:rPr>
            </w:pPr>
            <w:r>
              <w:rPr>
                <w:sz w:val="20"/>
              </w:rPr>
              <w:t>Czesław Hoc</w:t>
            </w:r>
          </w:p>
        </w:tc>
      </w:tr>
    </w:tbl>
    <w:p w:rsidR="007D3698" w:rsidRPr="00AA1077" w:rsidRDefault="007D3698" w:rsidP="007D3698">
      <w:pPr>
        <w:pStyle w:val="Normal12"/>
      </w:pPr>
    </w:p>
    <w:p w:rsidR="007D3698" w:rsidRPr="00AA1077" w:rsidRDefault="007D3698" w:rsidP="007D3698">
      <w:r>
        <w:t>Légende des signes utilisés:</w:t>
      </w:r>
    </w:p>
    <w:p w:rsidR="007D3698" w:rsidRPr="00AA1077" w:rsidRDefault="007D3698" w:rsidP="007D3698">
      <w:pPr>
        <w:pStyle w:val="NormalTabs"/>
      </w:pPr>
      <w:r>
        <w:t>+</w:t>
      </w:r>
      <w:r>
        <w:tab/>
        <w:t>:</w:t>
      </w:r>
      <w:r>
        <w:tab/>
        <w:t>pour</w:t>
      </w:r>
    </w:p>
    <w:p w:rsidR="007D3698" w:rsidRPr="00AA1077" w:rsidRDefault="007D3698" w:rsidP="007D3698">
      <w:pPr>
        <w:pStyle w:val="NormalTabs"/>
      </w:pPr>
      <w:r>
        <w:t>-</w:t>
      </w:r>
      <w:r>
        <w:tab/>
        <w:t>:</w:t>
      </w:r>
      <w:r>
        <w:tab/>
        <w:t>contre</w:t>
      </w:r>
    </w:p>
    <w:p w:rsidR="007D3698" w:rsidRPr="00AA1077" w:rsidRDefault="007D3698" w:rsidP="007D3698">
      <w:pPr>
        <w:pStyle w:val="NormalTabs"/>
      </w:pPr>
      <w:r>
        <w:t>0</w:t>
      </w:r>
      <w:r>
        <w:tab/>
        <w:t>:</w:t>
      </w:r>
      <w:r>
        <w:tab/>
        <w:t>abstention</w:t>
      </w:r>
    </w:p>
    <w:p w:rsidR="007D3698" w:rsidRPr="00AA1077" w:rsidRDefault="007D3698" w:rsidP="007D3698"/>
    <w:bookmarkEnd w:id="3"/>
    <w:p w:rsidR="007D3698" w:rsidRPr="00AA1077" w:rsidRDefault="007D3698" w:rsidP="007D3698"/>
    <w:p w:rsidR="007D3698" w:rsidRPr="00AA1077" w:rsidRDefault="007D3698" w:rsidP="007D3698"/>
    <w:p w:rsidR="007D3698" w:rsidRPr="00AA1077" w:rsidRDefault="007D3698" w:rsidP="007D3698"/>
    <w:p w:rsidR="007D3698" w:rsidRPr="00AA1077" w:rsidRDefault="007D3698" w:rsidP="007D3698">
      <w:pPr>
        <w:pStyle w:val="RefProc"/>
      </w:pPr>
    </w:p>
    <w:p w:rsidR="00BE20CF" w:rsidRPr="009071D9" w:rsidRDefault="00BE20CF" w:rsidP="007D3698">
      <w:pPr>
        <w:widowControl w:val="0"/>
        <w:autoSpaceDE w:val="0"/>
        <w:autoSpaceDN w:val="0"/>
        <w:adjustRightInd w:val="0"/>
      </w:pPr>
    </w:p>
    <w:sectPr w:rsidR="00BE20CF" w:rsidRPr="009071D9" w:rsidSect="00DA072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D0" w:rsidRPr="00DA072D" w:rsidRDefault="005167D0">
      <w:r w:rsidRPr="00DA072D">
        <w:separator/>
      </w:r>
    </w:p>
  </w:endnote>
  <w:endnote w:type="continuationSeparator" w:id="0">
    <w:p w:rsidR="005167D0" w:rsidRPr="00DA072D" w:rsidRDefault="005167D0">
      <w:r w:rsidRPr="00DA07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D9" w:rsidRDefault="009071D9" w:rsidP="009071D9">
    <w:pPr>
      <w:pStyle w:val="Footer"/>
    </w:pPr>
    <w:r>
      <w:t>PE</w:t>
    </w:r>
    <w:r w:rsidRPr="009071D9">
      <w:rPr>
        <w:rStyle w:val="HideTWBExt"/>
      </w:rPr>
      <w:t>&lt;NoPE&gt;</w:t>
    </w:r>
    <w:r>
      <w:t>627.592</w:t>
    </w:r>
    <w:r w:rsidRPr="009071D9">
      <w:rPr>
        <w:rStyle w:val="HideTWBExt"/>
      </w:rPr>
      <w:t>&lt;/NoPE&gt;&lt;Version&gt;</w:t>
    </w:r>
    <w:r>
      <w:t>v03-00</w:t>
    </w:r>
    <w:r w:rsidRPr="009071D9">
      <w:rPr>
        <w:rStyle w:val="HideTWBExt"/>
      </w:rPr>
      <w:t>&lt;/Version&gt;</w:t>
    </w:r>
    <w:r>
      <w:tab/>
    </w:r>
    <w:r>
      <w:fldChar w:fldCharType="begin"/>
    </w:r>
    <w:r>
      <w:instrText xml:space="preserve"> PAGE  \* MERGEFORMAT </w:instrText>
    </w:r>
    <w:r>
      <w:fldChar w:fldCharType="separate"/>
    </w:r>
    <w:r w:rsidR="00930809">
      <w:rPr>
        <w:noProof/>
      </w:rPr>
      <w:t>18</w:t>
    </w:r>
    <w:r>
      <w:fldChar w:fldCharType="end"/>
    </w:r>
    <w:r>
      <w:t>/</w:t>
    </w:r>
    <w:r w:rsidR="005B7DC2">
      <w:rPr>
        <w:noProof/>
      </w:rPr>
      <w:fldChar w:fldCharType="begin"/>
    </w:r>
    <w:r w:rsidR="005B7DC2">
      <w:rPr>
        <w:noProof/>
      </w:rPr>
      <w:instrText xml:space="preserve"> NUMPAGES  \* MERGEFORMAT </w:instrText>
    </w:r>
    <w:r w:rsidR="005B7DC2">
      <w:rPr>
        <w:noProof/>
      </w:rPr>
      <w:fldChar w:fldCharType="separate"/>
    </w:r>
    <w:r w:rsidR="00930809">
      <w:rPr>
        <w:noProof/>
      </w:rPr>
      <w:t>51</w:t>
    </w:r>
    <w:r w:rsidR="005B7DC2">
      <w:rPr>
        <w:noProof/>
      </w:rPr>
      <w:fldChar w:fldCharType="end"/>
    </w:r>
    <w:r>
      <w:tab/>
    </w:r>
    <w:r w:rsidRPr="009071D9">
      <w:rPr>
        <w:rStyle w:val="HideTWBExt"/>
      </w:rPr>
      <w:t>&lt;PathFdR&gt;</w:t>
    </w:r>
    <w:r>
      <w:t>AD\1168724FR.docx</w:t>
    </w:r>
    <w:r w:rsidRPr="009071D9">
      <w:rPr>
        <w:rStyle w:val="HideTWBExt"/>
      </w:rPr>
      <w:t>&lt;/PathFdR&gt;</w:t>
    </w:r>
  </w:p>
  <w:p w:rsidR="005167D0" w:rsidRPr="00DA072D" w:rsidRDefault="009071D9" w:rsidP="009071D9">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D9" w:rsidRDefault="009071D9" w:rsidP="009071D9">
    <w:pPr>
      <w:pStyle w:val="Footer"/>
    </w:pPr>
    <w:r w:rsidRPr="009071D9">
      <w:rPr>
        <w:rStyle w:val="HideTWBExt"/>
      </w:rPr>
      <w:t>&lt;PathFdR&gt;</w:t>
    </w:r>
    <w:r>
      <w:t>AD\1168724FR.docx</w:t>
    </w:r>
    <w:r w:rsidRPr="009071D9">
      <w:rPr>
        <w:rStyle w:val="HideTWBExt"/>
      </w:rPr>
      <w:t>&lt;/PathFdR&gt;</w:t>
    </w:r>
    <w:r>
      <w:tab/>
    </w:r>
    <w:r>
      <w:fldChar w:fldCharType="begin"/>
    </w:r>
    <w:r>
      <w:instrText xml:space="preserve"> PAGE  \* MERGEFORMAT </w:instrText>
    </w:r>
    <w:r>
      <w:fldChar w:fldCharType="separate"/>
    </w:r>
    <w:r w:rsidR="00930809">
      <w:rPr>
        <w:noProof/>
      </w:rPr>
      <w:t>17</w:t>
    </w:r>
    <w:r>
      <w:fldChar w:fldCharType="end"/>
    </w:r>
    <w:r>
      <w:t>/</w:t>
    </w:r>
    <w:r w:rsidR="005B7DC2">
      <w:rPr>
        <w:noProof/>
      </w:rPr>
      <w:fldChar w:fldCharType="begin"/>
    </w:r>
    <w:r w:rsidR="005B7DC2">
      <w:rPr>
        <w:noProof/>
      </w:rPr>
      <w:instrText xml:space="preserve"> NUMPAGES  \* MERGEFORMAT </w:instrText>
    </w:r>
    <w:r w:rsidR="005B7DC2">
      <w:rPr>
        <w:noProof/>
      </w:rPr>
      <w:fldChar w:fldCharType="separate"/>
    </w:r>
    <w:r w:rsidR="00930809">
      <w:rPr>
        <w:noProof/>
      </w:rPr>
      <w:t>51</w:t>
    </w:r>
    <w:r w:rsidR="005B7DC2">
      <w:rPr>
        <w:noProof/>
      </w:rPr>
      <w:fldChar w:fldCharType="end"/>
    </w:r>
    <w:r>
      <w:tab/>
      <w:t>PE</w:t>
    </w:r>
    <w:r w:rsidRPr="009071D9">
      <w:rPr>
        <w:rStyle w:val="HideTWBExt"/>
      </w:rPr>
      <w:t>&lt;NoPE&gt;</w:t>
    </w:r>
    <w:r>
      <w:t>627.592</w:t>
    </w:r>
    <w:r w:rsidRPr="009071D9">
      <w:rPr>
        <w:rStyle w:val="HideTWBExt"/>
      </w:rPr>
      <w:t>&lt;/NoPE&gt;&lt;Version&gt;</w:t>
    </w:r>
    <w:r>
      <w:t>v03-00</w:t>
    </w:r>
    <w:r w:rsidRPr="009071D9">
      <w:rPr>
        <w:rStyle w:val="HideTWBExt"/>
      </w:rPr>
      <w:t>&lt;/Version&gt;</w:t>
    </w:r>
  </w:p>
  <w:p w:rsidR="005167D0" w:rsidRPr="00DA072D" w:rsidRDefault="009071D9" w:rsidP="009071D9">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D9" w:rsidRDefault="009071D9" w:rsidP="009071D9">
    <w:pPr>
      <w:pStyle w:val="Footer"/>
    </w:pPr>
    <w:r w:rsidRPr="009071D9">
      <w:rPr>
        <w:rStyle w:val="HideTWBExt"/>
      </w:rPr>
      <w:t>&lt;PathFdR&gt;</w:t>
    </w:r>
    <w:r>
      <w:t>AD\1168724FR.docx</w:t>
    </w:r>
    <w:r w:rsidRPr="009071D9">
      <w:rPr>
        <w:rStyle w:val="HideTWBExt"/>
      </w:rPr>
      <w:t>&lt;/PathFdR&gt;</w:t>
    </w:r>
    <w:r>
      <w:tab/>
    </w:r>
    <w:r>
      <w:tab/>
      <w:t>PE</w:t>
    </w:r>
    <w:r w:rsidRPr="009071D9">
      <w:rPr>
        <w:rStyle w:val="HideTWBExt"/>
      </w:rPr>
      <w:t>&lt;NoPE&gt;</w:t>
    </w:r>
    <w:r>
      <w:t>627.592</w:t>
    </w:r>
    <w:r w:rsidRPr="009071D9">
      <w:rPr>
        <w:rStyle w:val="HideTWBExt"/>
      </w:rPr>
      <w:t>&lt;/NoPE&gt;&lt;Version&gt;</w:t>
    </w:r>
    <w:r>
      <w:t>v03-00</w:t>
    </w:r>
    <w:r w:rsidRPr="009071D9">
      <w:rPr>
        <w:rStyle w:val="HideTWBExt"/>
      </w:rPr>
      <w:t>&lt;/Version&gt;</w:t>
    </w:r>
  </w:p>
  <w:p w:rsidR="005167D0" w:rsidRPr="00DA072D" w:rsidRDefault="009071D9" w:rsidP="009071D9">
    <w:pPr>
      <w:pStyle w:val="Footer2"/>
      <w:tabs>
        <w:tab w:val="center" w:pos="4535"/>
      </w:tabs>
    </w:pPr>
    <w:r>
      <w:t>FR</w:t>
    </w:r>
    <w:r>
      <w:tab/>
    </w:r>
    <w:r w:rsidRPr="009071D9">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D0" w:rsidRPr="00DA072D" w:rsidRDefault="005167D0">
      <w:r w:rsidRPr="00DA072D">
        <w:separator/>
      </w:r>
    </w:p>
  </w:footnote>
  <w:footnote w:type="continuationSeparator" w:id="0">
    <w:p w:rsidR="005167D0" w:rsidRPr="00DA072D" w:rsidRDefault="005167D0">
      <w:r w:rsidRPr="00DA072D">
        <w:continuationSeparator/>
      </w:r>
    </w:p>
  </w:footnote>
  <w:footnote w:id="1">
    <w:p w:rsidR="007D3698" w:rsidRPr="00930809" w:rsidRDefault="007D3698" w:rsidP="007D3698">
      <w:pPr>
        <w:pStyle w:val="FootnoteText"/>
        <w:rPr>
          <w:sz w:val="18"/>
          <w:szCs w:val="18"/>
          <w:lang w:val="da-DK"/>
        </w:rPr>
      </w:pPr>
      <w:r w:rsidRPr="00930809">
        <w:rPr>
          <w:rStyle w:val="FootnoteReference"/>
          <w:sz w:val="18"/>
          <w:szCs w:val="18"/>
          <w:lang w:val="da-DK"/>
        </w:rPr>
        <w:t>[1]</w:t>
      </w:r>
      <w:r w:rsidRPr="00930809">
        <w:rPr>
          <w:sz w:val="18"/>
          <w:szCs w:val="18"/>
          <w:lang w:val="da-DK"/>
        </w:rPr>
        <w:t xml:space="preserve"> FC, FEAMP, FEDER, FSE+, FAMI, IGFV et FSI.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98" w:rsidRDefault="007D3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98" w:rsidRDefault="007D3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98" w:rsidRDefault="007D3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B05E2"/>
    <w:multiLevelType w:val="hybridMultilevel"/>
    <w:tmpl w:val="D390CEB4"/>
    <w:lvl w:ilvl="0" w:tplc="78F4CA8E">
      <w:start w:val="1"/>
      <w:numFmt w:val="decimal"/>
      <w:lvlText w:val="(%1)"/>
      <w:lvlJc w:val="left"/>
      <w:pPr>
        <w:tabs>
          <w:tab w:val="left" w:pos="1417"/>
        </w:tabs>
        <w:ind w:left="850" w:hanging="8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F30E028">
      <w:start w:val="1"/>
      <w:numFmt w:val="lowerLetter"/>
      <w:lvlText w:val="(%2)"/>
      <w:lvlJc w:val="left"/>
      <w:pPr>
        <w:tabs>
          <w:tab w:val="left" w:pos="1417"/>
        </w:tabs>
        <w:ind w:left="1276" w:hanging="8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F645842">
      <w:start w:val="1"/>
      <w:numFmt w:val="decimal"/>
      <w:lvlText w:val="(%3)"/>
      <w:lvlJc w:val="left"/>
      <w:pPr>
        <w:ind w:left="141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DC2A098">
      <w:start w:val="1"/>
      <w:numFmt w:val="lowerLetter"/>
      <w:lvlText w:val="(%4)"/>
      <w:lvlJc w:val="left"/>
      <w:pPr>
        <w:ind w:left="1417"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192F0DA">
      <w:start w:val="1"/>
      <w:numFmt w:val="decimal"/>
      <w:lvlText w:val="(%5)"/>
      <w:lvlJc w:val="left"/>
      <w:pPr>
        <w:tabs>
          <w:tab w:val="left" w:pos="1417"/>
        </w:tabs>
        <w:ind w:left="1984"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7F2F40E">
      <w:start w:val="1"/>
      <w:numFmt w:val="lowerLetter"/>
      <w:lvlText w:val="(%6)"/>
      <w:lvlJc w:val="left"/>
      <w:pPr>
        <w:tabs>
          <w:tab w:val="left" w:pos="1417"/>
        </w:tabs>
        <w:ind w:left="1984"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6D046F0">
      <w:start w:val="1"/>
      <w:numFmt w:val="decimal"/>
      <w:lvlText w:val="(%7)"/>
      <w:lvlJc w:val="left"/>
      <w:pPr>
        <w:tabs>
          <w:tab w:val="left" w:pos="1417"/>
        </w:tabs>
        <w:ind w:left="2551"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85ADBD8">
      <w:start w:val="1"/>
      <w:numFmt w:val="lowerLetter"/>
      <w:lvlText w:val="(%8)"/>
      <w:lvlJc w:val="left"/>
      <w:pPr>
        <w:tabs>
          <w:tab w:val="left" w:pos="1417"/>
        </w:tabs>
        <w:ind w:left="2551"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6D4DA28">
      <w:start w:val="1"/>
      <w:numFmt w:val="lowerLetter"/>
      <w:lvlText w:val="(%9)"/>
      <w:lvlJc w:val="left"/>
      <w:pPr>
        <w:tabs>
          <w:tab w:val="left" w:pos="1417"/>
        </w:tabs>
        <w:ind w:left="3118"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489949F9"/>
    <w:multiLevelType w:val="hybridMultilevel"/>
    <w:tmpl w:val="268A0046"/>
    <w:lvl w:ilvl="0" w:tplc="CE60D210">
      <w:start w:val="1"/>
      <w:numFmt w:val="decimal"/>
      <w:lvlText w:val="(%1)"/>
      <w:lvlJc w:val="left"/>
      <w:pPr>
        <w:ind w:left="992" w:hanging="8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B5054E0">
      <w:start w:val="1"/>
      <w:numFmt w:val="lowerLetter"/>
      <w:lvlText w:val="(%2)"/>
      <w:lvlJc w:val="left"/>
      <w:pPr>
        <w:ind w:left="1418" w:hanging="8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7A4579A">
      <w:start w:val="1"/>
      <w:numFmt w:val="decimal"/>
      <w:lvlText w:val="(%3)"/>
      <w:lvlJc w:val="left"/>
      <w:pPr>
        <w:ind w:left="1559"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0EE606C">
      <w:start w:val="1"/>
      <w:numFmt w:val="lowerLetter"/>
      <w:lvlText w:val="(%4)"/>
      <w:lvlJc w:val="left"/>
      <w:pPr>
        <w:ind w:left="1559"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D4103C">
      <w:start w:val="1"/>
      <w:numFmt w:val="decimal"/>
      <w:lvlText w:val="(%5)"/>
      <w:lvlJc w:val="left"/>
      <w:pPr>
        <w:ind w:left="2126"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4A0FDB8">
      <w:start w:val="1"/>
      <w:numFmt w:val="lowerLetter"/>
      <w:lvlText w:val="(%6)"/>
      <w:lvlJc w:val="left"/>
      <w:pPr>
        <w:ind w:left="2126"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B823AD6">
      <w:start w:val="1"/>
      <w:numFmt w:val="decimal"/>
      <w:lvlText w:val="(%7)"/>
      <w:lvlJc w:val="left"/>
      <w:pPr>
        <w:ind w:left="2693"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B9E4D00">
      <w:start w:val="1"/>
      <w:numFmt w:val="lowerLetter"/>
      <w:lvlText w:val="(%8)"/>
      <w:lvlJc w:val="left"/>
      <w:pPr>
        <w:ind w:left="2693"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11A3FA6">
      <w:start w:val="1"/>
      <w:numFmt w:val="lowerLetter"/>
      <w:lvlText w:val="(%9)"/>
      <w:lvlJc w:val="left"/>
      <w:pPr>
        <w:ind w:left="3260" w:hanging="56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DEMNU" w:val=" 1"/>
    <w:docVar w:name="COM2KEY" w:val="EMPL"/>
    <w:docVar w:name="COMKEY" w:val="EMPL"/>
    <w:docVar w:name="CopyToNetwork" w:val="-1"/>
    <w:docVar w:name="CVA" w:val="10"/>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5\fbidi \froman\fcharset238\fprq2 Times New Roman CE;}_x000d__x000a_{\f276\fbidi \froman\fcharset204\fprq2 Times New Roman Cyr;}{\f278\fbidi \froman\fcharset161\fprq2 Times New Roman Greek;}{\f279\fbidi \froman\fcharset162\fprq2 Times New Roman Tur;}{\f280\fbidi \froman\fcharset177\fprq2 Times New Roman (Hebrew);}_x000d__x000a_{\f281\fbidi \froman\fcharset178\fprq2 Times New Roman (Arabic);}{\f282\fbidi \froman\fcharset186\fprq2 Times New Roman Baltic;}{\f283\fbidi \froman\fcharset163\fprq2 Times New Roman (Vietnamese);}{\f615\fbidi \froman\fcharset238\fprq2 Cambria Math CE;}_x000d__x000a_{\f616\fbidi \froman\fcharset204\fprq2 Cambria Math Cyr;}{\f618\fbidi \froman\fcharset161\fprq2 Cambria Math Greek;}{\f619\fbidi \froman\fcharset162\fprq2 Cambria Math Tur;}{\f622\fbidi \froman\fcharset186\fprq2 Cambria Math Baltic;}_x000d__x000a_{\f623\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4237935 HideTWBInt;}}{\*\rsidtbl \rsid24658\rsid735077\rsid2892074\rsid4666813\rsid6641733\rsid8264051\rsid9636012\rsid11215221\rsid12154954\rsid14237935\rsid14424199\rsid15204470\rsid15285974\rsid15950462\rsid16324206_x000d__x000a_\rsid16662270}{\mmathPr\mmathFont34\mbrkBin0\mbrkBinSub0\msmallFrac0\mdispDef1\mlMargin0\mrMargin0\mdefJc1\mwrapIndent1440\mintLim0\mnaryLim1}{\info{\author HEYVAERT Valerie}{\operator HEYVAERT Valerie}{\creatim\yr2018\mo9\dy5\hr10\min19}_x000d__x000a_{\revtim\yr2018\mo9\dy5\hr10\min19}{\version1}{\edmins0}{\nofpages1}{\nofwords1}{\nofchars17}{\*\company European Parliament}{\nofcharsws17}{\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37935\utinl \fet0{\*\wgrffmtfilter 013f}\ilfomacatclnup0{\*\template C:\\Users\\VHEYVA~1\\AppData\\Local\\Temp\\Blank1.dot}{\*\ftnsep \ltrpar \pard\plain \ltrpar_x000d__x000a_\ql \li0\ri0\widctlpar\wrapdefault\aspalpha\aspnum\faauto\adjustright\rin0\lin0\itap0 \rtlch\fcs1 \af0\afs20\alang1025 \ltrch\fcs0 \fs24\lang2057\langfe2057\cgrid\langnp2057\langfenp2057 {\rtlch\fcs1 \af0 \ltrch\fcs0 \insrsid8264051 \chftnsep _x000d__x000a_\par }}{\*\ftnsepc \ltrpar \pard\plain \ltrpar\ql \li0\ri0\widctlpar\wrapdefault\aspalpha\aspnum\faauto\adjustright\rin0\lin0\itap0 \rtlch\fcs1 \af0\afs20\alang1025 \ltrch\fcs0 \fs24\lang2057\langfe2057\cgrid\langnp2057\langfenp2057 {\rtlch\fcs1 \af0 _x000d__x000a_\ltrch\fcs0 \insrsid8264051 \chftnsepc _x000d__x000a_\par }}{\*\aftnsep \ltrpar \pard\plain \ltrpar\ql \li0\ri0\widctlpar\wrapdefault\aspalpha\aspnum\faauto\adjustright\rin0\lin0\itap0 \rtlch\fcs1 \af0\afs20\alang1025 \ltrch\fcs0 \fs24\lang2057\langfe2057\cgrid\langnp2057\langfenp2057 {\rtlch\fcs1 \af0 _x000d__x000a_\ltrch\fcs0 \insrsid8264051 \chftnsep _x000d__x000a_\par }}{\*\aftnsepc \ltrpar \pard\plain \ltrpar\ql \li0\ri0\widctlpar\wrapdefault\aspalpha\aspnum\faauto\adjustright\rin0\lin0\itap0 \rtlch\fcs1 \af0\afs20\alang1025 \ltrch\fcs0 \fs24\lang2057\langfe2057\cgrid\langnp2057\langfenp2057 {\rtlch\fcs1 \af0 _x000d__x000a_\ltrch\fcs0 \insrsid826405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4237935\charrsid16713478 {\*\bkmkstart ReplaceBookmark}#}{\rtlch\fcs1 \af0 \ltrch\fcs0 \cs15\v\cf15\insrsid14237935\charrsid16713478 &gt;&gt;&gt;CVAR@@AmendA}{\rtlch\fcs1 \af0 \ltrch\fcs0 \insrsid14237935\charrsid16713478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77_x000d__x000a_7136f14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760217 HideTWBExt;}{\s16\ql \li0\ri0\sa120\nowidctlpar\wrapdefault\aspalpha\aspnum\faauto\adjustright\rin0\lin0\itap0 \rtlch\fcs1 \af0\afs20\alang1025 \ltrch\fcs0 _x000d__x000a_\fs24\lang2057\langfe2057\cgrid\langnp2057\langfenp2057 \sbasedon0 \snext16 \slink17 \spriority0 \styrsid14760217 Normal6;}{\*\cs17 \additive \fs24 \slink16 \slocked \spriority0 \styrsid14760217 Normal6 Char;}{_x000d__x000a_\s18\ql \li0\ri0\nowidctlpar\wrapdefault\aspalpha\aspnum\faauto\adjustright\rin0\lin0\itap0 \rtlch\fcs1 \af0\afs20\alang1025 \ltrch\fcs0 \b\fs24\lang2057\langfe2057\cgrid\langnp2057\langfenp2057 \sbasedon0 \snext18 \slink19 \spriority0 \styrsid14760217 _x000d__x000a_NormalBold;}{\*\cs19 \additive \b\fs24 \slink18 \slocked \spriority0 \styrsid14760217 NormalBold Char;}{\s20\ql \li0\ri0\sa240\nowidctlpar\wrapdefault\aspalpha\aspnum\faauto\adjustright\rin0\lin0\itap0 \rtlch\fcs1 \af0\afs20\alang1025 \ltrch\fcs0 _x000d__x000a_\i\fs24\lang2057\langfe2057\cgrid\langnp2057\langfenp2057 \sbasedon0 \snext20 \spriority0 \styrsid14760217 Normal12Italic;}{\*\cs21 \additive \v\cf15 \spriority0 \styrsid14760217 HideTWBInt;}{_x000d__x000a_\s22\qc \li0\ri0\sb240\sa240\keepn\nowidctlpar\wrapdefault\aspalpha\aspnum\faauto\adjustright\rin0\lin0\itap0 \rtlch\fcs1 \af0\afs20\alang1025 \ltrch\fcs0 \i\fs24\lang2057\langfe2057\cgrid\langnp2057\langfenp2057 _x000d__x000a_\sbasedon0 \snext0 \spriority0 \styrsid14760217 JustificationTitle;}{\s23\qr \li0\ri0\sb240\sa240\nowidctlpar\wrapdefault\aspalpha\aspnum\faauto\adjustright\rin0\lin0\itap0 \rtlch\fcs1 \af0\afs20\alang1025 \ltrch\fcs0 _x000d__x000a_\fs24\lang1024\langfe1024\cgrid\noproof\langnp2057\langfenp2057 \sbasedon0 \snext23 \spriority0 \styrsid14760217 Olang;}{\s24\qc \li0\ri0\sa240\nowidctlpar\wrapdefault\aspalpha\aspnum\faauto\adjustright\rin0\lin0\itap0 \rtlch\fcs1 \af0\afs20\alang1025 _x000d__x000a_\ltrch\fcs0 \i\fs24\lang2057\langfe2057\cgrid\langnp2057\langfenp2057 \sbasedon0 \snext24 \spriority0 \styrsid14760217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4760217 AMNumberTabs;}{\s26\ql \li0\ri0\sb240\nowidctlpar\wrapdefault\aspalpha\aspnum\faauto\adjustright\rin0\lin0\itap0 \rtlch\fcs1 _x000d__x000a_\af0\afs20\alang1025 \ltrch\fcs0 \b\fs24\lang2057\langfe2057\cgrid\langnp2057\langfenp2057 \sbasedon0 \snext26 \spriority0 \styrsid14760217 NormalBold12b;}}{\*\rsidtbl \rsid24658\rsid735077\rsid1455469\rsid2892074\rsid4666813\rsid6641733\rsid9636012_x000d__x000a_\rsid11215221\rsid12154954\rsid14424199\rsid14760217\rsid15204470\rsid15285974\rsid15950462\rsid16324206\rsid16662270}{\mmathPr\mmathFont34\mbrkBin0\mbrkBinSub0\msmallFrac0\mdispDef1\mlMargin0\mrMargin0\mdefJc1\mwrapIndent1440\mintLim0\mnaryLim1}{\info_x000d__x000a_{\author HEYVAERT Valerie}{\operator HEYVAERT Valerie}{\creatim\yr2018\mo9\dy5\hr10\min16}{\revtim\yr2018\mo9\dy5\hr10\min16}{\version1}{\edmins0}{\nofpages1}{\nofwords31}{\nofchars346}{\*\company European Parliament}{\nofcharsws34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760217\utinl \fet0{\*\wgrffmtfilter 013f}\ilfomacatclnup0{\*\template C:\\Users\\VHEYVA~1\\AppData\\Local\\Temp\\Blank1.dot}{\*\ftnsep \ltrpar \pard\plain \ltrpar_x000d__x000a_\ql \li0\ri0\widctlpar\wrapdefault\aspalpha\aspnum\faauto\adjustright\rin0\lin0\itap0 \rtlch\fcs1 \af0\afs20\alang1025 \ltrch\fcs0 \fs24\lang2057\langfe2057\cgrid\langnp2057\langfenp2057 {\rtlch\fcs1 \af0 \ltrch\fcs0 \insrsid1455469 \chftnsep _x000d__x000a_\par }}{\*\ftnsepc \ltrpar \pard\plain \ltrpar\ql \li0\ri0\widctlpar\wrapdefault\aspalpha\aspnum\faauto\adjustright\rin0\lin0\itap0 \rtlch\fcs1 \af0\afs20\alang1025 \ltrch\fcs0 \fs24\lang2057\langfe2057\cgrid\langnp2057\langfenp2057 {\rtlch\fcs1 \af0 _x000d__x000a_\ltrch\fcs0 \insrsid1455469 \chftnsepc _x000d__x000a_\par }}{\*\aftnsep \ltrpar \pard\plain \ltrpar\ql \li0\ri0\widctlpar\wrapdefault\aspalpha\aspnum\faauto\adjustright\rin0\lin0\itap0 \rtlch\fcs1 \af0\afs20\alang1025 \ltrch\fcs0 \fs24\lang2057\langfe2057\cgrid\langnp2057\langfenp2057 {\rtlch\fcs1 \af0 _x000d__x000a_\ltrch\fcs0 \insrsid1455469 \chftnsep _x000d__x000a_\par }}{\*\aftnsepc \ltrpar \pard\plain \ltrpar\ql \li0\ri0\widctlpar\wrapdefault\aspalpha\aspnum\faauto\adjustright\rin0\lin0\itap0 \rtlch\fcs1 \af0\afs20\alang1025 \ltrch\fcs0 \fs24\lang2057\langfe2057\cgrid\langnp2057\langfenp2057 {\rtlch\fcs1 \af0 _x000d__x000a_\ltrch\fcs0 \insrsid145546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760217 \rtlch\fcs1 \af0\afs20\alang1025 \ltrch\fcs0 \b\fs24\lang2057\langfe2057\cgrid\langnp2057\langfenp2057 {\rtlch\fcs1 \af0 \ltrch\fcs0 \cs15\b0\v\f1\fs20\cf9\insrsid14760217\charrsid16713478 {\*\bkmkstart restartA}&lt;AmendA&gt;}{_x000d__x000a_\rtlch\fcs1 \af0 \ltrch\fcs0 \insrsid14760217\charrsid16713478 Amendment\tab \tab }{\rtlch\fcs1 \af0 \ltrch\fcs0 \cs15\b0\v\f1\fs20\cf9\insrsid14760217\charrsid16713478 &lt;NumAmA&gt;}{\rtlch\fcs1 \af0 \ltrch\fcs0 \insrsid14760217\charrsid16713478 #}{_x000d__x000a_\rtlch\fcs1 \af0 \ltrch\fcs0 \cs21\v\cf15\insrsid14760217\charrsid16713478 ENMIENDA@NRAM@}{\rtlch\fcs1 \af0 \ltrch\fcs0 \insrsid14760217\charrsid16713478 #}{\rtlch\fcs1 \af0 \ltrch\fcs0 \cs15\b0\v\f1\fs20\cf9\insrsid14760217\charrsid16713478 &lt;/NumAmA&gt;}{_x000d__x000a_\rtlch\fcs1 \af0 \ltrch\fcs0 \insrsid14760217\charrsid16713478 _x000d__x000a_\par }\pard\plain \ltrpar\s26\ql \li0\ri0\sb240\keepn\nowidctlpar\wrapdefault\aspalpha\aspnum\faauto\adjustright\rin0\lin0\itap0\pararsid14760217 \rtlch\fcs1 \af0\afs20\alang1025 \ltrch\fcs0 \b\fs24\lang2057\langfe2057\cgrid\langnp2057\langfenp2057 {_x000d__x000a_\rtlch\fcs1 \af0 \ltrch\fcs0 \cs15\b0\v\f1\fs20\cf9\insrsid14760217\charrsid16713478 &lt;DocAmend&gt;}{\rtlch\fcs1 \af0 \ltrch\fcs0 \insrsid14760217\charrsid16713478 Draft legislative resolution}{\rtlch\fcs1 \af0 \ltrch\fcs0 _x000d__x000a_\cs15\b0\v\f1\fs20\cf9\insrsid14760217\charrsid16713478 &lt;/DocAmend&gt;}{\rtlch\fcs1 \af0 \ltrch\fcs0 \insrsid14760217\charrsid16713478 _x000d__x000a_\par }\pard\plain \ltrpar\s18\ql \li0\ri0\nowidctlpar\wrapdefault\aspalpha\aspnum\faauto\adjustright\rin0\lin0\itap0\pararsid14760217 \rtlch\fcs1 \af0\afs20\alang1025 \ltrch\fcs0 \b\fs24\lang2057\langfe2057\cgrid\langnp2057\langfenp2057 {\rtlch\fcs1 \af0 _x000d__x000a_\ltrch\fcs0 \cs15\b0\v\f1\fs20\cf9\insrsid14760217\charrsid16713478 &lt;Article&gt;}{\rtlch\fcs1 \af0 \ltrch\fcs0 \cf10\insrsid14760217\charrsid16713478 \u9668\'3f}{\rtlch\fcs1 \af0 \ltrch\fcs0 \insrsid14760217\charrsid16713478 #}{\rtlch\fcs1 \af0 \ltrch\fcs0 _x000d__x000a_\cs21\v\cf15\insrsid14760217\charrsid16713478 TVTRESPART@RESPART@}{\rtlch\fcs1 \af0 \ltrch\fcs0 \insrsid14760217\charrsid16713478 #}{\rtlch\fcs1 \af0 \ltrch\fcs0 \cf10\insrsid14760217\charrsid16713478 \u9658\'3f}{\rtlch\fcs1 \af0 \ltrch\fcs0 _x000d__x000a_\cs15\b0\v\f1\fs20\cf9\insrsid14760217\charrsid16713478 &lt;/Article&gt;}{\rtlch\fcs1 \af0 \ltrch\fcs0 \cs19\b0\insrsid14760217\charrsid1671347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4760217\charrsid16713478 \cell }\pard \ltrpar\ql \li0\ri0\widctlpar\intbl\wrapdefault\aspalpha\aspnum\faauto\adjustright\rin0\lin0 {\rtlch\fcs1 \af0 _x000d__x000a_\ltrch\fcs0 \insrsid14760217\charrsid1671347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4760217\charrsid16713478 Draft legislative resolution\cell Amendment\cell }\pard\plain \ltrpar\ql \li0\ri0\widctlpar\intbl\wrapdefault\aspalpha\aspnum\faauto\adjustright\rin0\lin0 \rtlch\fcs1 \af0\afs20\alang1025 \ltrch\fcs0 _x000d__x000a_\fs24\lang2057\langfe2057\cgrid\langnp2057\langfenp2057 {\rtlch\fcs1 \af0 \ltrch\fcs0 \insrsid14760217\charrsid1671347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4760217\charrsid16713478 ##\cell ##}{\rtlch\fcs1 \af0\afs24 \ltrch\fcs0 \insrsid14760217\charrsid16713478 \cell }\pard\plain \ltrpar\ql \li0\ri0\widctlpar\intbl\wrapdefault\aspalpha\aspnum\faauto\adjustright\rin0\lin0 \rtlch\fcs1 _x000d__x000a_\af0\afs20\alang1025 \ltrch\fcs0 \fs24\lang2057\langfe2057\cgrid\langnp2057\langfenp2057 {\rtlch\fcs1 \af0 \ltrch\fcs0 \insrsid14760217\charrsid1671347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760217 \rtlch\fcs1 \af0\afs20\alang1025 \ltrch\fcs0 \fs24\lang1024\langfe1024\cgrid\noproof\langnp2057\langfenp2057 {\rtlch\fcs1 \af0 _x000d__x000a_\ltrch\fcs0 \noproof0\insrsid14760217\charrsid16713478 Or. }{\rtlch\fcs1 \af0 \ltrch\fcs0 \cs15\v\f1\fs20\cf9\noproof0\insrsid14760217\charrsid16713478 &lt;Original&gt;}{\rtlch\fcs1 \af0 \ltrch\fcs0 \noproof0\insrsid14760217\charrsid16713478 #}{\rtlch\fcs1 _x000d__x000a_\af0 \ltrch\fcs0 \cs21\v\cf15\noproof0\insrsid14760217\charrsid16713478 MNU[ORLANGONE][ORLANGMORE]@CHOICE@ORLANGMNU}{\rtlch\fcs1 \af0 \ltrch\fcs0 \noproof0\insrsid14760217\charrsid16713478 #}{\rtlch\fcs1 \af0 \ltrch\fcs0 _x000d__x000a_\cs15\v\f1\fs20\cf9\noproof0\insrsid14760217\charrsid16713478 &lt;/Original&gt;}{\rtlch\fcs1 \af0 \ltrch\fcs0 \noproof0\insrsid14760217\charrsid16713478 _x000d__x000a_\par }\pard\plain \ltrpar\s22\qc \li0\ri0\sb240\sa240\keepn\nowidctlpar\wrapdefault\aspalpha\aspnum\faauto\adjustright\rin0\lin0\itap0\pararsid14760217 \rtlch\fcs1 \af0\afs20\alang1025 \ltrch\fcs0 \i\fs24\lang2057\langfe2057\cgrid\langnp2057\langfenp2057 {_x000d__x000a_\rtlch\fcs1 \af0 \ltrch\fcs0 \cs15\i0\v\f1\fs20\cf9\insrsid14760217\charrsid16713478 &lt;TitreJust&gt;}{\rtlch\fcs1 \af0 \ltrch\fcs0 \insrsid14760217\charrsid16713478 Justification}{\rtlch\fcs1 \af0 \ltrch\fcs0 _x000d__x000a_\cs15\i0\v\f1\fs20\cf9\insrsid14760217\charrsid16713478 &lt;/TitreJust&gt;}{\rtlch\fcs1 \af0 \ltrch\fcs0 \insrsid14760217\charrsid16713478 _x000d__x000a_\par }\pard\plain \ltrpar\s20\ql \li0\ri0\sa240\nowidctlpar\wrapdefault\aspalpha\aspnum\faauto\adjustright\rin0\lin0\itap0\pararsid14760217 \rtlch\fcs1 \af0\afs20\alang1025 \ltrch\fcs0 \i\fs24\lang2057\langfe2057\cgrid\langnp2057\langfenp2057 {\rtlch\fcs1 _x000d__x000a_\af0 \ltrch\fcs0 \cs15\i0\v\f1\fs20\cf9\insrsid14760217\charrsid16713478 &lt;OptDelPrev&gt;}{\rtlch\fcs1 \af0 \ltrch\fcs0 \insrsid14760217\charrsid16713478 #}{\rtlch\fcs1 \af0 \ltrch\fcs0 \cs21\v\cf15\insrsid14760217\charrsid16713478 _x000d__x000a_MNU[TEXTJUSTYES][TEXTJUSTNO]@CHOICE@}{\rtlch\fcs1 \af0 \ltrch\fcs0 \insrsid14760217\charrsid16713478 #}{\rtlch\fcs1 \af0 \ltrch\fcs0 \cs15\i0\v\f1\fs20\cf9\insrsid14760217\charrsid16713478 &lt;/OptDelPrev&gt;}{\rtlch\fcs1 \af0 \ltrch\fcs0 _x000d__x000a_\insrsid14760217\charrsid16713478 _x000d__x000a_\par }\pard\plain \ltrpar\ql \li0\ri0\widctlpar\wrapdefault\aspalpha\aspnum\faauto\adjustright\rin0\lin0\itap0\pararsid14760217 \rtlch\fcs1 \af0\afs20\alang1025 \ltrch\fcs0 \fs24\lang2057\langfe2057\cgrid\langnp2057\langfenp2057 {\rtlch\fcs1 \af0 \ltrch\fcs0 _x000d__x000a_\cs15\v\f1\fs20\cf9\insrsid14760217\charrsid1671347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d_x000d__x000a_05aff04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1036\deflangfe1036\themelang1036\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9\fbidi \froman\fcharset238\fprq2 Times New Roman CE;}_x000d__x000a_{\f280\fbidi \froman\fcharset204\fprq2 Times New Roman Cyr;}{\f282\fbidi \froman\fcharset161\fprq2 Times New Roman Greek;}{\f283\fbidi \froman\fcharset162\fprq2 Times New Roman Tur;}{\f284\fbidi \froman\fcharset177\fprq2 Times New Roman (Hebrew);}_x000d__x000a_{\f285\fbidi \froman\fcharset178\fprq2 Times New Roman (Arabic);}{\f286\fbidi \froman\fcharset186\fprq2 Times New Roman Baltic;}{\f287\fbidi \froman\fcharset163\fprq2 Times New Roman (Vietnamese);}{\f619\fbidi \froman\fcharset238\fprq2 Cambria Math CE;}_x000d__x000a_{\f620\fbidi \froman\fcharset204\fprq2 Cambria Math Cyr;}{\f622\fbidi \froman\fcharset161\fprq2 Cambria Math Greek;}{\f623\fbidi \froman\fcharset162\fprq2 Cambria Math Tur;}{\f626\fbidi \froman\fcharset186\fprq2 Cambria Math Baltic;}_x000d__x000a_{\f62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6\langfe1036\cgrid\langnp1036\langfenp1036 \snext11 \ssemihidden \spriority0 Normal Table;}}_x000d__x000a_{\*\rsidtbl \rsid24658\rsid74653\rsid735077\rsid2892074\rsid4666813\rsid6641733\rsid9636012\rsid11215221\rsid12154954\rsid13376240\rsid14424199\rsid15204470\rsid15285974\rsid15950462\rsid16324206\rsid16662270}{\mmathPr\mmathFont34\mbrkBin0\mbrkBinSub0_x000d__x000a_\msmallFrac0\mdispDef1\mlMargin0\mrMargin0\mdefJc1\mwrapIndent1440\mintLim0\mnaryLim1}{\info{\author BOIGUES NAVARRO Josep}{\operator BOIGUES NAVARRO Josep}{\creatim\yr2018\mo12\dy5\hr12\min26}{\revtim\yr2018\mo12\dy5\hr12\min26}{\version1}{\edmins0}_x000d__x000a_{\nofpages1}{\nofwords0}{\nofchars1}{\*\company European Parliament}{\nofcharsws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376240\utinl \fet0{\*\wgrffmtfilter 013f}\ilfomacatclnup0{\*\template C:\\Users\\jboigues\\AppData\\Local\\Temp\\Blank1.dot}{\*\ftnsep \ltrpar \pard\plain \ltrpar_x000d__x000a_\ql \li0\ri0\widctlpar\wrapdefault\aspalpha\aspnum\faauto\adjustright\rin0\lin0\itap0 \rtlch\fcs1 \af0\afs20\alang1025 \ltrch\fcs0 \fs24\lang2057\langfe2057\cgrid\langnp2057\langfenp2057 {\rtlch\fcs1 \af0 \ltrch\fcs0 \insrsid74653 \chftnsep _x000d__x000a_\par }}{\*\ftnsepc \ltrpar \pard\plain \ltrpar\ql \li0\ri0\widctlpar\wrapdefault\aspalpha\aspnum\faauto\adjustright\rin0\lin0\itap0 \rtlch\fcs1 \af0\afs20\alang1025 \ltrch\fcs0 \fs24\lang2057\langfe2057\cgrid\langnp2057\langfenp2057 {\rtlch\fcs1 \af0 _x000d__x000a_\ltrch\fcs0 \insrsid74653 \chftnsepc _x000d__x000a_\par }}{\*\aftnsep \ltrpar \pard\plain \ltrpar\ql \li0\ri0\widctlpar\wrapdefault\aspalpha\aspnum\faauto\adjustright\rin0\lin0\itap0 \rtlch\fcs1 \af0\afs20\alang1025 \ltrch\fcs0 \fs24\lang2057\langfe2057\cgrid\langnp2057\langfenp2057 {\rtlch\fcs1 \af0 _x000d__x000a_\ltrch\fcs0 \insrsid74653 \chftnsep _x000d__x000a_\par }}{\*\aftnsepc \ltrpar \pard\plain \ltrpar\ql \li0\ri0\widctlpar\wrapdefault\aspalpha\aspnum\faauto\adjustright\rin0\lin0\itap0 \rtlch\fcs1 \af0\afs20\alang1025 \ltrch\fcs0 \fs24\lang2057\langfe2057\cgrid\langnp2057\langfenp2057 {\rtlch\fcs1 \af0 _x000d__x000a_\ltrch\fcs0 \insrsid7465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376240 \rtlch\fcs1 \af0\afs20\alang1025 \ltrch\fcs0 \fs24\lang2057\langfe2057\cgrid\langnp2057\langfenp2057 {\rtlch\fcs1 \af0 \ltrch\fcs0 \insrsid13376240 _x000d__x000a_{\*\bkmkstart _GoBack}{\*\bkmkend _GoBack}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18_x000d__x000a_cb5f8d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908689 HideTWBExt;}{\s16\ql \li0\ri0\sa120\nowidctlpar\wrapdefault\aspalpha\aspnum\faauto\adjustright\rin0\lin0\itap0 \rtlch\fcs1 \af0\afs20\alang1025 \ltrch\fcs0 _x000d__x000a_\fs24\lang2057\langfe2057\cgrid\langnp2057\langfenp2057 \sbasedon0 \snext16 \slink17 \spriority0 \styrsid14908689 Normal6;}{\*\cs17 \additive \fs24 \slink16 \slocked \spriority0 \styrsid14908689 Normal6 Char;}{_x000d__x000a_\s18\ql \li0\ri0\nowidctlpar\wrapdefault\aspalpha\aspnum\faauto\adjustright\rin0\lin0\itap0 \rtlch\fcs1 \af0\afs20\alang1025 \ltrch\fcs0 \b\fs24\lang2057\langfe2057\cgrid\langnp2057\langfenp2057 \sbasedon0 \snext18 \slink19 \spriority0 \styrsid14908689 _x000d__x000a_NormalBold;}{\*\cs19 \additive \b\fs24 \slink18 \slocked \spriority0 \styrsid14908689 NormalBold Char;}{\s20\ql \li0\ri0\sa240\nowidctlpar\wrapdefault\aspalpha\aspnum\faauto\adjustright\rin0\lin0\itap0 \rtlch\fcs1 \af0\afs20\alang1025 \ltrch\fcs0 _x000d__x000a_\i\fs24\lang2057\langfe2057\cgrid\langnp2057\langfenp2057 \sbasedon0 \snext20 \spriority0 \styrsid14908689 Normal12Italic;}{\s21\qc \li0\ri0\sb240\nowidctlpar\wrapdefault\aspalpha\aspnum\faauto\adjustright\rin0\lin0\itap0 \rtlch\fcs1 \af0\afs20\alang1025 _x000d__x000a_\ltrch\fcs0 \i\fs24\lang2057\langfe2057\cgrid\langnp2057\langfenp2057 \sbasedon0 \snext21 \spriority0 \styrsid14908689 CrossRef;}{\*\cs22 \additive \v\cf15 \spriority0 \styrsid14908689 HideTWBInt;}{_x000d__x000a_\s23\qc \li0\ri0\sb240\sa240\keepn\nowidctlpar\wrapdefault\aspalpha\aspnum\faauto\adjustright\rin0\lin0\itap0 \rtlch\fcs1 \af0\afs20\alang1025 \ltrch\fcs0 \i\fs24\lang2057\langfe2057\cgrid\langnp2057\langfenp2057 _x000d__x000a_\sbasedon0 \snext0 \spriority0 \styrsid14908689 JustificationTitle;}{\s24\qr \li0\ri0\sb240\sa240\nowidctlpar\wrapdefault\aspalpha\aspnum\faauto\adjustright\rin0\lin0\itap0 \rtlch\fcs1 \af0\afs20\alang1025 \ltrch\fcs0 _x000d__x000a_\fs24\lang1024\langfe1024\cgrid\noproof\langnp2057\langfenp2057 \sbasedon0 \snext24 \spriority0 \styrsid14908689 Olang;}{\s25\qc \li0\ri0\sa240\nowidctlpar\wrapdefault\aspalpha\aspnum\faauto\adjustright\rin0\lin0\itap0 \rtlch\fcs1 \af0\afs20\alang1025 _x000d__x000a_\ltrch\fcs0 \i\fs24\lang2057\langfe2057\cgrid\langnp2057\langfenp2057 \sbasedon0 \snext25 \spriority0 \styrsid14908689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4908689 AMNumberTabs;}{\s27\ql \li0\ri0\sb240\nowidctlpar\wrapdefault\aspalpha\aspnum\faauto\adjustright\rin0\lin0\itap0 \rtlch\fcs1 _x000d__x000a_\af0\afs20\alang1025 \ltrch\fcs0 \b\fs24\lang2057\langfe2057\cgrid\langnp2057\langfenp2057 \sbasedon0 \snext27 \spriority0 \styrsid14908689 NormalBold12b;}}{\*\rsidtbl \rsid24658\rsid735077\rsid2892074\rsid4666813\rsid6641733\rsid9636012\rsid11215221_x000d__x000a_\rsid11273478\rsid12154954\rsid14424199\rsid14908689\rsid15204470\rsid15285974\rsid15950462\rsid16324206\rsid16662270}{\mmathPr\mmathFont34\mbrkBin0\mbrkBinSub0\msmallFrac0\mdispDef1\mlMargin0\mrMargin0\mdefJc1\mwrapIndent1440\mintLim0\mnaryLim1}{\info_x000d__x000a_{\author HEYVAERT Valerie}{\operator HEYVAERT Valerie}{\creatim\yr2018\mo9\dy5\hr10\min16}{\revtim\yr2018\mo9\dy5\hr10\min16}{\version1}{\edmins0}{\nofpages1}{\nofwords60}{\nofchars660}{\*\company European Parliament}{\nofcharsws665}{\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908689\utinl \fet0{\*\wgrffmtfilter 013f}\ilfomacatclnup0{\*\template C:\\Users\\VHEYVA~1\\AppData\\Local\\Temp\\Blank1.dot}{\*\ftnsep \ltrpar \pard\plain \ltrpar_x000d__x000a_\ql \li0\ri0\widctlpar\wrapdefault\aspalpha\aspnum\faauto\adjustright\rin0\lin0\itap0 \rtlch\fcs1 \af0\afs20\alang1025 \ltrch\fcs0 \fs24\lang2057\langfe2057\cgrid\langnp2057\langfenp2057 {\rtlch\fcs1 \af0 \ltrch\fcs0 \insrsid11273478 \chftnsep _x000d__x000a_\par }}{\*\ftnsepc \ltrpar \pard\plain \ltrpar\ql \li0\ri0\widctlpar\wrapdefault\aspalpha\aspnum\faauto\adjustright\rin0\lin0\itap0 \rtlch\fcs1 \af0\afs20\alang1025 \ltrch\fcs0 \fs24\lang2057\langfe2057\cgrid\langnp2057\langfenp2057 {\rtlch\fcs1 \af0 _x000d__x000a_\ltrch\fcs0 \insrsid11273478 \chftnsepc _x000d__x000a_\par }}{\*\aftnsep \ltrpar \pard\plain \ltrpar\ql \li0\ri0\widctlpar\wrapdefault\aspalpha\aspnum\faauto\adjustright\rin0\lin0\itap0 \rtlch\fcs1 \af0\afs20\alang1025 \ltrch\fcs0 \fs24\lang2057\langfe2057\cgrid\langnp2057\langfenp2057 {\rtlch\fcs1 \af0 _x000d__x000a_\ltrch\fcs0 \insrsid11273478 \chftnsep _x000d__x000a_\par }}{\*\aftnsepc \ltrpar \pard\plain \ltrpar\ql \li0\ri0\widctlpar\wrapdefault\aspalpha\aspnum\faauto\adjustright\rin0\lin0\itap0 \rtlch\fcs1 \af0\afs20\alang1025 \ltrch\fcs0 \fs24\lang2057\langfe2057\cgrid\langnp2057\langfenp2057 {\rtlch\fcs1 \af0 _x000d__x000a_\ltrch\fcs0 \insrsid1127347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908689 \rtlch\fcs1 \af0\afs20\alang1025 \ltrch\fcs0 \b\fs24\lang2057\langfe2057\cgrid\langnp2057\langfenp2057 {\rtlch\fcs1 \af0 \ltrch\fcs0 \cs15\b0\v\f1\fs20\cf9\insrsid14908689\charrsid16713478 {\*\bkmkstart restartB}&lt;AmendB&gt;}{_x000d__x000a_\rtlch\fcs1 \af0 \ltrch\fcs0 \insrsid14908689\charrsid16713478 Amendment\tab \tab }{\rtlch\fcs1 \af0 \ltrch\fcs0 \cs15\b0\v\f1\fs20\cf9\insrsid14908689\charrsid16713478 &lt;NumAmB&gt;}{\rtlch\fcs1 \af0 \ltrch\fcs0 \insrsid14908689\charrsid16713478 #}{_x000d__x000a_\rtlch\fcs1 \af0 \ltrch\fcs0 \cs22\v\cf15\insrsid14908689\charrsid16713478 ENMIENDA@NRAM@}{\rtlch\fcs1 \af0 \ltrch\fcs0 \insrsid14908689\charrsid16713478 #}{\rtlch\fcs1 \af0 \ltrch\fcs0 \cs15\b0\v\f1\fs20\cf9\insrsid14908689\charrsid16713478 &lt;/NumAmB&gt;}{_x000d__x000a_\rtlch\fcs1 \af0 \ltrch\fcs0 \insrsid14908689\charrsid16713478 _x000d__x000a_\par }\pard\plain \ltrpar\s27\ql \li0\ri0\sb240\keepn\nowidctlpar\wrapdefault\aspalpha\aspnum\faauto\adjustright\rin0\lin0\itap0\pararsid14908689 \rtlch\fcs1 \af0\afs20\alang1025 \ltrch\fcs0 \b\fs24\lang2057\langfe2057\cgrid\langnp2057\langfenp2057 {_x000d__x000a_\rtlch\fcs1 \af0 \ltrch\fcs0 \cs15\b0\v\f1\fs20\cf9\insrsid14908689\charrsid16713478 &lt;DocAmend&gt;}{\rtlch\fcs1 \af0 \ltrch\fcs0 \insrsid14908689\charrsid16713478 #}{\rtlch\fcs1 \af0 \ltrch\fcs0 \cs22\v\cf15\insrsid14908689\charrsid16713478 _x000d__x000a_MNU[OPTPROPOSALCOD][OPTPROPOSALCNS][OPTPROPOSALNLE]@CHOICE@CODEMNU}{\rtlch\fcs1 \af0 \ltrch\fcs0 \insrsid14908689\charrsid16713478 ##}{\rtlch\fcs1 \af0 \ltrch\fcs0 \cs22\v\cf15\insrsid14908689\charrsid16713478 MNU[AMACTYES][NOTAPP]@CHOICE@AMACTMNU}{_x000d__x000a_\rtlch\fcs1 \af0 \ltrch\fcs0 \insrsid14908689\charrsid16713478 #}{\rtlch\fcs1 \af0 \ltrch\fcs0 \cs15\b0\v\f1\fs20\cf9\insrsid14908689\charrsid16713478 &lt;/DocAmend&gt;}{\rtlch\fcs1 \af0 \ltrch\fcs0 \insrsid14908689\charrsid16713478 _x000d__x000a_\par }\pard\plain \ltrpar\s18\ql \li0\ri0\keepn\nowidctlpar\wrapdefault\aspalpha\aspnum\faauto\adjustright\rin0\lin0\itap0\pararsid14908689 \rtlch\fcs1 \af0\afs20\alang1025 \ltrch\fcs0 \b\fs24\lang2057\langfe2057\cgrid\langnp2057\langfenp2057 {\rtlch\fcs1 _x000d__x000a_\af0 \ltrch\fcs0 \cs15\b0\v\f1\fs20\cf9\insrsid14908689\charrsid16713478 &lt;Article&gt;}{\rtlch\fcs1 \af0 \ltrch\fcs0 \insrsid14908689\charrsid16713478 #}{\rtlch\fcs1 \af0 \ltrch\fcs0 \cs22\v\cf15\insrsid14908689\charrsid16713478 MNU[AMACTPARTYES][AMAC_x000d__x000a_TPARTNO]@CHOICE@AMACTMNU}{\rtlch\fcs1 \af0 \ltrch\fcs0 \insrsid14908689\charrsid16713478 #}{\rtlch\fcs1 \af0 \ltrch\fcs0 \cs15\b0\v\f1\fs20\cf9\insrsid14908689\charrsid16713478 &lt;/Article&gt;}{\rtlch\fcs1 \af0 \ltrch\fcs0 \insrsid14908689\charrsid16713478 _x000d__x000a__x000d__x000a_\par }\pard\plain \ltrpar\ql \li0\ri0\keepn\widctlpar\wrapdefault\aspalpha\aspnum\faauto\adjustright\rin0\lin0\itap0\pararsid14908689 \rtlch\fcs1 \af0\afs20\alang1025 \ltrch\fcs0 \fs24\lang2057\langfe2057\cgrid\langnp2057\langfenp2057 {\rtlch\fcs1 \af0 _x000d__x000a_\ltrch\fcs0 \cs15\v\f1\fs20\cf9\insrsid14908689\charrsid16713478 &lt;DocAmend2&gt;&lt;OptDel&gt;}{\rtlch\fcs1 \af0 \ltrch\fcs0 \insrsid14908689\charrsid16713478 #}{\rtlch\fcs1 \af0 \ltrch\fcs0 \cs22\v\cf15\insrsid14908689\charrsid16713478 _x000d__x000a_MNU[OPTNRACTYES][NOTAPP]@CHOICE@AMACTMNU}{\rtlch\fcs1 \af0 \ltrch\fcs0 \insrsid14908689\charrsid16713478 #}{\rtlch\fcs1 \af0 \ltrch\fcs0 \cs15\v\f1\fs20\cf9\insrsid14908689\charrsid16713478 &lt;/OptDel&gt;&lt;/DocAmend2&gt;}{\rtlch\fcs1 \af0 \ltrch\fcs0 _x000d__x000a_\insrsid14908689\charrsid16713478 _x000d__x000a_\par }\pard \ltrpar\ql \li0\ri0\widctlpar\wrapdefault\aspalpha\aspnum\faauto\adjustright\rin0\lin0\itap0\pararsid14908689 {\rtlch\fcs1 \af0 \ltrch\fcs0 \cs15\v\f1\fs20\cf9\insrsid14908689\charrsid16713478 &lt;Article2&gt;&lt;OptDel&gt;}{\rtlch\fcs1 \af0 \ltrch\fcs0 _x000d__x000a_\insrsid14908689\charrsid16713478 #}{\rtlch\fcs1 \af0 \ltrch\fcs0 \cs22\v\cf15\insrsid14908689\charrsid16713478 MNU[OPTACTPARTYES][NOTAPP]@CHOICE@AMACTMNU}{\rtlch\fcs1 \af0 \ltrch\fcs0 \insrsid14908689\charrsid16713478 #}{\rtlch\fcs1 \af0 \ltrch\fcs0 _x000d__x000a_\cs15\v\f1\fs20\cf9\insrsid14908689\charrsid16713478 &lt;/OptDel&gt;&lt;/Article2&gt;}{\rtlch\fcs1 \af0 \ltrch\fcs0 \insrsid14908689\charrsid1671347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4908689\charrsid16713478 \cell }\pard \ltrpar\ql \li0\ri0\widctlpar\intbl\wrapdefault\aspalpha\aspnum\faauto\adjustright\rin0\lin0 {\rtlch\fcs1 \af0 \ltrch\fcs0 \insrsid14908689\charrsid1671347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4908689\charrsid16713478 #}{\rtlch\fcs1 \af0 \ltrch\fcs0 \cs22\v\cf15\insrsid14908689\charrsid16713478 MNU[OPTLEFTAMACT][LEFTPROP]@CHOICE@AMACTMNU}{\rtlch\fcs1 \af0 \ltrch\fcs0 \insrsid14908689\charrsid16713478 #\cell Amendment\cell _x000d__x000a_}\pard\plain \ltrpar\ql \li0\ri0\widctlpar\intbl\wrapdefault\aspalpha\aspnum\faauto\adjustright\rin0\lin0 \rtlch\fcs1 \af0\afs20\alang1025 \ltrch\fcs0 \fs24\lang2057\langfe2057\cgrid\langnp2057\langfenp2057 {\rtlch\fcs1 \af0 \ltrch\fcs0 _x000d__x000a_\insrsid14908689\charrsid16713478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4908689\charrsid16713478 ##\cell ##}{\rtlch\fcs1 \af0\afs24 \ltrch\fcs0 \insrsid14908689\charrsid16713478 \cell }\pard\plain \ltrpar\ql \li0\ri0\widctlpar\intbl\wrapdefault\aspalpha\aspnum\faauto\adjustright\rin0\lin0 \rtlch\fcs1 _x000d__x000a_\af0\afs20\alang1025 \ltrch\fcs0 \fs24\lang2057\langfe2057\cgrid\langnp2057\langfenp2057 {\rtlch\fcs1 \af0 \ltrch\fcs0 \insrsid14908689\charrsid1671347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908689 \rtlch\fcs1 \af0\afs20\alang1025 \ltrch\fcs0 \fs24\lang1024\langfe1024\cgrid\noproof\langnp2057\langfenp2057 {\rtlch\fcs1 \af0 _x000d__x000a_\ltrch\fcs0 \noproof0\insrsid14908689\charrsid16713478 Or. }{\rtlch\fcs1 \af0 \ltrch\fcs0 \cs15\v\f1\fs20\cf9\noproof0\insrsid14908689\charrsid16713478 &lt;Original&gt;}{\rtlch\fcs1 \af0 \ltrch\fcs0 \noproof0\insrsid14908689\charrsid16713478 #}{\rtlch\fcs1 _x000d__x000a_\af0 \ltrch\fcs0 \cs22\v\cf15\noproof0\insrsid14908689\charrsid16713478 MNU[ORLANGONE][ORLANGMORE]@CHOICE@ORLANGMNU}{\rtlch\fcs1 \af0 \ltrch\fcs0 \noproof0\insrsid14908689\charrsid16713478 #}{\rtlch\fcs1 \af0 \ltrch\fcs0 _x000d__x000a_\cs15\v\f1\fs20\cf9\noproof0\insrsid14908689\charrsid16713478 &lt;/Original&gt;}{\rtlch\fcs1 \af0 \ltrch\fcs0 \noproof0\insrsid14908689\charrsid16713478 _x000d__x000a_\par }\pard\plain \ltrpar\s21\qc \li0\ri0\sb240\nowidctlpar\wrapdefault\aspalpha\aspnum\faauto\adjustright\rin0\lin0\itap0\pararsid14908689 \rtlch\fcs1 \af0\afs20\alang1025 \ltrch\fcs0 \i\fs24\lang2057\langfe2057\cgrid\langnp2057\langfenp2057 {\rtlch\fcs1 _x000d__x000a_\af0 \ltrch\fcs0 \cs15\i0\v\f1\fs20\cf9\insrsid14908689\charrsid16713478 &lt;OptDel&gt;}{\rtlch\fcs1 \af0 \ltrch\fcs0 \insrsid14908689\charrsid16713478 #}{\rtlch\fcs1 \af0 \ltrch\fcs0 \cs22\v\cf15\insrsid14908689\charrsid16713478 _x000d__x000a_MNU[CROSSREFNO][CROSSREFYES]@CHOICE@}{\rtlch\fcs1 \af0 \ltrch\fcs0 \insrsid14908689\charrsid16713478 #}{\rtlch\fcs1 \af0 \ltrch\fcs0 \cs15\i0\v\f1\fs20\cf9\insrsid14908689\charrsid16713478 &lt;/OptDel&gt;}{\rtlch\fcs1 \af0 \ltrch\fcs0 _x000d__x000a_\insrsid14908689\charrsid16713478 _x000d__x000a_\par }\pard\plain \ltrpar\s23\qc \li0\ri0\sb240\sa240\keepn\nowidctlpar\wrapdefault\aspalpha\aspnum\faauto\adjustright\rin0\lin0\itap0\pararsid14908689 \rtlch\fcs1 \af0\afs20\alang1025 \ltrch\fcs0 \i\fs24\lang2057\langfe2057\cgrid\langnp2057\langfenp2057 {_x000d__x000a_\rtlch\fcs1 \af0 \ltrch\fcs0 \cs15\i0\v\f1\fs20\cf9\insrsid14908689\charrsid16713478 &lt;TitreJust&gt;}{\rtlch\fcs1 \af0 \ltrch\fcs0 \insrsid14908689\charrsid16713478 Justification}{\rtlch\fcs1 \af0 \ltrch\fcs0 _x000d__x000a_\cs15\i0\v\f1\fs20\cf9\insrsid14908689\charrsid16713478 &lt;/TitreJust&gt;}{\rtlch\fcs1 \af0 \ltrch\fcs0 \insrsid14908689\charrsid16713478 _x000d__x000a_\par }\pard\plain \ltrpar\s20\ql \li0\ri0\sa240\nowidctlpar\wrapdefault\aspalpha\aspnum\faauto\adjustright\rin0\lin0\itap0\pararsid14908689 \rtlch\fcs1 \af0\afs20\alang1025 \ltrch\fcs0 \i\fs24\lang2057\langfe2057\cgrid\langnp2057\langfenp2057 {\rtlch\fcs1 _x000d__x000a_\af0 \ltrch\fcs0 \cs15\i0\v\f1\fs20\cf9\insrsid14908689\charrsid16713478 &lt;OptDelPrev&gt;}{\rtlch\fcs1 \af0 \ltrch\fcs0 \insrsid14908689\charrsid16713478 #}{\rtlch\fcs1 \af0 \ltrch\fcs0 \cs22\v\cf15\insrsid14908689\charrsid16713478 _x000d__x000a_MNU[TEXTJUSTYES][TEXTJUSTNO]@CHOICE@}{\rtlch\fcs1 \af0 \ltrch\fcs0 \insrsid14908689\charrsid16713478 #}{\rtlch\fcs1 \af0 \ltrch\fcs0 \cs15\i0\v\f1\fs20\cf9\insrsid14908689\charrsid16713478 &lt;/OptDelPrev&gt;}{\rtlch\fcs1 \af0 \ltrch\fcs0 _x000d__x000a_\insrsid14908689\charrsid16713478 _x000d__x000a_\par }\pard\plain \ltrpar\ql \li0\ri0\widctlpar\wrapdefault\aspalpha\aspnum\faauto\adjustright\rin0\lin0\itap0\pararsid14908689 \rtlch\fcs1 \af0\afs20\alang1025 \ltrch\fcs0 \fs24\lang2057\langfe2057\cgrid\langnp2057\langfenp2057 {\rtlch\fcs1 \af0 \ltrch\fcs0 _x000d__x000a_\cs15\v\f1\fs20\cf9\insrsid14908689\charrsid1671347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71_x000d__x000a_11b0f04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80649 HideTWBExt;}{\s16\ql \li0\ri0\sa120\nowidctlpar\wrapdefault\aspalpha\aspnum\faauto\adjustright\rin0\lin0\itap0 \rtlch\fcs1 \af0\afs20\alang1025 \ltrch\fcs0 _x000d__x000a_\fs24\lang2057\langfe2057\cgrid\langnp2057\langfenp2057 \sbasedon0 \snext16 \slink17 \spriority0 \styrsid14180649 Normal6;}{\*\cs17 \additive \fs24 \slink16 \slocked \spriority0 \styrsid14180649 Normal6 Char;}{_x000d__x000a_\s18\ql \li0\ri0\nowidctlpar\wrapdefault\aspalpha\aspnum\faauto\adjustright\rin0\lin0\itap0 \rtlch\fcs1 \af0\afs20\alang1025 \ltrch\fcs0 \b\fs24\lang2057\langfe2057\cgrid\langnp2057\langfenp2057 \sbasedon0 \snext18 \slink19 \spriority0 \styrsid14180649 _x000d__x000a_NormalBold;}{\*\cs19 \additive \b\fs24 \slink18 \slocked \spriority0 \styrsid14180649 NormalBold Char;}{\s20\ql \li0\ri0\sa240\nowidctlpar\wrapdefault\aspalpha\aspnum\faauto\adjustright\rin0\lin0\itap0 \rtlch\fcs1 \af0\afs20\alang1025 \ltrch\fcs0 _x000d__x000a_\i\fs24\lang2057\langfe2057\cgrid\langnp2057\langfenp2057 \sbasedon0 \snext20 \spriority0 \styrsid14180649 Normal12Italic;}{\s21\qc \li0\ri0\sb240\nowidctlpar\wrapdefault\aspalpha\aspnum\faauto\adjustright\rin0\lin0\itap0 \rtlch\fcs1 \af0\afs20\alang1025 _x000d__x000a_\ltrch\fcs0 \i\fs24\lang2057\langfe2057\cgrid\langnp2057\langfenp2057 \sbasedon0 \snext21 \spriority0 \styrsid14180649 CrossRef;}{\*\cs22 \additive \v\cf15 \spriority0 \styrsid14180649 HideTWBInt;}{_x000d__x000a_\s23\qc \li0\ri0\sb240\sa240\keepn\nowidctlpar\wrapdefault\aspalpha\aspnum\faauto\adjustright\rin0\lin0\itap0 \rtlch\fcs1 \af0\afs20\alang1025 \ltrch\fcs0 \i\fs24\lang2057\langfe2057\cgrid\langnp2057\langfenp2057 _x000d__x000a_\sbasedon0 \snext0 \spriority0 \styrsid14180649 JustificationTitle;}{\s24\qr \li0\ri0\sb240\sa240\nowidctlpar\wrapdefault\aspalpha\aspnum\faauto\adjustright\rin0\lin0\itap0 \rtlch\fcs1 \af0\afs20\alang1025 \ltrch\fcs0 _x000d__x000a_\fs24\lang1024\langfe1024\cgrid\noproof\langnp2057\langfenp2057 \sbasedon0 \snext24 \spriority0 \styrsid14180649 Olang;}{\s25\qc \li0\ri0\sa240\nowidctlpar\wrapdefault\aspalpha\aspnum\faauto\adjustright\rin0\lin0\itap0 \rtlch\fcs1 \af0\afs20\alang1025 _x000d__x000a_\ltrch\fcs0 \i\fs24\lang2057\langfe2057\cgrid\langnp2057\langfenp2057 \sbasedon0 \snext25 \spriority0 \styrsid14180649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4180649 AMNumberTabs;}{\s27\ql \li0\ri0\sb240\nowidctlpar\wrapdefault\aspalpha\aspnum\faauto\adjustright\rin0\lin0\itap0 \rtlch\fcs1 _x000d__x000a_\af0\afs20\alang1025 \ltrch\fcs0 \b\fs24\lang2057\langfe2057\cgrid\langnp2057\langfenp2057 \sbasedon0 \snext27 \spriority0 \styrsid14180649 NormalBold12b;}}{\*\rsidtbl \rsid24658\rsid735077\rsid2892074\rsid4666813\rsid6641733\rsid9636012\rsid11215221_x000d__x000a_\rsid12154954\rsid14180649\rsid14423421\rsid14424199\rsid15204470\rsid15285974\rsid15950462\rsid16324206\rsid16662270}{\mmathPr\mmathFont34\mbrkBin0\mbrkBinSub0\msmallFrac0\mdispDef1\mlMargin0\mrMargin0\mdefJc1\mwrapIndent1440\mintLim0\mnaryLim1}{\info_x000d__x000a_{\author HEYVAERT Valerie}{\operator HEYVAERT Valerie}{\creatim\yr2018\mo9\dy5\hr10\min19}{\revtim\yr2018\mo9\dy5\hr10\min19}{\version1}{\edmins0}{\nofpages1}{\nofwords59}{\nofchars657}{\*\company European Parliament}{\nofcharsws66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180649\utinl \fet0{\*\wgrffmtfilter 013f}\ilfomacatclnup0{\*\template C:\\Users\\VHEYVA~1\\AppData\\Local\\Temp\\Blank1.dot}{\*\ftnsep \ltrpar \pard\plain \ltrpar_x000d__x000a_\ql \li0\ri0\widctlpar\wrapdefault\aspalpha\aspnum\faauto\adjustright\rin0\lin0\itap0 \rtlch\fcs1 \af0\afs20\alang1025 \ltrch\fcs0 \fs24\lang2057\langfe2057\cgrid\langnp2057\langfenp2057 {\rtlch\fcs1 \af0 \ltrch\fcs0 \insrsid14423421 \chftnsep _x000d__x000a_\par }}{\*\ftnsepc \ltrpar \pard\plain \ltrpar\ql \li0\ri0\widctlpar\wrapdefault\aspalpha\aspnum\faauto\adjustright\rin0\lin0\itap0 \rtlch\fcs1 \af0\afs20\alang1025 \ltrch\fcs0 \fs24\lang2057\langfe2057\cgrid\langnp2057\langfenp2057 {\rtlch\fcs1 \af0 _x000d__x000a_\ltrch\fcs0 \insrsid14423421 \chftnsepc _x000d__x000a_\par }}{\*\aftnsep \ltrpar \pard\plain \ltrpar\ql \li0\ri0\widctlpar\wrapdefault\aspalpha\aspnum\faauto\adjustright\rin0\lin0\itap0 \rtlch\fcs1 \af0\afs20\alang1025 \ltrch\fcs0 \fs24\lang2057\langfe2057\cgrid\langnp2057\langfenp2057 {\rtlch\fcs1 \af0 _x000d__x000a_\ltrch\fcs0 \insrsid14423421 \chftnsep _x000d__x000a_\par }}{\*\aftnsepc \ltrpar \pard\plain \ltrpar\ql \li0\ri0\widctlpar\wrapdefault\aspalpha\aspnum\faauto\adjustright\rin0\lin0\itap0 \rtlch\fcs1 \af0\afs20\alang1025 \ltrch\fcs0 \fs24\lang2057\langfe2057\cgrid\langnp2057\langfenp2057 {\rtlch\fcs1 \af0 _x000d__x000a_\ltrch\fcs0 \insrsid1442342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180649 \rtlch\fcs1 \af0\afs20\alang1025 \ltrch\fcs0 \b\fs24\lang2057\langfe2057\cgrid\langnp2057\langfenp2057 {\rtlch\fcs1 \af0 \ltrch\fcs0 \cs15\b0\v\f1\fs20\cf9\insrsid14180649\charrsid16713478 {\*\bkmkstart restart}&lt;}{\rtlch\fcs1 _x000d__x000a_\af0 \ltrch\fcs0 \cs15\b0\v\f1\fs20\cf9\insrsid14180649 Amend}{\rtlch\fcs1 \af0 \ltrch\fcs0 \cs15\b0\v\f1\fs20\cf9\insrsid14180649\charrsid16713478 &gt;}{\rtlch\fcs1 \af0 \ltrch\fcs0 \insrsid14180649\charrsid16713478 Amendment\tab \tab }{\rtlch\fcs1 \af0 _x000d__x000a_\ltrch\fcs0 \cs15\b0\v\f1\fs20\cf9\insrsid14180649\charrsid16713478 &lt;}{\rtlch\fcs1 \af0 \ltrch\fcs0 \cs15\b0\v\f1\fs20\cf9\insrsid14180649 NumAm&gt;}{\rtlch\fcs1 \af0 \ltrch\fcs0 \insrsid14180649\charrsid16713478 #}{\rtlch\fcs1 \af0 \ltrch\fcs0 _x000d__x000a_\cs22\v\cf15\insrsid14180649\charrsid16713478 ENMIENDA@NRAM@}{\rtlch\fcs1 \af0 \ltrch\fcs0 \insrsid14180649\charrsid16713478 #}{\rtlch\fcs1 \af0 \ltrch\fcs0 \cs15\b0\v\f1\fs20\cf9\insrsid14180649\charrsid16713478 &lt;/}{\rtlch\fcs1 \af0 \ltrch\fcs0 _x000d__x000a_\cs15\b0\v\f1\fs20\cf9\insrsid14180649 NumAm&gt;}{\rtlch\fcs1 \af0 \ltrch\fcs0 \insrsid14180649\charrsid16713478 _x000d__x000a_\par }\pard\plain \ltrpar\s27\ql \li0\ri0\sb240\keepn\nowidctlpar\wrapdefault\aspalpha\aspnum\faauto\adjustright\rin0\lin0\itap0\pararsid14180649 \rtlch\fcs1 \af0\afs20\alang1025 \ltrch\fcs0 \b\fs24\lang2057\langfe2057\cgrid\langnp2057\langfenp2057 {_x000d__x000a_\rtlch\fcs1 \af0 \ltrch\fcs0 \cs15\b0\v\f1\fs20\cf9\insrsid14180649\charrsid16713478 &lt;DocAmend&gt;}{\rtlch\fcs1 \af0 \ltrch\fcs0 \insrsid14180649\charrsid16713478 #}{\rtlch\fcs1 \af0 \ltrch\fcs0 \cs22\v\cf15\insrsid14180649\charrsid16713478 _x000d__x000a_MNU[OPTPROPOSALCOD][OPTPROPOSALCNS][OPTPROPOSALNLE]@CHOICE@CODEMNU}{\rtlch\fcs1 \af0 \ltrch\fcs0 \insrsid14180649\charrsid16713478 ##}{\rtlch\fcs1 \af0 \ltrch\fcs0 \cs22\v\cf15\insrsid14180649\charrsid16713478 MNU[AMACTYES][NOTAPP]@CHOICE@AMACTMNU}{_x000d__x000a_\rtlch\fcs1 \af0 \ltrch\fcs0 \insrsid14180649\charrsid16713478 #}{\rtlch\fcs1 \af0 \ltrch\fcs0 \cs15\b0\v\f1\fs20\cf9\insrsid14180649\charrsid16713478 &lt;/DocAmend&gt;}{\rtlch\fcs1 \af0 \ltrch\fcs0 \insrsid14180649\charrsid16713478 _x000d__x000a_\par }\pard\plain \ltrpar\s18\ql \li0\ri0\keepn\nowidctlpar\wrapdefault\aspalpha\aspnum\faauto\adjustright\rin0\lin0\itap0\pararsid14180649 \rtlch\fcs1 \af0\afs20\alang1025 \ltrch\fcs0 \b\fs24\lang2057\langfe2057\cgrid\langnp2057\langfenp2057 {\rtlch\fcs1 _x000d__x000a_\af0 \ltrch\fcs0 \cs15\b0\v\f1\fs20\cf9\insrsid14180649\charrsid16713478 &lt;Article&gt;}{\rtlch\fcs1 \af0 \ltrch\fcs0 \insrsid14180649\charrsid16713478 #}{\rtlch\fcs1 \af0 \ltrch\fcs0 \cs22\v\cf15\insrsid14180649\charrsid16713478 MNU[AMACTPARTYES][AMAC_x000d__x000a_TPARTNO]@CHOICE@AMACTMNU}{\rtlch\fcs1 \af0 \ltrch\fcs0 \insrsid14180649\charrsid16713478 #}{\rtlch\fcs1 \af0 \ltrch\fcs0 \cs15\b0\v\f1\fs20\cf9\insrsid14180649\charrsid16713478 &lt;/Article&gt;}{\rtlch\fcs1 \af0 \ltrch\fcs0 \insrsid14180649\charrsid16713478 _x000d__x000a__x000d__x000a_\par }\pard\plain \ltrpar\ql \li0\ri0\keepn\widctlpar\wrapdefault\aspalpha\aspnum\faauto\adjustright\rin0\lin0\itap0\pararsid14180649 \rtlch\fcs1 \af0\afs20\alang1025 \ltrch\fcs0 \fs24\lang2057\langfe2057\cgrid\langnp2057\langfenp2057 {\rtlch\fcs1 \af0 _x000d__x000a_\ltrch\fcs0 \cs15\v\f1\fs20\cf9\insrsid14180649\charrsid16713478 &lt;DocAmend2&gt;&lt;OptDel&gt;}{\rtlch\fcs1 \af0 \ltrch\fcs0 \insrsid14180649\charrsid16713478 #}{\rtlch\fcs1 \af0 \ltrch\fcs0 \cs22\v\cf15\insrsid14180649\charrsid16713478 _x000d__x000a_MNU[OPTNRACTYES][NOTAPP]@CHOICE@AMACTMNU}{\rtlch\fcs1 \af0 \ltrch\fcs0 \insrsid14180649\charrsid16713478 #}{\rtlch\fcs1 \af0 \ltrch\fcs0 \cs15\v\f1\fs20\cf9\insrsid14180649\charrsid16713478 &lt;/OptDel&gt;&lt;/DocAmend2&gt;}{\rtlch\fcs1 \af0 \ltrch\fcs0 _x000d__x000a_\insrsid14180649\charrsid16713478 _x000d__x000a_\par }\pard \ltrpar\ql \li0\ri0\widctlpar\wrapdefault\aspalpha\aspnum\faauto\adjustright\rin0\lin0\itap0\pararsid14180649 {\rtlch\fcs1 \af0 \ltrch\fcs0 \cs15\v\f1\fs20\cf9\insrsid14180649\charrsid16713478 &lt;Article2&gt;&lt;OptDel&gt;}{\rtlch\fcs1 \af0 \ltrch\fcs0 _x000d__x000a_\insrsid14180649\charrsid16713478 #}{\rtlch\fcs1 \af0 \ltrch\fcs0 \cs22\v\cf15\insrsid14180649\charrsid16713478 MNU[OPTACTPARTYES][NOTAPP]@CHOICE@AMACTMNU}{\rtlch\fcs1 \af0 \ltrch\fcs0 \insrsid14180649\charrsid16713478 #}{\rtlch\fcs1 \af0 \ltrch\fcs0 _x000d__x000a_\cs15\v\f1\fs20\cf9\insrsid14180649\charrsid16713478 &lt;/OptDel&gt;&lt;/Article2&gt;}{\rtlch\fcs1 \af0 \ltrch\fcs0 \insrsid14180649\charrsid1671347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14180649\charrsid16713478 \cell }\pard \ltrpar\ql \li0\ri0\widctlpar\intbl\wrapdefault\aspalpha\aspnum\faauto\adjustright\rin0\lin0 {\rtlch\fcs1 \af0 \ltrch\fcs0 \insrsid14180649\charrsid1671347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14180649\charrsid16713478 #}{\rtlch\fcs1 \af0 \ltrch\fcs0 \cs22\v\cf15\insrsid14180649\charrsid16713478 MNU[OPTLEFTAMACT][LEFTPROP]@CHOICE@AMACTMNU}{\rtlch\fcs1 \af0 \ltrch\fcs0 \insrsid14180649\charrsid16713478 #\cell Amendment\cell _x000d__x000a_}\pard\plain \ltrpar\ql \li0\ri0\widctlpar\intbl\wrapdefault\aspalpha\aspnum\faauto\adjustright\rin0\lin0 \rtlch\fcs1 \af0\afs20\alang1025 \ltrch\fcs0 \fs24\lang2057\langfe2057\cgrid\langnp2057\langfenp2057 {\rtlch\fcs1 \af0 \ltrch\fcs0 _x000d__x000a_\insrsid14180649\charrsid16713478 \trowd \irow1\irowband1\ltrrow\ts11\trqc\trgaph340\trleft-340\trftsWidth3\trwWidth9752\trftsWidthB3\trftsWidthA3\trpaddl340\trpaddr340\trpaddfl3\trpaddfr3\tblrsid14374628\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14180649\charrsid16713478 ##\cell ##}{\rtlch\fcs1 \af0\afs24 \ltrch\fcs0 \insrsid14180649\charrsid16713478 \cell }\pard\plain \ltrpar\ql \li0\ri0\widctlpar\intbl\wrapdefault\aspalpha\aspnum\faauto\adjustright\rin0\lin0 \rtlch\fcs1 _x000d__x000a_\af0\afs20\alang1025 \ltrch\fcs0 \fs24\lang2057\langfe2057\cgrid\langnp2057\langfenp2057 {\rtlch\fcs1 \af0 \ltrch\fcs0 \insrsid14180649\charrsid1671347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180649 \rtlch\fcs1 \af0\afs20\alang1025 \ltrch\fcs0 \fs24\lang1024\langfe1024\cgrid\noproof\langnp2057\langfenp2057 {\rtlch\fcs1 \af0 _x000d__x000a_\ltrch\fcs0 \noproof0\insrsid14180649\charrsid16713478 Or. }{\rtlch\fcs1 \af0 \ltrch\fcs0 \cs15\v\f1\fs20\cf9\noproof0\insrsid14180649\charrsid16713478 &lt;Original&gt;}{\rtlch\fcs1 \af0 \ltrch\fcs0 \noproof0\insrsid14180649\charrsid16713478 #}{\rtlch\fcs1 _x000d__x000a_\af0 \ltrch\fcs0 \cs22\v\cf15\noproof0\insrsid14180649\charrsid16713478 MNU[ORLANGONE][ORLANGMORE]@CHOICE@ORLANGMNU}{\rtlch\fcs1 \af0 \ltrch\fcs0 \noproof0\insrsid14180649\charrsid16713478 #}{\rtlch\fcs1 \af0 \ltrch\fcs0 _x000d__x000a_\cs15\v\f1\fs20\cf9\noproof0\insrsid14180649\charrsid16713478 &lt;/Original&gt;}{\rtlch\fcs1 \af0 \ltrch\fcs0 \noproof0\insrsid14180649\charrsid16713478 _x000d__x000a_\par }\pard\plain \ltrpar\s21\qc \li0\ri0\sb240\nowidctlpar\wrapdefault\aspalpha\aspnum\faauto\adjustright\rin0\lin0\itap0\pararsid14180649 \rtlch\fcs1 \af0\afs20\alang1025 \ltrch\fcs0 \i\fs24\lang2057\langfe2057\cgrid\langnp2057\langfenp2057 {\rtlch\fcs1 _x000d__x000a_\af0 \ltrch\fcs0 \cs15\i0\v\f1\fs20\cf9\insrsid14180649\charrsid16713478 &lt;OptDel&gt;}{\rtlch\fcs1 \af0 \ltrch\fcs0 \insrsid14180649\charrsid16713478 #}{\rtlch\fcs1 \af0 \ltrch\fcs0 \cs22\v\cf15\insrsid14180649\charrsid16713478 _x000d__x000a_MNU[CROSSREFNO][CROSSREFYES]@CHOICE@}{\rtlch\fcs1 \af0 \ltrch\fcs0 \insrsid14180649\charrsid16713478 #}{\rtlch\fcs1 \af0 \ltrch\fcs0 \cs15\i0\v\f1\fs20\cf9\insrsid14180649\charrsid16713478 &lt;/OptDel&gt;}{\rtlch\fcs1 \af0 \ltrch\fcs0 _x000d__x000a_\insrsid14180649\charrsid16713478 _x000d__x000a_\par }\pard\plain \ltrpar\s23\qc \li0\ri0\sb240\sa240\keepn\nowidctlpar\wrapdefault\aspalpha\aspnum\faauto\adjustright\rin0\lin0\itap0\pararsid14180649 \rtlch\fcs1 \af0\afs20\alang1025 \ltrch\fcs0 \i\fs24\lang2057\langfe2057\cgrid\langnp2057\langfenp2057 {_x000d__x000a_\rtlch\fcs1 \af0 \ltrch\fcs0 \cs15\i0\v\f1\fs20\cf9\insrsid14180649\charrsid16713478 &lt;TitreJust&gt;}{\rtlch\fcs1 \af0 \ltrch\fcs0 \insrsid14180649\charrsid16713478 Justification}{\rtlch\fcs1 \af0 \ltrch\fcs0 _x000d__x000a_\cs15\i0\v\f1\fs20\cf9\insrsid14180649\charrsid16713478 &lt;/TitreJust&gt;}{\rtlch\fcs1 \af0 \ltrch\fcs0 \insrsid14180649\charrsid16713478 _x000d__x000a_\par }\pard\plain \ltrpar\s20\ql \li0\ri0\sa240\nowidctlpar\wrapdefault\aspalpha\aspnum\faauto\adjustright\rin0\lin0\itap0\pararsid14180649 \rtlch\fcs1 \af0\afs20\alang1025 \ltrch\fcs0 \i\fs24\lang2057\langfe2057\cgrid\langnp2057\langfenp2057 {\rtlch\fcs1 _x000d__x000a_\af0 \ltrch\fcs0 \cs15\i0\v\f1\fs20\cf9\insrsid14180649\charrsid16713478 &lt;OptDelPrev&gt;}{\rtlch\fcs1 \af0 \ltrch\fcs0 \insrsid14180649\charrsid16713478 #}{\rtlch\fcs1 \af0 \ltrch\fcs0 \cs22\v\cf15\insrsid14180649\charrsid16713478 _x000d__x000a_MNU[TEXTJUSTYES][TEXTJUSTNO]@CHOICE@}{\rtlch\fcs1 \af0 \ltrch\fcs0 \insrsid14180649\charrsid16713478 #}{\rtlch\fcs1 \af0 \ltrch\fcs0 \cs15\i0\v\f1\fs20\cf9\insrsid14180649\charrsid16713478 &lt;/OptDelPrev&gt;}{\rtlch\fcs1 \af0 \ltrch\fcs0 _x000d__x000a_\insrsid14180649\charrsid16713478 _x000d__x000a_\par }\pard\plain \ltrpar\ql \li0\ri0\widctlpar\wrapdefault\aspalpha\aspnum\faauto\adjustright\rin0\lin0\itap0\pararsid14180649 \rtlch\fcs1 \af0\afs20\alang1025 \ltrch\fcs0 \fs24\lang2057\langfe2057\cgrid\langnp2057\langfenp2057 {\rtlch\fcs1 \af0 \ltrch\fcs0 _x000d__x000a_\cs15\v\f1\fs20\cf9\insrsid14180649\charrsid16713478 &lt;/}{\rtlch\fcs1 \af0 \ltrch\fcs0 \cs15\v\f1\fs20\cf9\insrsid14180649 Amend}{\rtlch\fcs1 \af0 \ltrch\fcs0 \cs15\v\f1\fs20\cf9\insrsid14180649\charrsid16713478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33_x000d__x000a_3037f14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1036\deflangfe1036\themelang1036\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6\langfe1036\cgrid\langnp1036\langfenp1036 \snext11 \ssemihidden \spriority0 Normal Table;}{\*\cs15 \additive _x000d__x000a_\v\f1\fs20\cf9\lang1024\langfe1024\noproof \spriority0 \styrsid7550552 HideTWBExt;}{\s16\ql \li0\ri0\sa120\nowidctlpar\wrapdefault\aspalpha\aspnum\faauto\adjustright\rin0\lin0\itap0 \rtlch\fcs1 \af0\afs20\alang1025 \ltrch\fcs0 _x000d__x000a_\fs24\lang2057\langfe2057\cgrid\langnp2057\langfenp2057 \sbasedon0 \snext16 \slink17 \spriority0 \styrsid7550552 Normal6;}{\*\cs17 \additive \fs24\lang2057\langfe2057\langnp2057\langfenp2057 \slink16 \slocked \spriority0 \styrsid7550552 Normal6 Char;}{_x000d__x000a_\s18\ql \li0\ri0\nowidctlpar\wrapdefault\aspalpha\aspnum\faauto\adjustright\rin0\lin0\itap0 \rtlch\fcs1 \af0\afs20\alang1025 \ltrch\fcs0 \b\fs24\lang2057\langfe2057\cgrid\langnp2057\langfenp2057 \sbasedon0 \snext18 \slink19 \spriority0 \styrsid7550552 _x000d__x000a_NormalBold;}{\*\cs19 \additive \b\fs24\lang2057\langfe2057\langnp2057\langfenp2057 \slink18 \slocked \spriority0 \styrsid7550552 NormalBold Char;}{\s20\ql \li0\ri0\sa240\nowidctlpar\wrapdefault\aspalpha\aspnum\faauto\adjustright\rin0\lin0\itap0 _x000d__x000a_\rtlch\fcs1 \af0\afs20\alang1025 \ltrch\fcs0 \i\fs24\lang2057\langfe2057\cgrid\langnp2057\langfenp2057 \sbasedon0 \snext20 \spriority0 \styrsid7550552 Normal12Italic;}{_x000d__x000a_\s21\qc \li0\ri0\sb240\sa240\keepn\nowidctlpar\wrapdefault\aspalpha\aspnum\faauto\adjustright\rin0\lin0\itap0 \rtlch\fcs1 \af0\afs20\alang1025 \ltrch\fcs0 \i\fs24\lang2057\langfe2057\cgrid\langnp2057\langfenp2057 _x000d__x000a_\sbasedon0 \snext0 \spriority0 \styrsid7550552 JustificationTitle;}{\s22\qc \li0\ri0\sa240\nowidctlpar\wrapdefault\aspalpha\aspnum\faauto\adjustright\rin0\lin0\itap0 \rtlch\fcs1 \af0\afs20\alang1025 \ltrch\fcs0 _x000d__x000a_\i\fs24\lang2057\langfe2057\cgrid\langnp2057\langfenp2057 \sbasedon0 \snext22 \spriority0 \styrsid7550552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7550552 AMNumberTabs;}{\s24\ql \li0\ri0\sb240\nowidctlpar\wrapdefault\aspalpha\aspnum\faauto\adjustright\rin0\lin0\itap0 \rtlch\fcs1 _x000d__x000a_\af0\afs20\alang1025 \ltrch\fcs0 \b\fs24\lang2057\langfe2057\cgrid\langnp2057\langfenp2057 \sbasedon0 \snext24 \spriority0 \styrsid7550552 NormalBold12b;}}{\*\rsidtbl \rsid24658\rsid735077\rsid2892074\rsid3605892\rsid4666813\rsid6641733\rsid7550552_x000d__x000a_\rsid9636012\rsid11215221\rsid12154954\rsid14424199\rsid15204470\rsid15285974\rsid15950462\rsid16324206\rsid16662270}{\mmathPr\mmathFont34\mbrkBin0\mbrkBinSub0\msmallFrac0\mdispDef1\mlMargin0\mrMargin0\mdefJc1\mwrapIndent1440\mintLim0\mnaryLim1}{\info_x000d__x000a_{\author BOIGUES NAVARRO Josep}{\operator BOIGUES NAVARRO Josep}{\creatim\yr2018\mo12\dy5\hr12\min26}{\revtim\yr2018\mo12\dy5\hr12\min26}{\version1}{\edmins0}{\nofpages1}{\nofwords36}{\nofchars204}{\*\company European Parliament}{\nofcharsws239}{\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550552\utinl \fet0{\*\wgrffmtfilter 013f}\ilfomacatclnup0{\*\template C:\\Users\\jboigues\\AppData\\Local\\Temp\\Blank1.dot}{\*\ftnsep \ltrpar \pard\plain \ltrpar_x000d__x000a_\ql \li0\ri0\widctlpar\wrapdefault\aspalpha\aspnum\faauto\adjustright\rin0\lin0\itap0 \rtlch\fcs1 \af0\afs20\alang1025 \ltrch\fcs0 \fs24\lang2057\langfe2057\cgrid\langnp2057\langfenp2057 {\rtlch\fcs1 \af0 \ltrch\fcs0 \insrsid3605892 \chftnsep _x000d__x000a_\par }}{\*\ftnsepc \ltrpar \pard\plain \ltrpar\ql \li0\ri0\widctlpar\wrapdefault\aspalpha\aspnum\faauto\adjustright\rin0\lin0\itap0 \rtlch\fcs1 \af0\afs20\alang1025 \ltrch\fcs0 \fs24\lang2057\langfe2057\cgrid\langnp2057\langfenp2057 {\rtlch\fcs1 \af0 _x000d__x000a_\ltrch\fcs0 \insrsid3605892 \chftnsepc _x000d__x000a_\par }}{\*\aftnsep \ltrpar \pard\plain \ltrpar\ql \li0\ri0\widctlpar\wrapdefault\aspalpha\aspnum\faauto\adjustright\rin0\lin0\itap0 \rtlch\fcs1 \af0\afs20\alang1025 \ltrch\fcs0 \fs24\lang2057\langfe2057\cgrid\langnp2057\langfenp2057 {\rtlch\fcs1 \af0 _x000d__x000a_\ltrch\fcs0 \insrsid3605892 \chftnsep _x000d__x000a_\par }}{\*\aftnsepc \ltrpar \pard\plain \ltrpar\ql \li0\ri0\widctlpar\wrapdefault\aspalpha\aspnum\faauto\adjustright\rin0\lin0\itap0 \rtlch\fcs1 \af0\afs20\alang1025 \ltrch\fcs0 \fs24\lang2057\langfe2057\cgrid\langnp2057\langfenp2057 {\rtlch\fcs1 \af0 _x000d__x000a_\ltrch\fcs0 \insrsid360589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7550552 \rtlch\fcs1 \af0\afs20\alang1025 \ltrch\fcs0 \b\fs24\lang2057\langfe2057\cgrid\langnp2057\langfenp2057 {\rtlch\fcs1 \af0 \ltrch\fcs0 \cs15\b0\v\f1\fs20\cf9\insrsid7550552\charrsid15879488 {\*\bkmkstart restartA}&lt;AmendA&gt;}{_x000d__x000a_\rtlch\fcs1 \af0 \ltrch\fcs0 \insrsid7550552\charrsid15879488 [ZAMENDMENT]\tab \tab }{\rtlch\fcs1 \af0 \ltrch\fcs0 \cs15\b0\v\f1\fs20\cf9\insrsid7550552\charrsid15879488 &lt;NumAmA&gt;}{\rtlch\fcs1 \af0 \ltrch\fcs0 \insrsid7550552\charrsid15879488 [ZNRAM]}{_x000d__x000a_\rtlch\fcs1 \af0 \ltrch\fcs0 \cs15\b0\v\f1\fs20\cf9\insrsid7550552\charrsid15879488 &lt;/NumAmA&gt;}{\rtlch\fcs1 \af0 \ltrch\fcs0 \insrsid7550552\charrsid15879488 _x000d__x000a_\par }\pard\plain \ltrpar\s24\ql \li0\ri0\sb240\keepn\nowidctlpar\wrapdefault\aspalpha\aspnum\faauto\adjustright\rin0\lin0\itap0\pararsid7550552 \rtlch\fcs1 \af0\afs20\alang1025 \ltrch\fcs0 \b\fs24\lang2057\langfe2057\cgrid\langnp2057\langfenp2057 {_x000d__x000a_\rtlch\fcs1 \af0 \ltrch\fcs0 \cs15\b0\v\f1\fs20\cf9\insrsid7550552\charrsid15879488 &lt;DocAmend&gt;}{\rtlch\fcs1 \af0 \ltrch\fcs0 \insrsid7550552\charrsid15879488 [ZRESOLUTION]}{\rtlch\fcs1 \af0 \ltrch\fcs0 _x000d__x000a_\cs15\b0\v\f1\fs20\cf9\insrsid7550552\charrsid15879488 &lt;/DocAmend&gt;}{\rtlch\fcs1 \af0 \ltrch\fcs0 \insrsid7550552\charrsid15879488 _x000d__x000a_\par }\pard\plain \ltrpar\s18\ql \li0\ri0\nowidctlpar\wrapdefault\aspalpha\aspnum\faauto\adjustright\rin0\lin0\itap0\pararsid7550552 \rtlch\fcs1 \af0\afs20\alang1025 \ltrch\fcs0 \b\fs24\lang2057\langfe2057\cgrid\langnp2057\langfenp2057 {\rtlch\fcs1 \af0 _x000d__x000a_\ltrch\fcs0 \cs15\b0\v\f1\fs20\cf9\insrsid7550552\charrsid15879488 &lt;Article&gt;}{\rtlch\fcs1 \af0 \ltrch\fcs0 \insrsid7550552\charrsid15879488 [ZRESPART]}{\rtlch\fcs1 \af0 \ltrch\fcs0 \cs15\b0\v\f1\fs20\cf9\insrsid7550552\charrsid15879488 &lt;/Article&gt;}{_x000d__x000a_\rtlch\fcs1 \af0 \ltrch\fcs0 \cs19\b0\insrsid7550552\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7550552\charrsid15879488 \cell }\pard \ltrpar\ql \li0\ri0\widctlpar\intbl\wrapdefault\aspalpha\aspnum\faauto\adjustright\rin0\lin0 {\rtlch\fcs1 \af0 \ltrch\fcs0 _x000d__x000a_\insrsid7550552\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7550552\charrsid15879488 [ZLEFTA]\cell [ZRIGHT]\cell }\pard\plain \ltrpar\ql \li0\ri0\widctlpar\intbl\wrapdefault\aspalpha\aspnum\faauto\adjustright\rin0\lin0 \rtlch\fcs1 \af0\afs20\alang1025 \ltrch\fcs0 _x000d__x000a_\fs24\lang2057\langfe2057\cgrid\langnp2057\langfenp2057 {\rtlch\fcs1 \af0 \ltrch\fcs0 \insrsid7550552\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7550552\charrsid15879488 [ZTEXTL]\cell [ZTEXTR]}{\rtlch\fcs1 \af0\afs24 \ltrch\fcs0 \insrsid7550552\charrsid15879488 \cell }\pard\plain \ltrpar\ql \li0\ri0\widctlpar\intbl\wrapdefault\aspalpha\aspnum\faauto\adjustright\rin0\lin0 \rtlch\fcs1 _x000d__x000a_\af0\afs20\alang1025 \ltrch\fcs0 \fs24\lang2057\langfe2057\cgrid\langnp2057\langfenp2057 {\rtlch\fcs1 \af0 \ltrch\fcs0 \insrsid7550552\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7550552 \rtlch\fcs1 \af0\afs20\alang1025 \ltrch\fcs0 \i\fs24\lang2057\langfe2057\cgrid\langnp2057\langfenp2057 {\rtlch\fcs1 \af0 _x000d__x000a_\ltrch\fcs0 \cs15\i0\v\f1\fs20\cf9\insrsid7550552\charrsid15879488 &lt;TitreJust&gt;}{\rtlch\fcs1 \af0 \ltrch\fcs0 \insrsid7550552\charrsid15879488 [ZJUSTIFICATION]}{\rtlch\fcs1 \af0 \ltrch\fcs0 \cs15\i0\v\f1\fs20\cf9\insrsid7550552\charrsid15879488 _x000d__x000a_&lt;/TitreJust&gt;}{\rtlch\fcs1 \af0 \ltrch\fcs0 \insrsid7550552\charrsid15879488 _x000d__x000a_\par }\pard\plain \ltrpar\s20\ql \li0\ri0\sa240\nowidctlpar\wrapdefault\aspalpha\aspnum\faauto\adjustright\rin0\lin0\itap0\pararsid7550552 \rtlch\fcs1 \af0\afs20\alang1025 \ltrch\fcs0 \i\fs24\lang2057\langfe2057\cgrid\langnp2057\langfenp2057 {\rtlch\fcs1 \af0 _x000d__x000a_\ltrch\fcs0 \cs15\i0\v\f1\fs20\cf9\insrsid7550552\charrsid15879488 &lt;OptDelPrev&gt;}{\rtlch\fcs1 \af0 \ltrch\fcs0 \insrsid7550552\charrsid15879488 [ZTEXTJUST]}{\rtlch\fcs1 \af0 \ltrch\fcs0 \cs15\i0\v\f1\fs20\cf9\insrsid7550552\charrsid15879488 &lt;/OptDelPrev&gt;}{_x000d__x000a_\rtlch\fcs1 \af0 \ltrch\fcs0 \insrsid7550552\charrsid15879488 _x000d__x000a_\par }\pard\plain \ltrpar\ql \li0\ri0\widctlpar\wrapdefault\aspalpha\aspnum\faauto\adjustright\rin0\lin0\itap0\pararsid7550552 \rtlch\fcs1 \af0\afs20\alang1025 \ltrch\fcs0 \fs24\lang2057\langfe2057\cgrid\langnp2057\langfenp2057 {\rtlch\fcs1 \af0 \ltrch\fcs0 _x000d__x000a_\cs15\v\f1\fs20\cf9\insrsid7550552\charrsid15879488 &lt;/AmendA&gt;}{\rtlch\fcs1 \af0 \ltrch\fcs0 \insrsid7550552\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3c_x000d__x000a_47628d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36\deflangfe1036\themelang1036\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6\langfe1036\cgrid\langnp1036\langfenp1036 \snext11 \ssemihidden \spriority0 Normal Table;}{\*\cs15 \additive _x000d__x000a_\v\f1\fs20\cf9\lang1024\langfe1024\noproof \spriority0 \styrsid6118848 HideTWBExt;}{\s16\ql \li0\ri0\sa120\nowidctlpar\wrapdefault\aspalpha\aspnum\faauto\adjustright\rin0\lin0\itap0 \rtlch\fcs1 \af0\afs20\alang1025 \ltrch\fcs0 _x000d__x000a_\fs24\lang2057\langfe2057\cgrid\langnp2057\langfenp2057 \sbasedon0 \snext16 \slink17 \spriority0 \styrsid6118848 Normal6;}{\*\cs17 \additive \fs24\lang2057\langfe2057\langnp2057\langfenp2057 \slink16 \slocked \spriority0 \styrsid6118848 Normal6 Char;}{_x000d__x000a_\s18\ql \li0\ri0\nowidctlpar\wrapdefault\aspalpha\aspnum\faauto\adjustright\rin0\lin0\itap0 \rtlch\fcs1 \af0\afs20\alang1025 \ltrch\fcs0 \b\fs24\lang2057\langfe2057\cgrid\langnp2057\langfenp2057 \sbasedon0 \snext18 \slink19 \spriority0 \styrsid6118848 _x000d__x000a_NormalBold;}{\*\cs19 \additive \b\fs24\lang2057\langfe2057\langnp2057\langfenp2057 \slink18 \slocked \spriority0 \styrsid6118848 NormalBold Char;}{\s20\ql \li0\ri0\sa240\nowidctlpar\wrapdefault\aspalpha\aspnum\faauto\adjustright\rin0\lin0\itap0 _x000d__x000a_\rtlch\fcs1 \af0\afs20\alang1025 \ltrch\fcs0 \i\fs24\lang2057\langfe2057\cgrid\langnp2057\langfenp2057 \sbasedon0 \snext20 \spriority0 \styrsid6118848 Normal12Italic;}{_x000d__x000a_\s21\qc \li0\ri0\sb240\nowidctlpar\wrapdefault\aspalpha\aspnum\faauto\adjustright\rin0\lin0\itap0 \rtlch\fcs1 \af0\afs20\alang1025 \ltrch\fcs0 \i\fs24\lang2057\langfe2057\cgrid\langnp2057\langfenp2057 \sbasedon0 \snext21 \spriority0 \styrsid6118848 _x000d__x000a_CrossRef;}{\s22\qc \li0\ri0\sb240\sa240\keepn\nowidctlpar\wrapdefault\aspalpha\aspnum\faauto\adjustright\rin0\lin0\itap0 \rtlch\fcs1 \af0\afs20\alang1025 \ltrch\fcs0 \i\fs24\lang2057\langfe2057\cgrid\langnp2057\langfenp2057 _x000d__x000a_\sbasedon0 \snext0 \spriority0 \styrsid6118848 JustificationTitle;}{\s23\qc \li0\ri0\sa240\nowidctlpar\wrapdefault\aspalpha\aspnum\faauto\adjustright\rin0\lin0\itap0 \rtlch\fcs1 \af0\afs20\alang1025 \ltrch\fcs0 _x000d__x000a_\i\fs24\lang2057\langfe2057\cgrid\langnp2057\langfenp2057 \sbasedon0 \snext23 \spriority0 \styrsid6118848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6118848 AMNumberTabs;}{\s25\ql \li0\ri0\sb240\nowidctlpar\wrapdefault\aspalpha\aspnum\faauto\adjustright\rin0\lin0\itap0 \rtlch\fcs1 _x000d__x000a_\af0\afs20\alang1025 \ltrch\fcs0 \b\fs24\lang2057\langfe2057\cgrid\langnp2057\langfenp2057 \sbasedon0 \snext25 \spriority0 \styrsid6118848 NormalBold12b;}}{\*\rsidtbl \rsid24658\rsid735077\rsid2892074\rsid4666813\rsid6118848\rsid6641733\rsid7435067_x000d__x000a_\rsid9636012\rsid11215221\rsid12154954\rsid14424199\rsid15204470\rsid15285974\rsid15950462\rsid16324206\rsid16662270}{\mmathPr\mmathFont34\mbrkBin0\mbrkBinSub0\msmallFrac0\mdispDef1\mlMargin0\mrMargin0\mdefJc1\mwrapIndent1440\mintLim0\mnaryLim1}{\info_x000d__x000a_{\author BOIGUES NAVARRO Josep}{\operator BOIGUES NAVARRO Josep}{\creatim\yr2018\mo12\dy5\hr12\min26}{\revtim\yr2018\mo12\dy5\hr12\min26}{\version1}{\edmins0}{\nofpages1}{\nofwords57}{\nofchars315}{\*\company European Parliament}{\nofcharsws37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118848\utinl \fet0{\*\wgrffmtfilter 013f}\ilfomacatclnup0{\*\template C:\\Users\\jboigues\\AppData\\Local\\Temp\\Blank1.dot}{\*\ftnsep \ltrpar \pard\plain \ltrpar_x000d__x000a_\ql \li0\ri0\widctlpar\wrapdefault\aspalpha\aspnum\faauto\adjustright\rin0\lin0\itap0 \rtlch\fcs1 \af0\afs20\alang1025 \ltrch\fcs0 \fs24\lang2057\langfe2057\cgrid\langnp2057\langfenp2057 {\rtlch\fcs1 \af0 \ltrch\fcs0 \insrsid7435067 \chftnsep _x000d__x000a_\par }}{\*\ftnsepc \ltrpar \pard\plain \ltrpar\ql \li0\ri0\widctlpar\wrapdefault\aspalpha\aspnum\faauto\adjustright\rin0\lin0\itap0 \rtlch\fcs1 \af0\afs20\alang1025 \ltrch\fcs0 \fs24\lang2057\langfe2057\cgrid\langnp2057\langfenp2057 {\rtlch\fcs1 \af0 _x000d__x000a_\ltrch\fcs0 \insrsid7435067 \chftnsepc _x000d__x000a_\par }}{\*\aftnsep \ltrpar \pard\plain \ltrpar\ql \li0\ri0\widctlpar\wrapdefault\aspalpha\aspnum\faauto\adjustright\rin0\lin0\itap0 \rtlch\fcs1 \af0\afs20\alang1025 \ltrch\fcs0 \fs24\lang2057\langfe2057\cgrid\langnp2057\langfenp2057 {\rtlch\fcs1 \af0 _x000d__x000a_\ltrch\fcs0 \insrsid7435067 \chftnsep _x000d__x000a_\par }}{\*\aftnsepc \ltrpar \pard\plain \ltrpar\ql \li0\ri0\widctlpar\wrapdefault\aspalpha\aspnum\faauto\adjustright\rin0\lin0\itap0 \rtlch\fcs1 \af0\afs20\alang1025 \ltrch\fcs0 \fs24\lang2057\langfe2057\cgrid\langnp2057\langfenp2057 {\rtlch\fcs1 \af0 _x000d__x000a_\ltrch\fcs0 \insrsid743506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118848 \rtlch\fcs1 \af0\afs20\alang1025 \ltrch\fcs0 \b\fs24\lang2057\langfe2057\cgrid\langnp2057\langfenp2057 {\rtlch\fcs1 \af0 \ltrch\fcs0 \cs15\b0\v\f1\fs20\cf9\insrsid6118848\charrsid15879488 {\*\bkmkstart restartB}&lt;AmendB&gt;}{_x000d__x000a_\rtlch\fcs1 \af0 \ltrch\fcs0 \insrsid6118848\charrsid15879488 [ZAMENDMENT]\tab \tab }{\rtlch\fcs1 \af0 \ltrch\fcs0 \cs15\b0\v\f1\fs20\cf9\insrsid6118848\charrsid15879488 &lt;NumAmB&gt;}{\rtlch\fcs1 \af0 \ltrch\fcs0 \insrsid6118848\charrsid15879488 [ZNRAM]}{_x000d__x000a_\rtlch\fcs1 \af0 \ltrch\fcs0 \cs15\b0\v\f1\fs20\cf9\insrsid6118848\charrsid15879488 &lt;/NumAmB&gt;}{\rtlch\fcs1 \af0 \ltrch\fcs0 \insrsid6118848\charrsid15879488 _x000d__x000a_\par }\pard\plain \ltrpar\s25\ql \li0\ri0\sb240\keepn\nowidctlpar\wrapdefault\aspalpha\aspnum\faauto\adjustright\rin0\lin0\itap0\pararsid6118848 \rtlch\fcs1 \af0\afs20\alang1025 \ltrch\fcs0 \b\fs24\lang2057\langfe2057\cgrid\langnp2057\langfenp2057 {_x000d__x000a_\rtlch\fcs1 \af0 \ltrch\fcs0 \cs15\b0\v\f1\fs20\cf9\insrsid6118848\charrsid15879488 &lt;DocAmend&gt;}{\rtlch\fcs1 \af0 \ltrch\fcs0 \insrsid6118848\charrsid15879488 [ZPROPOSAL][ZAMACT]}{\rtlch\fcs1 \af0 \ltrch\fcs0 _x000d__x000a_\cs15\b0\v\f1\fs20\cf9\insrsid6118848\charrsid15879488 &lt;/DocAmend&gt;}{\rtlch\fcs1 \af0 \ltrch\fcs0 \insrsid6118848\charrsid15879488 _x000d__x000a_\par }\pard\plain \ltrpar\s18\ql \li0\ri0\keepn\nowidctlpar\wrapdefault\aspalpha\aspnum\faauto\adjustright\rin0\lin0\itap0\pararsid6118848 \rtlch\fcs1 \af0\afs20\alang1025 \ltrch\fcs0 \b\fs24\lang2057\langfe2057\cgrid\langnp2057\langfenp2057 {\rtlch\fcs1 \af0 _x000d__x000a_\ltrch\fcs0 \cs15\b0\v\f1\fs20\cf9\insrsid6118848\charrsid15879488 &lt;Article&gt;}{\rtlch\fcs1 \af0 \ltrch\fcs0 \insrsid6118848\charrsid15879488 [ZAMPART]}{\rtlch\fcs1 \af0 \ltrch\fcs0 \cs15\b0\v\f1\fs20\cf9\insrsid6118848\charrsid15879488 &lt;/Article&gt;}{_x000d__x000a_\rtlch\fcs1 \af0 \ltrch\fcs0 \insrsid6118848\charrsid15879488 _x000d__x000a_\par }\pard\plain \ltrpar\ql \li0\ri0\keepn\widctlpar\wrapdefault\aspalpha\aspnum\faauto\adjustright\rin0\lin0\itap0\pararsid6118848 \rtlch\fcs1 \af0\afs20\alang1025 \ltrch\fcs0 \fs24\lang2057\langfe2057\cgrid\langnp2057\langfenp2057 {\rtlch\fcs1 \af0 _x000d__x000a_\ltrch\fcs0 \cs15\v\f1\fs20\cf9\insrsid6118848\charrsid15879488 &lt;DocAmend2&gt;&lt;OptDel&gt;}{\rtlch\fcs1 \af0 \ltrch\fcs0 \insrsid6118848\charrsid15879488 [ZNRACT]}{\rtlch\fcs1 \af0 \ltrch\fcs0 \cs15\v\f1\fs20\cf9\insrsid6118848\charrsid15879488 _x000d__x000a_&lt;/OptDel&gt;&lt;/DocAmend2&gt;}{\rtlch\fcs1 \af0 \ltrch\fcs0 \insrsid6118848\charrsid15879488 _x000d__x000a_\par }\pard \ltrpar\ql \li0\ri0\widctlpar\wrapdefault\aspalpha\aspnum\faauto\adjustright\rin0\lin0\itap0\pararsid6118848 {\rtlch\fcs1 \af0 \ltrch\fcs0 \cs15\v\f1\fs20\cf9\insrsid6118848\charrsid15879488 &lt;Article2&gt;&lt;OptDel&gt;}{\rtlch\fcs1 \af0 \ltrch\fcs0 _x000d__x000a_\insrsid6118848\charrsid15879488 [ZACTPART]}{\rtlch\fcs1 \af0 \ltrch\fcs0 \cs15\v\f1\fs20\cf9\insrsid6118848\charrsid15879488 &lt;/OptDel&gt;&lt;/Article2&gt;}{\rtlch\fcs1 \af0 \ltrch\fcs0 \insrsid6118848\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6118848\charrsid15879488 \cell }\pard \ltrpar\ql \li0\ri0\widctlpar\intbl\wrapdefault\aspalpha\aspnum\faauto\adjustright\rin0\lin0 {\rtlch\fcs1 \af0 \ltrch\fcs0 \insrsid6118848\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6118848\charrsid15879488 [ZLEFTB]\cell [ZRIGHT]\cell }\pard\plain \ltrpar\ql \li0\ri0\widctlpar\intbl\wrapdefault\aspalpha\aspnum\faauto\adjustright\rin0\lin0 \rtlch\fcs1 \af0\afs20\alang1025 \ltrch\fcs0 _x000d__x000a_\fs24\lang2057\langfe2057\cgrid\langnp2057\langfenp2057 {\rtlch\fcs1 \af0 \ltrch\fcs0 \insrsid6118848\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6118848\charrsid15879488 [ZTEXTL]\cell [ZTEXTR]}{\rtlch\fcs1 \af0\afs24 \ltrch\fcs0 \insrsid6118848\charrsid15879488 \cell }\pard\plain \ltrpar\ql \li0\ri0\widctlpar\intbl\wrapdefault\aspalpha\aspnum\faauto\adjustright\rin0\lin0 \rtlch\fcs1 _x000d__x000a_\af0\afs20\alang1025 \ltrch\fcs0 \fs24\lang2057\langfe2057\cgrid\langnp2057\langfenp2057 {\rtlch\fcs1 \af0 \ltrch\fcs0 \insrsid6118848\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6118848 \rtlch\fcs1 \af0\afs20\alang1025 \ltrch\fcs0 \i\fs24\lang2057\langfe2057\cgrid\langnp2057\langfenp2057 {\rtlch\fcs1 \af0 \ltrch\fcs0 _x000d__x000a_\cs15\i0\v\f1\fs20\cf9\insrsid6118848\charrsid15879488 &lt;OptDel&gt;}{\rtlch\fcs1 \af0 \ltrch\fcs0 \insrsid6118848\charrsid15879488 [ZCROSSREF]}{\rtlch\fcs1 \af0 \ltrch\fcs0 \cs15\i0\v\f1\fs20\cf9\insrsid6118848\charrsid15879488 &lt;/OptDel&gt;}{\rtlch\fcs1 \af0 _x000d__x000a_\ltrch\fcs0 \insrsid6118848\charrsid15879488 _x000d__x000a_\par }\pard\plain \ltrpar\s22\qc \li0\ri0\sb240\sa240\keepn\nowidctlpar\wrapdefault\aspalpha\aspnum\faauto\adjustright\rin0\lin0\itap0\pararsid6118848 \rtlch\fcs1 \af0\afs20\alang1025 \ltrch\fcs0 \i\fs24\lang2057\langfe2057\cgrid\langnp2057\langfenp2057 {_x000d__x000a_\rtlch\fcs1 \af0 \ltrch\fcs0 \cs15\i0\v\f1\fs20\cf9\insrsid6118848\charrsid15879488 &lt;TitreJust&gt;}{\rtlch\fcs1 \af0 \ltrch\fcs0 \insrsid6118848\charrsid15879488 [ZJUSTIFICATION]}{\rtlch\fcs1 \af0 \ltrch\fcs0 _x000d__x000a_\cs15\i0\v\f1\fs20\cf9\insrsid6118848\charrsid15879488 &lt;/TitreJust&gt;}{\rtlch\fcs1 \af0 \ltrch\fcs0 \insrsid6118848\charrsid15879488 _x000d__x000a_\par }\pard\plain \ltrpar\s20\ql \li0\ri0\sa240\nowidctlpar\wrapdefault\aspalpha\aspnum\faauto\adjustright\rin0\lin0\itap0\pararsid6118848 \rtlch\fcs1 \af0\afs20\alang1025 \ltrch\fcs0 \i\fs24\lang2057\langfe2057\cgrid\langnp2057\langfenp2057 {\rtlch\fcs1 \af0 _x000d__x000a_\ltrch\fcs0 \cs15\i0\v\f1\fs20\cf9\insrsid6118848\charrsid15879488 &lt;OptDelPrev&gt;}{\rtlch\fcs1 \af0 \ltrch\fcs0 \insrsid6118848\charrsid15879488 [ZTEXTJUST]}{\rtlch\fcs1 \af0 \ltrch\fcs0 \cs15\i0\v\f1\fs20\cf9\insrsid6118848\charrsid15879488 &lt;/OptDelPrev&gt;}{_x000d__x000a_\rtlch\fcs1 \af0 \ltrch\fcs0 \insrsid6118848\charrsid15879488 _x000d__x000a_\par }\pard\plain \ltrpar\ql \li0\ri0\widctlpar\wrapdefault\aspalpha\aspnum\faauto\adjustright\rin0\lin0\itap0\pararsid6118848 \rtlch\fcs1 \af0\afs20\alang1025 \ltrch\fcs0 \fs24\lang2057\langfe2057\cgrid\langnp2057\langfenp2057 {\rtlch\fcs1 \af0 \ltrch\fcs0 _x000d__x000a_\cs15\v\f1\fs20\cf9\insrsid6118848\charrsid15879488 &lt;/AmendB&gt;}{\rtlch\fcs1 \af0 \ltrch\fcs0 \insrsid6118848\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77_x000d__x000a_8d638d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36\deflangfe1036\themelang1036\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6\langfe1036\cgrid\langnp1036\langfenp1036 \snext11 \ssemihidden \spriority0 Normal Table;}{\*\cs15 \additive _x000d__x000a_\v\f1\fs20\cf9\lang1024\langfe1024\noproof \spriority0 \styrsid7544553 HideTWBExt;}{\s16\ql \li0\ri0\sa120\nowidctlpar\wrapdefault\aspalpha\aspnum\faauto\adjustright\rin0\lin0\itap0 \rtlch\fcs1 \af0\afs20\alang1025 \ltrch\fcs0 _x000d__x000a_\fs24\lang2057\langfe2057\cgrid\langnp2057\langfenp2057 \sbasedon0 \snext16 \slink17 \spriority0 \styrsid7544553 Normal6;}{\*\cs17 \additive \fs24\lang2057\langfe2057\langnp2057\langfenp2057 \slink16 \slocked \spriority0 \styrsid7544553 Normal6 Char;}{_x000d__x000a_\s18\ql \li0\ri0\nowidctlpar\wrapdefault\aspalpha\aspnum\faauto\adjustright\rin0\lin0\itap0 \rtlch\fcs1 \af0\afs20\alang1025 \ltrch\fcs0 \b\fs24\lang2057\langfe2057\cgrid\langnp2057\langfenp2057 \sbasedon0 \snext18 \slink19 \spriority0 \styrsid7544553 _x000d__x000a_NormalBold;}{\*\cs19 \additive \b\fs24\lang2057\langfe2057\langnp2057\langfenp2057 \slink18 \slocked \spriority0 \styrsid7544553 NormalBold Char;}{\s20\ql \li0\ri0\sa240\nowidctlpar\wrapdefault\aspalpha\aspnum\faauto\adjustright\rin0\lin0\itap0 _x000d__x000a_\rtlch\fcs1 \af0\afs20\alang1025 \ltrch\fcs0 \i\fs24\lang2057\langfe2057\cgrid\langnp2057\langfenp2057 \sbasedon0 \snext20 \spriority0 \styrsid7544553 Normal12Italic;}{_x000d__x000a_\s21\qc \li0\ri0\sb240\nowidctlpar\wrapdefault\aspalpha\aspnum\faauto\adjustright\rin0\lin0\itap0 \rtlch\fcs1 \af0\afs20\alang1025 \ltrch\fcs0 \i\fs24\lang2057\langfe2057\cgrid\langnp2057\langfenp2057 \sbasedon0 \snext21 \spriority0 \styrsid7544553 _x000d__x000a_CrossRef;}{\s22\qc \li0\ri0\sb240\sa240\keepn\nowidctlpar\wrapdefault\aspalpha\aspnum\faauto\adjustright\rin0\lin0\itap0 \rtlch\fcs1 \af0\afs20\alang1025 \ltrch\fcs0 \i\fs24\lang2057\langfe2057\cgrid\langnp2057\langfenp2057 _x000d__x000a_\sbasedon0 \snext0 \spriority0 \styrsid7544553 JustificationTitle;}{\s23\qc \li0\ri0\sa240\nowidctlpar\wrapdefault\aspalpha\aspnum\faauto\adjustright\rin0\lin0\itap0 \rtlch\fcs1 \af0\afs20\alang1025 \ltrch\fcs0 _x000d__x000a_\i\fs24\lang2057\langfe2057\cgrid\langnp2057\langfenp2057 \sbasedon0 \snext23 \spriority0 \styrsid7544553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7544553 AMNumberTabs;}{\s25\ql \li0\ri0\sb240\nowidctlpar\wrapdefault\aspalpha\aspnum\faauto\adjustright\rin0\lin0\itap0 \rtlch\fcs1 _x000d__x000a_\af0\afs20\alang1025 \ltrch\fcs0 \b\fs24\lang2057\langfe2057\cgrid\langnp2057\langfenp2057 \sbasedon0 \snext25 \spriority0 \styrsid7544553 NormalBold12b;}}{\*\rsidtbl \rsid24658\rsid735077\rsid1769963\rsid2892074\rsid4666813\rsid6641733\rsid7544553_x000d__x000a_\rsid9636012\rsid11215221\rsid12154954\rsid14424199\rsid15204470\rsid15285974\rsid15950462\rsid16324206\rsid16662270}{\mmathPr\mmathFont34\mbrkBin0\mbrkBinSub0\msmallFrac0\mdispDef1\mlMargin0\mrMargin0\mdefJc1\mwrapIndent1440\mintLim0\mnaryLim1}{\info_x000d__x000a_{\author BOIGUES NAVARRO Josep}{\operator BOIGUES NAVARRO Josep}{\creatim\yr2018\mo12\dy5\hr12\min26}{\revtim\yr2018\mo12\dy5\hr12\min26}{\version1}{\edmins0}{\nofpages1}{\nofwords57}{\nofchars315}{\*\company European Parliament}{\nofcharsws371}{\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544553\utinl \fet0{\*\wgrffmtfilter 013f}\ilfomacatclnup0{\*\template C:\\Users\\jboigues\\AppData\\Local\\Temp\\Blank1.dot}{\*\ftnsep \ltrpar \pard\plain \ltrpar_x000d__x000a_\ql \li0\ri0\widctlpar\wrapdefault\aspalpha\aspnum\faauto\adjustright\rin0\lin0\itap0 \rtlch\fcs1 \af0\afs20\alang1025 \ltrch\fcs0 \fs24\lang2057\langfe2057\cgrid\langnp2057\langfenp2057 {\rtlch\fcs1 \af0 \ltrch\fcs0 \insrsid1769963 \chftnsep _x000d__x000a_\par }}{\*\ftnsepc \ltrpar \pard\plain \ltrpar\ql \li0\ri0\widctlpar\wrapdefault\aspalpha\aspnum\faauto\adjustright\rin0\lin0\itap0 \rtlch\fcs1 \af0\afs20\alang1025 \ltrch\fcs0 \fs24\lang2057\langfe2057\cgrid\langnp2057\langfenp2057 {\rtlch\fcs1 \af0 _x000d__x000a_\ltrch\fcs0 \insrsid1769963 \chftnsepc _x000d__x000a_\par }}{\*\aftnsep \ltrpar \pard\plain \ltrpar\ql \li0\ri0\widctlpar\wrapdefault\aspalpha\aspnum\faauto\adjustright\rin0\lin0\itap0 \rtlch\fcs1 \af0\afs20\alang1025 \ltrch\fcs0 \fs24\lang2057\langfe2057\cgrid\langnp2057\langfenp2057 {\rtlch\fcs1 \af0 _x000d__x000a_\ltrch\fcs0 \insrsid1769963 \chftnsep _x000d__x000a_\par }}{\*\aftnsepc \ltrpar \pard\plain \ltrpar\ql \li0\ri0\widctlpar\wrapdefault\aspalpha\aspnum\faauto\adjustright\rin0\lin0\itap0 \rtlch\fcs1 \af0\afs20\alang1025 \ltrch\fcs0 \fs24\lang2057\langfe2057\cgrid\langnp2057\langfenp2057 {\rtlch\fcs1 \af0 _x000d__x000a_\ltrch\fcs0 \insrsid176996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7544553 \rtlch\fcs1 \af0\afs20\alang1025 \ltrch\fcs0 \b\fs24\lang2057\langfe2057\cgrid\langnp2057\langfenp2057 {\rtlch\fcs1 \af0 \ltrch\fcs0 \cs15\b0\v\f1\fs20\cf9\insrsid7544553\charrsid15879488 {\*\bkmkstart restartB}&lt;AmendB&gt;}{_x000d__x000a_\rtlch\fcs1 \af0 \ltrch\fcs0 \insrsid7544553\charrsid15879488 [ZAMENDMENT]\tab \tab }{\rtlch\fcs1 \af0 \ltrch\fcs0 \cs15\b0\v\f1\fs20\cf9\insrsid7544553\charrsid15879488 &lt;NumAmB&gt;}{\rtlch\fcs1 \af0 \ltrch\fcs0 \insrsid7544553\charrsid15879488 [ZNRAM]}{_x000d__x000a_\rtlch\fcs1 \af0 \ltrch\fcs0 \cs15\b0\v\f1\fs20\cf9\insrsid7544553\charrsid15879488 &lt;/NumAmB&gt;}{\rtlch\fcs1 \af0 \ltrch\fcs0 \insrsid7544553\charrsid15879488 _x000d__x000a_\par }\pard\plain \ltrpar\s25\ql \li0\ri0\sb240\keepn\nowidctlpar\wrapdefault\aspalpha\aspnum\faauto\adjustright\rin0\lin0\itap0\pararsid7544553 \rtlch\fcs1 \af0\afs20\alang1025 \ltrch\fcs0 \b\fs24\lang2057\langfe2057\cgrid\langnp2057\langfenp2057 {_x000d__x000a_\rtlch\fcs1 \af0 \ltrch\fcs0 \cs15\b0\v\f1\fs20\cf9\insrsid7544553\charrsid15879488 &lt;DocAmend&gt;}{\rtlch\fcs1 \af0 \ltrch\fcs0 \insrsid7544553\charrsid15879488 [ZPROPOSAL][ZAMACT]}{\rtlch\fcs1 \af0 \ltrch\fcs0 _x000d__x000a_\cs15\b0\v\f1\fs20\cf9\insrsid7544553\charrsid15879488 &lt;/DocAmend&gt;}{\rtlch\fcs1 \af0 \ltrch\fcs0 \insrsid7544553\charrsid15879488 _x000d__x000a_\par }\pard\plain \ltrpar\s18\ql \li0\ri0\keepn\nowidctlpar\wrapdefault\aspalpha\aspnum\faauto\adjustright\rin0\lin0\itap0\pararsid7544553 \rtlch\fcs1 \af0\afs20\alang1025 \ltrch\fcs0 \b\fs24\lang2057\langfe2057\cgrid\langnp2057\langfenp2057 {\rtlch\fcs1 \af0 _x000d__x000a_\ltrch\fcs0 \cs15\b0\v\f1\fs20\cf9\insrsid7544553\charrsid15879488 &lt;Article&gt;}{\rtlch\fcs1 \af0 \ltrch\fcs0 \insrsid7544553\charrsid15879488 [ZAMPART]}{\rtlch\fcs1 \af0 \ltrch\fcs0 \cs15\b0\v\f1\fs20\cf9\insrsid7544553\charrsid15879488 &lt;/Article&gt;}{_x000d__x000a_\rtlch\fcs1 \af0 \ltrch\fcs0 \insrsid7544553\charrsid15879488 _x000d__x000a_\par }\pard\plain \ltrpar\ql \li0\ri0\keepn\widctlpar\wrapdefault\aspalpha\aspnum\faauto\adjustright\rin0\lin0\itap0\pararsid7544553 \rtlch\fcs1 \af0\afs20\alang1025 \ltrch\fcs0 \fs24\lang2057\langfe2057\cgrid\langnp2057\langfenp2057 {\rtlch\fcs1 \af0 _x000d__x000a_\ltrch\fcs0 \cs15\v\f1\fs20\cf9\insrsid7544553\charrsid15879488 &lt;DocAmend2&gt;&lt;OptDel&gt;}{\rtlch\fcs1 \af0 \ltrch\fcs0 \insrsid7544553\charrsid15879488 [ZNRACT]}{\rtlch\fcs1 \af0 \ltrch\fcs0 \cs15\v\f1\fs20\cf9\insrsid7544553\charrsid15879488 _x000d__x000a_&lt;/OptDel&gt;&lt;/DocAmend2&gt;}{\rtlch\fcs1 \af0 \ltrch\fcs0 \insrsid7544553\charrsid15879488 _x000d__x000a_\par }\pard \ltrpar\ql \li0\ri0\widctlpar\wrapdefault\aspalpha\aspnum\faauto\adjustright\rin0\lin0\itap0\pararsid7544553 {\rtlch\fcs1 \af0 \ltrch\fcs0 \cs15\v\f1\fs20\cf9\insrsid7544553\charrsid15879488 &lt;Article2&gt;&lt;OptDel&gt;}{\rtlch\fcs1 \af0 \ltrch\fcs0 _x000d__x000a_\insrsid7544553\charrsid15879488 [ZACTPART]}{\rtlch\fcs1 \af0 \ltrch\fcs0 \cs15\v\f1\fs20\cf9\insrsid7544553\charrsid15879488 &lt;/OptDel&gt;&lt;/Article2&gt;}{\rtlch\fcs1 \af0 \ltrch\fcs0 \insrsid7544553\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7544553\charrsid15879488 \cell }\pard \ltrpar\ql \li0\ri0\widctlpar\intbl\wrapdefault\aspalpha\aspnum\faauto\adjustright\rin0\lin0 {\rtlch\fcs1 \af0 \ltrch\fcs0 \insrsid7544553\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7544553\charrsid15879488 [ZLEFTB]\cell [ZRIGHT]\cell }\pard\plain \ltrpar\ql \li0\ri0\widctlpar\intbl\wrapdefault\aspalpha\aspnum\faauto\adjustright\rin0\lin0 \rtlch\fcs1 \af0\afs20\alang1025 \ltrch\fcs0 _x000d__x000a_\fs24\lang2057\langfe2057\cgrid\langnp2057\langfenp2057 {\rtlch\fcs1 \af0 \ltrch\fcs0 \insrsid7544553\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7544553\charrsid15879488 [ZTEXTL]\cell [ZTEXTR]}{\rtlch\fcs1 \af0\afs24 \ltrch\fcs0 \insrsid7544553\charrsid15879488 \cell }\pard\plain \ltrpar\ql \li0\ri0\widctlpar\intbl\wrapdefault\aspalpha\aspnum\faauto\adjustright\rin0\lin0 \rtlch\fcs1 _x000d__x000a_\af0\afs20\alang1025 \ltrch\fcs0 \fs24\lang2057\langfe2057\cgrid\langnp2057\langfenp2057 {\rtlch\fcs1 \af0 \ltrch\fcs0 \insrsid7544553\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7544553 \rtlch\fcs1 \af0\afs20\alang1025 \ltrch\fcs0 \i\fs24\lang2057\langfe2057\cgrid\langnp2057\langfenp2057 {\rtlch\fcs1 \af0 \ltrch\fcs0 _x000d__x000a_\cs15\i0\v\f1\fs20\cf9\insrsid7544553\charrsid15879488 &lt;OptDel&gt;}{\rtlch\fcs1 \af0 \ltrch\fcs0 \insrsid7544553\charrsid15879488 [ZCROSSREF]}{\rtlch\fcs1 \af0 \ltrch\fcs0 \cs15\i0\v\f1\fs20\cf9\insrsid7544553\charrsid15879488 &lt;/OptDel&gt;}{\rtlch\fcs1 \af0 _x000d__x000a_\ltrch\fcs0 \insrsid7544553\charrsid15879488 _x000d__x000a_\par }\pard\plain \ltrpar\s22\qc \li0\ri0\sb240\sa240\keepn\nowidctlpar\wrapdefault\aspalpha\aspnum\faauto\adjustright\rin0\lin0\itap0\pararsid7544553 \rtlch\fcs1 \af0\afs20\alang1025 \ltrch\fcs0 \i\fs24\lang2057\langfe2057\cgrid\langnp2057\langfenp2057 {_x000d__x000a_\rtlch\fcs1 \af0 \ltrch\fcs0 \cs15\i0\v\f1\fs20\cf9\insrsid7544553\charrsid15879488 &lt;TitreJust&gt;}{\rtlch\fcs1 \af0 \ltrch\fcs0 \insrsid7544553\charrsid15879488 [ZJUSTIFICATION]}{\rtlch\fcs1 \af0 \ltrch\fcs0 _x000d__x000a_\cs15\i0\v\f1\fs20\cf9\insrsid7544553\charrsid15879488 &lt;/TitreJust&gt;}{\rtlch\fcs1 \af0 \ltrch\fcs0 \insrsid7544553\charrsid15879488 _x000d__x000a_\par }\pard\plain \ltrpar\s20\ql \li0\ri0\sa240\nowidctlpar\wrapdefault\aspalpha\aspnum\faauto\adjustright\rin0\lin0\itap0\pararsid7544553 \rtlch\fcs1 \af0\afs20\alang1025 \ltrch\fcs0 \i\fs24\lang2057\langfe2057\cgrid\langnp2057\langfenp2057 {\rtlch\fcs1 \af0 _x000d__x000a_\ltrch\fcs0 \cs15\i0\v\f1\fs20\cf9\insrsid7544553\charrsid15879488 &lt;OptDelPrev&gt;}{\rtlch\fcs1 \af0 \ltrch\fcs0 \insrsid7544553\charrsid15879488 [ZTEXTJUST]}{\rtlch\fcs1 \af0 \ltrch\fcs0 \cs15\i0\v\f1\fs20\cf9\insrsid7544553\charrsid15879488 &lt;/OptDelPrev&gt;}{_x000d__x000a_\rtlch\fcs1 \af0 \ltrch\fcs0 \insrsid7544553\charrsid15879488 _x000d__x000a_\par }\pard\plain \ltrpar\ql \li0\ri0\widctlpar\wrapdefault\aspalpha\aspnum\faauto\adjustright\rin0\lin0\itap0\pararsid7544553 \rtlch\fcs1 \af0\afs20\alang1025 \ltrch\fcs0 \fs24\lang2057\langfe2057\cgrid\langnp2057\langfenp2057 {\rtlch\fcs1 \af0 \ltrch\fcs0 _x000d__x000a_\cs15\v\f1\fs20\cf9\insrsid7544553\charrsid15879488 &lt;/AmendB&gt;}{\rtlch\fcs1 \af0 \ltrch\fcs0 \insrsid7544553\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3b_x000d__x000a_ee608d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168"/>
    <w:docVar w:name="TITLECODMNU" w:val=" 1"/>
    <w:docVar w:name="TXTLANGUE" w:val="FR"/>
    <w:docVar w:name="TXTLANGUEMIN" w:val="fr"/>
    <w:docVar w:name="TXTNRC" w:val="0230/2018"/>
    <w:docVar w:name="TXTNRCOM" w:val="COM(2018)0375"/>
    <w:docVar w:name="TXTNRFIRSTAM" w:val="1"/>
    <w:docVar w:name="TXTNRLASTAM" w:val="10"/>
    <w:docVar w:name="TXTNRPE" w:val="627.592"/>
    <w:docVar w:name="TXTNRPROC" w:val="2018/0196"/>
    <w:docVar w:name="TXTPEorAP" w:val="PE"/>
    <w:docVar w:name="TXTROUTE" w:val="AD\1168724FR.docx"/>
    <w:docVar w:name="TXTVERSION" w:val="03-00"/>
  </w:docVars>
  <w:rsids>
    <w:rsidRoot w:val="00FF0706"/>
    <w:rsid w:val="00026559"/>
    <w:rsid w:val="0004474F"/>
    <w:rsid w:val="0006239C"/>
    <w:rsid w:val="000C07E0"/>
    <w:rsid w:val="0010695B"/>
    <w:rsid w:val="00134974"/>
    <w:rsid w:val="00141CD7"/>
    <w:rsid w:val="001820A9"/>
    <w:rsid w:val="001A6849"/>
    <w:rsid w:val="001B0A1E"/>
    <w:rsid w:val="001B6E93"/>
    <w:rsid w:val="001C0886"/>
    <w:rsid w:val="001E3AC4"/>
    <w:rsid w:val="002123D0"/>
    <w:rsid w:val="00230AFA"/>
    <w:rsid w:val="00240EEA"/>
    <w:rsid w:val="00294DE3"/>
    <w:rsid w:val="00304EA8"/>
    <w:rsid w:val="00341A99"/>
    <w:rsid w:val="00360FAA"/>
    <w:rsid w:val="0038294E"/>
    <w:rsid w:val="00394C7A"/>
    <w:rsid w:val="003A2F84"/>
    <w:rsid w:val="003C0F48"/>
    <w:rsid w:val="003C3624"/>
    <w:rsid w:val="003C7390"/>
    <w:rsid w:val="003E0460"/>
    <w:rsid w:val="0040055C"/>
    <w:rsid w:val="00402EDE"/>
    <w:rsid w:val="004510B5"/>
    <w:rsid w:val="00487596"/>
    <w:rsid w:val="00492015"/>
    <w:rsid w:val="00492FCC"/>
    <w:rsid w:val="004B6BCD"/>
    <w:rsid w:val="004C2A0D"/>
    <w:rsid w:val="004F49A1"/>
    <w:rsid w:val="005167D0"/>
    <w:rsid w:val="00522B51"/>
    <w:rsid w:val="00534108"/>
    <w:rsid w:val="005B7DC2"/>
    <w:rsid w:val="00613134"/>
    <w:rsid w:val="00691B1C"/>
    <w:rsid w:val="006A0F0A"/>
    <w:rsid w:val="006A48AA"/>
    <w:rsid w:val="006B1267"/>
    <w:rsid w:val="006D292E"/>
    <w:rsid w:val="00712462"/>
    <w:rsid w:val="007430A7"/>
    <w:rsid w:val="0078548A"/>
    <w:rsid w:val="007953E4"/>
    <w:rsid w:val="007B0165"/>
    <w:rsid w:val="007B70A4"/>
    <w:rsid w:val="007D3698"/>
    <w:rsid w:val="007F187F"/>
    <w:rsid w:val="00810763"/>
    <w:rsid w:val="00817D13"/>
    <w:rsid w:val="00820C7D"/>
    <w:rsid w:val="00833D11"/>
    <w:rsid w:val="00836FD3"/>
    <w:rsid w:val="008B1058"/>
    <w:rsid w:val="00904864"/>
    <w:rsid w:val="009052FE"/>
    <w:rsid w:val="009071D9"/>
    <w:rsid w:val="00924555"/>
    <w:rsid w:val="00930809"/>
    <w:rsid w:val="00951B3A"/>
    <w:rsid w:val="00957C1D"/>
    <w:rsid w:val="00982B83"/>
    <w:rsid w:val="009857B4"/>
    <w:rsid w:val="009E7319"/>
    <w:rsid w:val="00AB6261"/>
    <w:rsid w:val="00B46C0A"/>
    <w:rsid w:val="00B476DC"/>
    <w:rsid w:val="00B556CD"/>
    <w:rsid w:val="00B62D4B"/>
    <w:rsid w:val="00B73F12"/>
    <w:rsid w:val="00B77730"/>
    <w:rsid w:val="00BC2D94"/>
    <w:rsid w:val="00BD1F76"/>
    <w:rsid w:val="00BE20CF"/>
    <w:rsid w:val="00C03814"/>
    <w:rsid w:val="00C22327"/>
    <w:rsid w:val="00C34255"/>
    <w:rsid w:val="00C70C1C"/>
    <w:rsid w:val="00C75E98"/>
    <w:rsid w:val="00C801A1"/>
    <w:rsid w:val="00CA425C"/>
    <w:rsid w:val="00CB54B6"/>
    <w:rsid w:val="00D11182"/>
    <w:rsid w:val="00D25CF2"/>
    <w:rsid w:val="00D6254D"/>
    <w:rsid w:val="00D74FD1"/>
    <w:rsid w:val="00D943A5"/>
    <w:rsid w:val="00DA072D"/>
    <w:rsid w:val="00DA40FB"/>
    <w:rsid w:val="00DB56E4"/>
    <w:rsid w:val="00E27F01"/>
    <w:rsid w:val="00EA5849"/>
    <w:rsid w:val="00ED5AE1"/>
    <w:rsid w:val="00EF33D5"/>
    <w:rsid w:val="00F15744"/>
    <w:rsid w:val="00F24D40"/>
    <w:rsid w:val="00FE31F2"/>
    <w:rsid w:val="00FE5B6F"/>
    <w:rsid w:val="00FF0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CCDD85-EBEF-46B7-8A46-4D84058D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link w:val="FooterChar"/>
    <w:rsid w:val="00DB56E4"/>
    <w:pPr>
      <w:widowControl w:val="0"/>
      <w:tabs>
        <w:tab w:val="center" w:pos="4535"/>
        <w:tab w:val="right" w:pos="9071"/>
      </w:tabs>
      <w:spacing w:before="240" w:after="240"/>
    </w:pPr>
    <w:rPr>
      <w:sz w:val="22"/>
      <w:szCs w:val="20"/>
    </w:rPr>
  </w:style>
  <w:style w:type="character" w:customStyle="1" w:styleId="FooterChar">
    <w:name w:val="Footer Char"/>
    <w:link w:val="Footer"/>
    <w:rsid w:val="005167D0"/>
    <w:rPr>
      <w:sz w:val="22"/>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rsid w:val="00DB56E4"/>
    <w:pPr>
      <w:widowControl w:val="0"/>
      <w:spacing w:after="240"/>
    </w:pPr>
    <w:rPr>
      <w:szCs w:val="20"/>
    </w:rPr>
  </w:style>
  <w:style w:type="character" w:customStyle="1" w:styleId="Normal12Char">
    <w:name w:val="Normal12 Char"/>
    <w:link w:val="Normal12"/>
    <w:locked/>
    <w:rsid w:val="005167D0"/>
    <w:rPr>
      <w:sz w:val="24"/>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fr-FR"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fr-FR"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uiPriority w:val="59"/>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FootnoteText">
    <w:name w:val="footnote text"/>
    <w:basedOn w:val="Normal"/>
    <w:link w:val="FootnoteTextChar"/>
    <w:uiPriority w:val="99"/>
    <w:unhideWhenUsed/>
    <w:rsid w:val="00957C1D"/>
    <w:pPr>
      <w:jc w:val="both"/>
    </w:pPr>
    <w:rPr>
      <w:rFonts w:eastAsia="Calibri"/>
      <w:sz w:val="20"/>
      <w:szCs w:val="20"/>
      <w:lang w:eastAsia="en-US"/>
    </w:rPr>
  </w:style>
  <w:style w:type="character" w:customStyle="1" w:styleId="FootnoteTextChar">
    <w:name w:val="Footnote Text Char"/>
    <w:basedOn w:val="DefaultParagraphFont"/>
    <w:link w:val="FootnoteText"/>
    <w:uiPriority w:val="99"/>
    <w:rsid w:val="00957C1D"/>
    <w:rPr>
      <w:rFonts w:eastAsia="Calibri"/>
      <w:lang w:eastAsia="en-US"/>
    </w:rPr>
  </w:style>
  <w:style w:type="character" w:styleId="FootnoteReference">
    <w:name w:val="footnote reference"/>
    <w:uiPriority w:val="99"/>
    <w:unhideWhenUsed/>
    <w:rsid w:val="00957C1D"/>
    <w:rPr>
      <w:vertAlign w:val="superscript"/>
    </w:rPr>
  </w:style>
  <w:style w:type="paragraph" w:styleId="BalloonText">
    <w:name w:val="Balloon Text"/>
    <w:basedOn w:val="Normal"/>
    <w:link w:val="BalloonTextChar"/>
    <w:rsid w:val="005167D0"/>
    <w:rPr>
      <w:rFonts w:ascii="Segoe UI" w:hAnsi="Segoe UI" w:cs="Segoe UI"/>
      <w:sz w:val="18"/>
      <w:szCs w:val="18"/>
    </w:rPr>
  </w:style>
  <w:style w:type="character" w:customStyle="1" w:styleId="BalloonTextChar">
    <w:name w:val="Balloon Text Char"/>
    <w:basedOn w:val="DefaultParagraphFont"/>
    <w:link w:val="BalloonText"/>
    <w:rsid w:val="005167D0"/>
    <w:rPr>
      <w:rFonts w:ascii="Segoe UI" w:hAnsi="Segoe UI" w:cs="Segoe UI"/>
      <w:sz w:val="18"/>
      <w:szCs w:val="18"/>
    </w:rPr>
  </w:style>
  <w:style w:type="paragraph" w:customStyle="1" w:styleId="Text3">
    <w:name w:val="Text 3"/>
    <w:basedOn w:val="Normal"/>
    <w:rsid w:val="007D3698"/>
    <w:pPr>
      <w:spacing w:before="120" w:after="120"/>
      <w:ind w:left="1984"/>
      <w:jc w:val="both"/>
    </w:pPr>
    <w:rPr>
      <w:rFonts w:eastAsia="Calibri"/>
      <w:szCs w:val="2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7D3698"/>
    <w:pPr>
      <w:ind w:left="720"/>
      <w:contextualSpacing/>
      <w:jc w:val="both"/>
    </w:pPr>
    <w:rPr>
      <w:rFonts w:eastAsia="Calibri"/>
      <w:lang w:eastAsia="en-U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7D3698"/>
    <w:rPr>
      <w:rFonts w:eastAsia="Calibri"/>
      <w:sz w:val="24"/>
      <w:szCs w:val="24"/>
      <w:lang w:val="fr-FR" w:eastAsia="en-US"/>
    </w:rPr>
  </w:style>
  <w:style w:type="paragraph" w:customStyle="1" w:styleId="NormalTabs">
    <w:name w:val="NormalTabs"/>
    <w:basedOn w:val="Normal"/>
    <w:qFormat/>
    <w:rsid w:val="007D3698"/>
    <w:pPr>
      <w:widowControl w:val="0"/>
      <w:tabs>
        <w:tab w:val="center" w:pos="284"/>
        <w:tab w:val="left" w:pos="426"/>
      </w:tabs>
      <w:snapToGrid w:val="0"/>
    </w:pPr>
    <w:rPr>
      <w:szCs w:val="20"/>
      <w:lang w:eastAsia="en-US"/>
    </w:rPr>
  </w:style>
  <w:style w:type="paragraph" w:customStyle="1" w:styleId="Point0number">
    <w:name w:val="Point 0 (number)"/>
    <w:rsid w:val="007D3698"/>
    <w:pPr>
      <w:tabs>
        <w:tab w:val="left" w:pos="850"/>
      </w:tabs>
      <w:spacing w:before="120" w:after="120"/>
      <w:jc w:val="both"/>
    </w:pPr>
    <w:rPr>
      <w:rFonts w:eastAsia="Arial Unicode MS" w:cs="Arial Unicode MS"/>
      <w:color w:val="000000"/>
      <w:sz w:val="24"/>
      <w:szCs w:val="24"/>
      <w:u w:color="000000"/>
    </w:rPr>
  </w:style>
  <w:style w:type="paragraph" w:customStyle="1" w:styleId="Body">
    <w:name w:val="Body"/>
    <w:rsid w:val="007D3698"/>
    <w:pPr>
      <w:jc w:val="both"/>
    </w:pPr>
    <w:rPr>
      <w:color w:val="000000"/>
      <w:sz w:val="24"/>
      <w:szCs w:val="24"/>
      <w:u w:color="000000"/>
    </w:rPr>
  </w:style>
  <w:style w:type="paragraph" w:customStyle="1" w:styleId="Point1letter">
    <w:name w:val="Point 1 (letter)"/>
    <w:rsid w:val="007D3698"/>
    <w:pPr>
      <w:tabs>
        <w:tab w:val="left" w:pos="1417"/>
      </w:tabs>
      <w:spacing w:before="120" w:after="120"/>
      <w:jc w:val="both"/>
    </w:pPr>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403590">
      <w:bodyDiv w:val="1"/>
      <w:marLeft w:val="0"/>
      <w:marRight w:val="0"/>
      <w:marTop w:val="0"/>
      <w:marBottom w:val="0"/>
      <w:divBdr>
        <w:top w:val="none" w:sz="0" w:space="0" w:color="auto"/>
        <w:left w:val="none" w:sz="0" w:space="0" w:color="auto"/>
        <w:bottom w:val="none" w:sz="0" w:space="0" w:color="auto"/>
        <w:right w:val="none" w:sz="0" w:space="0" w:color="auto"/>
      </w:divBdr>
    </w:div>
    <w:div w:id="1871258627">
      <w:bodyDiv w:val="1"/>
      <w:marLeft w:val="0"/>
      <w:marRight w:val="0"/>
      <w:marTop w:val="0"/>
      <w:marBottom w:val="0"/>
      <w:divBdr>
        <w:top w:val="none" w:sz="0" w:space="0" w:color="auto"/>
        <w:left w:val="none" w:sz="0" w:space="0" w:color="auto"/>
        <w:bottom w:val="none" w:sz="0" w:space="0" w:color="auto"/>
        <w:right w:val="none" w:sz="0" w:space="0" w:color="auto"/>
      </w:divBdr>
    </w:div>
    <w:div w:id="20227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48136313.dotm</Template>
  <TotalTime>0</TotalTime>
  <Pages>52</Pages>
  <Words>14305</Words>
  <Characters>81542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95656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HEYVAERT Valerie</dc:creator>
  <cp:keywords/>
  <dc:description/>
  <cp:lastModifiedBy>DE BLOMME Aurelie</cp:lastModifiedBy>
  <cp:revision>2</cp:revision>
  <cp:lastPrinted>2018-09-07T10:41:00Z</cp:lastPrinted>
  <dcterms:created xsi:type="dcterms:W3CDTF">2019-01-11T14:31:00Z</dcterms:created>
  <dcterms:modified xsi:type="dcterms:W3CDTF">2019-01-11T14:31:00Z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[20180708]</vt:lpwstr>
  </property>
  <property fmtid="{D5CDD505-2E9C-101B-9397-08002B2CF9AE}" pid="3" name="LastEdited with">
    <vt:lpwstr>9.5.1 Build [20181101]</vt:lpwstr>
  </property>
  <property fmtid="{D5CDD505-2E9C-101B-9397-08002B2CF9AE}" pid="4" name="&lt;FdR&gt;">
    <vt:lpwstr>1168724</vt:lpwstr>
  </property>
  <property fmtid="{D5CDD505-2E9C-101B-9397-08002B2CF9AE}" pid="5" name="&lt;Type&gt;">
    <vt:lpwstr>AD</vt:lpwstr>
  </property>
  <property fmtid="{D5CDD505-2E9C-101B-9397-08002B2CF9AE}" pid="6" name="&lt;ModelCod&gt;">
    <vt:lpwstr>\\eiciBRUpr1\pdocep$\DocEP\DOCS\General\PA\PA_Legam.dot(14/11/2017 12:18:10)</vt:lpwstr>
  </property>
  <property fmtid="{D5CDD505-2E9C-101B-9397-08002B2CF9AE}" pid="7" name="&lt;ModelTra&gt;">
    <vt:lpwstr>\\eiciBRUpr1\pdocep$\DocEP\TRANSFIL\EN\PA_Legam.EN(01/02/2018 11:41:30)</vt:lpwstr>
  </property>
  <property fmtid="{D5CDD505-2E9C-101B-9397-08002B2CF9AE}" pid="8" name="&lt;Model&gt;">
    <vt:lpwstr>PA_Legam</vt:lpwstr>
  </property>
  <property fmtid="{D5CDD505-2E9C-101B-9397-08002B2CF9AE}" pid="9" name="FooterPath">
    <vt:lpwstr>AD\1168724FR.docx</vt:lpwstr>
  </property>
  <property fmtid="{D5CDD505-2E9C-101B-9397-08002B2CF9AE}" pid="10" name="PE number">
    <vt:lpwstr>627.592</vt:lpwstr>
  </property>
  <property fmtid="{D5CDD505-2E9C-101B-9397-08002B2CF9AE}" pid="11" name="SubscribeElise">
    <vt:lpwstr/>
  </property>
  <property fmtid="{D5CDD505-2E9C-101B-9397-08002B2CF9AE}" pid="12" name="SendToEpades">
    <vt:lpwstr>OK - 2018/09/19 10:41</vt:lpwstr>
  </property>
  <property fmtid="{D5CDD505-2E9C-101B-9397-08002B2CF9AE}" pid="13" name="Bookout">
    <vt:lpwstr>OK - 2019/01/11 15:31</vt:lpwstr>
  </property>
  <property fmtid="{D5CDD505-2E9C-101B-9397-08002B2CF9AE}" pid="14" name="SDLStudio">
    <vt:lpwstr>YES</vt:lpwstr>
  </property>
  <property fmtid="{D5CDD505-2E9C-101B-9397-08002B2CF9AE}" pid="15" name="&lt;Extension&gt;">
    <vt:lpwstr>FR</vt:lpwstr>
  </property>
</Properties>
</file>