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A80AAF" w:rsidTr="00904864">
        <w:trPr>
          <w:trHeight w:hRule="exact" w:val="1418"/>
        </w:trPr>
        <w:tc>
          <w:tcPr>
            <w:tcW w:w="6804" w:type="dxa"/>
            <w:shd w:val="clear" w:color="auto" w:fill="auto"/>
            <w:vAlign w:val="center"/>
          </w:tcPr>
          <w:p w:rsidR="00522B51" w:rsidRPr="00A80AAF" w:rsidRDefault="00A80AAF" w:rsidP="00904864">
            <w:pPr>
              <w:pStyle w:val="EPName"/>
            </w:pPr>
            <w:bookmarkStart w:id="0" w:name="_GoBack"/>
            <w:bookmarkEnd w:id="0"/>
            <w:r>
              <w:t>Európsky parlament</w:t>
            </w:r>
          </w:p>
          <w:p w:rsidR="00522B51" w:rsidRPr="0063682E" w:rsidRDefault="005B40F7" w:rsidP="005B40F7">
            <w:pPr>
              <w:pStyle w:val="EPTerm"/>
              <w:rPr>
                <w:rStyle w:val="HideTWBExt"/>
                <w:noProof w:val="0"/>
              </w:rPr>
            </w:pPr>
            <w:r>
              <w:t>2014-2019</w:t>
            </w:r>
          </w:p>
        </w:tc>
        <w:tc>
          <w:tcPr>
            <w:tcW w:w="2268" w:type="dxa"/>
            <w:shd w:val="clear" w:color="auto" w:fill="auto"/>
          </w:tcPr>
          <w:p w:rsidR="00522B51" w:rsidRPr="00A80AAF" w:rsidRDefault="00F3126E" w:rsidP="00904864">
            <w:pPr>
              <w:pStyle w:val="EPLogo"/>
            </w:pPr>
            <w:r w:rsidRPr="00A80AAF">
              <w:rPr>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F24D40" w:rsidRPr="00A80AAF" w:rsidRDefault="00F24D40" w:rsidP="00F24D40">
      <w:pPr>
        <w:pStyle w:val="LineTop"/>
      </w:pPr>
    </w:p>
    <w:p w:rsidR="00F24D40" w:rsidRPr="00A80AAF" w:rsidRDefault="00F24D40" w:rsidP="00F24D40">
      <w:pPr>
        <w:pStyle w:val="ZCommittee"/>
      </w:pPr>
      <w:r>
        <w:rPr>
          <w:rStyle w:val="HideTWBExt"/>
          <w:i w:val="0"/>
          <w:noProof w:val="0"/>
          <w:szCs w:val="24"/>
        </w:rPr>
        <w:t>&lt;Commission&gt;</w:t>
      </w:r>
      <w:r w:rsidRPr="0014456E">
        <w:rPr>
          <w:rStyle w:val="HideTWBInt"/>
          <w:rFonts w:ascii="Times New Roman" w:hAnsi="Times New Roman"/>
          <w:i w:val="0"/>
          <w:color w:val="auto"/>
          <w:sz w:val="24"/>
          <w:szCs w:val="24"/>
        </w:rPr>
        <w:t>{ENVI}</w:t>
      </w:r>
      <w:r w:rsidRPr="0014456E">
        <w:t>Výbor pre životné prostredie, verejné zdravie a bezpečnosť potravín</w:t>
      </w:r>
      <w:r>
        <w:rPr>
          <w:rStyle w:val="HideTWBExt"/>
          <w:i w:val="0"/>
          <w:noProof w:val="0"/>
          <w:szCs w:val="24"/>
        </w:rPr>
        <w:t>&lt;/Commission&gt;</w:t>
      </w:r>
    </w:p>
    <w:p w:rsidR="00F24D40" w:rsidRPr="00A80AAF" w:rsidRDefault="00F24D40" w:rsidP="00F24D40">
      <w:pPr>
        <w:pStyle w:val="LineBottom"/>
      </w:pPr>
    </w:p>
    <w:p w:rsidR="00DB56E4" w:rsidRPr="00A80AAF" w:rsidRDefault="00DB56E4" w:rsidP="00DB56E4">
      <w:pPr>
        <w:pStyle w:val="RefProc"/>
      </w:pPr>
      <w:r>
        <w:rPr>
          <w:rStyle w:val="HideTWBExt"/>
          <w:b w:val="0"/>
          <w:caps w:val="0"/>
          <w:noProof w:val="0"/>
          <w:szCs w:val="24"/>
        </w:rPr>
        <w:t>&lt;RefProc&gt;</w:t>
      </w:r>
      <w:r w:rsidRPr="0014456E">
        <w:t>2018/0210</w:t>
      </w:r>
      <w:r>
        <w:rPr>
          <w:rStyle w:val="HideTWBExt"/>
          <w:b w:val="0"/>
          <w:caps w:val="0"/>
          <w:noProof w:val="0"/>
          <w:szCs w:val="24"/>
        </w:rPr>
        <w:t>&lt;/RefProc&gt;&lt;RefTypeProc&gt;</w:t>
      </w:r>
      <w:r w:rsidRPr="0014456E">
        <w:t>(COD)</w:t>
      </w:r>
      <w:r>
        <w:rPr>
          <w:rStyle w:val="HideTWBExt"/>
          <w:b w:val="0"/>
          <w:caps w:val="0"/>
          <w:noProof w:val="0"/>
          <w:szCs w:val="24"/>
        </w:rPr>
        <w:t>&lt;/RefTypeProc&gt;</w:t>
      </w:r>
    </w:p>
    <w:p w:rsidR="00DB56E4" w:rsidRPr="00A80AAF" w:rsidRDefault="00DB56E4" w:rsidP="00DB56E4">
      <w:pPr>
        <w:pStyle w:val="ZDate"/>
      </w:pPr>
      <w:r>
        <w:rPr>
          <w:rStyle w:val="HideTWBExt"/>
          <w:noProof w:val="0"/>
        </w:rPr>
        <w:t>&lt;Date&gt;</w:t>
      </w:r>
      <w:r w:rsidRPr="0014456E">
        <w:rPr>
          <w:rStyle w:val="HideTWBInt"/>
          <w:color w:val="auto"/>
        </w:rPr>
        <w:t>{22/11/2018}</w:t>
      </w:r>
      <w:r w:rsidRPr="0014456E">
        <w:t>22.11.2018</w:t>
      </w:r>
      <w:r>
        <w:rPr>
          <w:rStyle w:val="HideTWBExt"/>
          <w:noProof w:val="0"/>
        </w:rPr>
        <w:t>&lt;/Date&gt;</w:t>
      </w:r>
    </w:p>
    <w:p w:rsidR="00DB56E4" w:rsidRPr="00A80AAF" w:rsidRDefault="00DB56E4" w:rsidP="00DB56E4">
      <w:pPr>
        <w:pStyle w:val="TypeDoc"/>
      </w:pPr>
      <w:r>
        <w:rPr>
          <w:rStyle w:val="HideTWBExt"/>
          <w:b w:val="0"/>
          <w:noProof w:val="0"/>
          <w:szCs w:val="24"/>
        </w:rPr>
        <w:t>&lt;TitreType&gt;</w:t>
      </w:r>
      <w:r w:rsidRPr="0014456E">
        <w:t>STANOVISKO</w:t>
      </w:r>
      <w:r>
        <w:rPr>
          <w:rStyle w:val="HideTWBExt"/>
          <w:b w:val="0"/>
          <w:noProof w:val="0"/>
          <w:szCs w:val="24"/>
        </w:rPr>
        <w:t>&lt;/TitreType&gt;</w:t>
      </w:r>
    </w:p>
    <w:p w:rsidR="00DB56E4" w:rsidRPr="00A80AAF" w:rsidRDefault="00DB56E4" w:rsidP="00DB56E4">
      <w:pPr>
        <w:pStyle w:val="Cover24"/>
      </w:pPr>
      <w:r>
        <w:rPr>
          <w:rStyle w:val="HideTWBExt"/>
          <w:noProof w:val="0"/>
        </w:rPr>
        <w:t>&lt;CommissionResp&gt;</w:t>
      </w:r>
      <w:r w:rsidRPr="0014456E">
        <w:t>Výboru pre životné prostredie, verejné zdravie a bezpečnosť potravín</w:t>
      </w:r>
      <w:r>
        <w:rPr>
          <w:rStyle w:val="HideTWBExt"/>
          <w:noProof w:val="0"/>
        </w:rPr>
        <w:t>&lt;/CommissionResp&gt;</w:t>
      </w:r>
    </w:p>
    <w:p w:rsidR="00DB56E4" w:rsidRPr="00A80AAF" w:rsidRDefault="00DB56E4" w:rsidP="00DB56E4">
      <w:pPr>
        <w:pStyle w:val="Cover24"/>
      </w:pPr>
      <w:r>
        <w:rPr>
          <w:rStyle w:val="HideTWBExt"/>
          <w:noProof w:val="0"/>
        </w:rPr>
        <w:t>&lt;CommissionInt&gt;</w:t>
      </w:r>
      <w:r w:rsidRPr="0014456E">
        <w:t>pre Výbor pre rybárstvo</w:t>
      </w:r>
      <w:r>
        <w:rPr>
          <w:rStyle w:val="HideTWBExt"/>
          <w:noProof w:val="0"/>
        </w:rPr>
        <w:t>&lt;/CommissionInt&gt;</w:t>
      </w:r>
    </w:p>
    <w:p w:rsidR="00DB56E4" w:rsidRPr="00A80AAF" w:rsidRDefault="00DB56E4" w:rsidP="00DB56E4">
      <w:pPr>
        <w:pStyle w:val="CoverNormal"/>
      </w:pPr>
      <w:r>
        <w:rPr>
          <w:rStyle w:val="HideTWBExt"/>
          <w:noProof w:val="0"/>
        </w:rPr>
        <w:t>&lt;Titre&gt;</w:t>
      </w:r>
      <w:r>
        <w:t>k návrhu nariadenia Európskeho parlamentu a Rady o Európskom námornom a rybárskom fonde a o zrušení nariadenia Európskeho parlamentu a Rady (EÚ) č. 508/2014</w:t>
      </w:r>
      <w:r>
        <w:rPr>
          <w:rStyle w:val="HideTWBExt"/>
          <w:noProof w:val="0"/>
        </w:rPr>
        <w:t>&lt;/Titre&gt;</w:t>
      </w:r>
    </w:p>
    <w:p w:rsidR="00DB56E4" w:rsidRPr="00A80AAF" w:rsidRDefault="00DB56E4" w:rsidP="00DB56E4">
      <w:pPr>
        <w:pStyle w:val="Cover24"/>
      </w:pPr>
      <w:r>
        <w:rPr>
          <w:rStyle w:val="HideTWBExt"/>
          <w:noProof w:val="0"/>
        </w:rPr>
        <w:t>&lt;DocRef&gt;</w:t>
      </w:r>
      <w:r w:rsidRPr="0014456E">
        <w:t>(COM(2018)0390 – C8-0270/2018 – 2018/0210(COD))</w:t>
      </w:r>
      <w:r>
        <w:rPr>
          <w:rStyle w:val="HideTWBExt"/>
          <w:noProof w:val="0"/>
        </w:rPr>
        <w:t>&lt;/DocRef&gt;</w:t>
      </w:r>
    </w:p>
    <w:p w:rsidR="00DB56E4" w:rsidRPr="00A80AAF" w:rsidRDefault="005B40F7" w:rsidP="00DB56E4">
      <w:pPr>
        <w:pStyle w:val="Cover24"/>
      </w:pPr>
      <w:r w:rsidRPr="0014456E">
        <w:t xml:space="preserve">Spravodajca výboru požiadaného o stanovisko: </w:t>
      </w:r>
      <w:r>
        <w:rPr>
          <w:rStyle w:val="HideTWBExt"/>
          <w:noProof w:val="0"/>
        </w:rPr>
        <w:t>&lt;Depute&gt;</w:t>
      </w:r>
      <w:r w:rsidRPr="0014456E">
        <w:t>Francesc Gambús</w:t>
      </w:r>
      <w:r>
        <w:rPr>
          <w:rStyle w:val="HideTWBExt"/>
          <w:noProof w:val="0"/>
        </w:rPr>
        <w:t>&lt;/Depute&gt;</w:t>
      </w:r>
    </w:p>
    <w:p w:rsidR="00487596" w:rsidRPr="00A80AAF" w:rsidRDefault="00487596" w:rsidP="00487596">
      <w:pPr>
        <w:pStyle w:val="CoverNormal"/>
      </w:pPr>
    </w:p>
    <w:p w:rsidR="00C22327" w:rsidRPr="00A80AAF" w:rsidRDefault="00DB56E4" w:rsidP="0004474F">
      <w:pPr>
        <w:tabs>
          <w:tab w:val="center" w:pos="4677"/>
        </w:tabs>
      </w:pPr>
      <w:r>
        <w:br w:type="page"/>
      </w:r>
    </w:p>
    <w:p w:rsidR="00DB56E4" w:rsidRPr="00A80AAF" w:rsidRDefault="00A80AAF" w:rsidP="0004474F">
      <w:pPr>
        <w:tabs>
          <w:tab w:val="center" w:pos="4677"/>
        </w:tabs>
      </w:pPr>
      <w:r>
        <w:lastRenderedPageBreak/>
        <w:t>PA_Legam</w:t>
      </w:r>
    </w:p>
    <w:p w:rsidR="00DB56E4" w:rsidRPr="00A80AAF" w:rsidRDefault="00DB56E4" w:rsidP="00DB56E4">
      <w:pPr>
        <w:pStyle w:val="PageHeadingNotTOC"/>
      </w:pPr>
      <w:r>
        <w:br w:type="page"/>
      </w:r>
      <w:r>
        <w:lastRenderedPageBreak/>
        <w:t>STRUČNÉ ODÔVODNENIE</w:t>
      </w:r>
    </w:p>
    <w:p w:rsidR="000A6903" w:rsidRPr="000A6903" w:rsidRDefault="000A6903" w:rsidP="000A6903">
      <w:pPr>
        <w:widowControl w:val="0"/>
        <w:spacing w:after="240"/>
        <w:jc w:val="both"/>
        <w:rPr>
          <w:szCs w:val="20"/>
        </w:rPr>
      </w:pPr>
      <w:r>
        <w:t xml:space="preserve">Komisia 12. júna 2018 predložila nový legislatívny návrh o Európskom námornom a rybárskom fonde (ENRF) na obdobie 2021 – 2027. Cieľom tohto fondu je nasmerovať finančné prostriedky z rozpočtu Únie na podporu spoločnej rybárskej politiky (SRP), integrovanej námornej politiky Únie a medzinárodných záväzkov Únie v oblasti správy oceánov, najmä v súvislosti s Agendou 2030 pre udržateľný rozvoj. </w:t>
      </w:r>
    </w:p>
    <w:p w:rsidR="000A6903" w:rsidRPr="000A6903" w:rsidRDefault="000A6903" w:rsidP="000A6903">
      <w:pPr>
        <w:widowControl w:val="0"/>
        <w:spacing w:after="240"/>
        <w:jc w:val="both"/>
        <w:rPr>
          <w:szCs w:val="20"/>
        </w:rPr>
      </w:pPr>
      <w:r>
        <w:t>Ako spravodajca Výboru pre životné prostredie, verejné zdravie a bezpečnosť potravín požiadaného o stanovisko vítam oznámenie Komisie, pretože poskytlo dobrý východiskový základ na ďalšiu prácu spoluzákonodarcov na optimalizácii textu a dosiahnutí dohody. Osobitne by som sa privítať to, že návrh Komisie posilňuje vplyv fondu na životné prostredie so zameraním na ochranu morských ekosystémov a s očakávaným príspevkom vo výške 30 % z rozpočtu fondu na zmierňovanie zmeny klímy a prispôsobenie sa tejto zmene, a to v súlade so záväzkami prijatými v rámci Parížskej dohody.</w:t>
      </w:r>
    </w:p>
    <w:p w:rsidR="000A6903" w:rsidRPr="000A6903" w:rsidRDefault="000A6903" w:rsidP="000A6903">
      <w:pPr>
        <w:widowControl w:val="0"/>
        <w:spacing w:after="240"/>
        <w:jc w:val="both"/>
        <w:rPr>
          <w:szCs w:val="20"/>
        </w:rPr>
      </w:pPr>
      <w:r>
        <w:t>Takisto verím, že nový fond bude účinnejší a efektívnejší, a to vďaka zjednodušeniu, subsidiarite, zosúladeniu s inými fondami a lepšiemu zacieleniu podpory na vykonávanie SRP.</w:t>
      </w:r>
    </w:p>
    <w:p w:rsidR="000A6903" w:rsidRPr="000A6903" w:rsidRDefault="000A6903" w:rsidP="000A6903">
      <w:pPr>
        <w:widowControl w:val="0"/>
        <w:spacing w:after="240"/>
        <w:jc w:val="both"/>
        <w:rPr>
          <w:szCs w:val="20"/>
        </w:rPr>
      </w:pPr>
      <w:r>
        <w:t xml:space="preserve">Rybolov a akvakultúra prispievajú k potravinovej bezpečnosti a výžive. Únia však v súčasnosti dováža viac ako 60 % produktov rybolovu a je tak vo veľkej miere závislá od tretích krajín. Najdôležitejšou úlohou je povzbudiť občanov, aby konzumovali ryby z Únie, ktoré spĺňajú vysoké štandardy kvality a majú primerané ceny. V tejto súvislosti treba zvýšiť prítomnosť akvakultúry v sektore a jej kritické množstvo: ryby pochádzajúce z tejto činnosti v súčasnosti predstavujú len 20 % celkového objemu na trhoch EÚ. </w:t>
      </w:r>
    </w:p>
    <w:p w:rsidR="000A6903" w:rsidRPr="000A6903" w:rsidRDefault="000A6903" w:rsidP="000A6903">
      <w:pPr>
        <w:widowControl w:val="0"/>
        <w:spacing w:after="240"/>
        <w:jc w:val="both"/>
        <w:rPr>
          <w:szCs w:val="20"/>
        </w:rPr>
      </w:pPr>
      <w:r>
        <w:t xml:space="preserve">Napriek všetkému sa domnievam, že je dôležité doplniť túto správu o viaceré pozmeňujúce návrhy v záujme prispôsobenia správy a zvýšenia jej flexibility, aby sa predišlo nadmernému poškodeniu rybárskej flotily vzhľadom na jej rozmanitosť v rámci Únie. </w:t>
      </w:r>
    </w:p>
    <w:p w:rsidR="000A6903" w:rsidRPr="000A6903" w:rsidRDefault="000A6903" w:rsidP="000A6903">
      <w:pPr>
        <w:widowControl w:val="0"/>
        <w:spacing w:after="240"/>
        <w:jc w:val="both"/>
        <w:rPr>
          <w:szCs w:val="20"/>
        </w:rPr>
      </w:pPr>
      <w:r>
        <w:t xml:space="preserve">Takisto som považoval za potrebné zahrnúť prvok spolurozhodovania, čo je mechanizmus usporiadania činností profesionálneho rybolovu, rekreačného rybolovu a akvakultúry, v rámci ktorého sa vlády delia o právomoci s miestnou komunitou používateľov, pričom každá strana má pridelené osobitné povinnosti a práva, pokiaľ ide o informácie a rozhodovanie o riadení tejto činnosti. Nesmieme totiž zabúdať, že hlavný záujem na tom, aby sa zaručili rybolovné oblasti a populácie rýb, majú samotní rybári, keďže bez rýb nie je rybolov a bez rybolovu nie sú pracovné miesta. Cieľom týchto pozmeňujúcich návrhov je preto v čo najväčšej miere zachovať rovnováhu environmentálnej, hospodárskej a sociálnej udržateľnosti. </w:t>
      </w:r>
    </w:p>
    <w:p w:rsidR="000A6903" w:rsidRPr="000A6903" w:rsidRDefault="000A6903" w:rsidP="000A6903">
      <w:pPr>
        <w:widowControl w:val="0"/>
        <w:spacing w:after="240"/>
        <w:jc w:val="both"/>
        <w:rPr>
          <w:szCs w:val="20"/>
        </w:rPr>
      </w:pPr>
      <w:r>
        <w:t>A napokon sa domnievam, že zjednodušenie a objasnenie činností, ktoré sa môžu vykonávať pod záštitou ENRF, členským štátom uľahčí riadenie, zníži administratívnu záťaž a v konečnom dôsledku pomôže námornému a rybolovnému odvetviu Únie pri plnení cieľov udržateľného rozvoja.</w:t>
      </w:r>
    </w:p>
    <w:p w:rsidR="00DB56E4" w:rsidRPr="00A80AAF" w:rsidRDefault="00A80AAF" w:rsidP="00DB56E4">
      <w:pPr>
        <w:pStyle w:val="ConclusionsPA"/>
      </w:pPr>
      <w:r>
        <w:t>POZMEŇUJÚCE NÁVRHY</w:t>
      </w:r>
    </w:p>
    <w:p w:rsidR="00DB56E4" w:rsidRPr="00A80AAF" w:rsidRDefault="005B40F7" w:rsidP="001E3AC4">
      <w:pPr>
        <w:pStyle w:val="Normal12"/>
      </w:pPr>
      <w:bookmarkStart w:id="1" w:name="IntroA"/>
      <w:r>
        <w:t>Výbor pre životné prostredie, verejné zdravie a bezpečnosť potravín vyzýva Výbor pre rybárstvo, aby ako gestorský výbor vzal do úvahy tieto pozmeňujúce návrhy:</w:t>
      </w:r>
    </w:p>
    <w:bookmarkEnd w:id="1"/>
    <w:p w:rsidR="000A6903" w:rsidRPr="000A6903" w:rsidRDefault="000A6903" w:rsidP="000A6903">
      <w:r>
        <w:rPr>
          <w:rStyle w:val="HideTWBExt"/>
          <w:noProof w:val="0"/>
        </w:rPr>
        <w:lastRenderedPageBreak/>
        <w:t>&lt;RepeatBlock-Amend&gt;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1</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Odôvodnenie 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en-GB"/>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(1)</w:t>
            </w:r>
            <w:r w:rsidRPr="0014456E">
              <w:rPr>
                <w:szCs w:val="20"/>
              </w:rPr>
              <w:tab/>
              <w:t xml:space="preserve">Je potrebné zriadiť Európsky námorný a rybársky fond (ENRF) na obdobie 2021 – 2027. Tento fond by sa mal zamerať na cielené poskytovanie finančných prostriedkov z rozpočtu Únie na podporu spoločnej rybárskej politiky (SRP), námornej politiky Únie a medzinárodných záväzkov Únie v oblasti správy oceánov. Takéto financovanie je </w:t>
            </w:r>
            <w:r w:rsidRPr="0014456E">
              <w:rPr>
                <w:b/>
                <w:i/>
                <w:szCs w:val="20"/>
              </w:rPr>
              <w:t>kľúčovým faktorom</w:t>
            </w:r>
            <w:r w:rsidRPr="0014456E">
              <w:rPr>
                <w:szCs w:val="20"/>
              </w:rPr>
              <w:t xml:space="preserve"> udržateľného rybolovu a ochrany morských biologických zdrojov, potravinovej bezpečnosti prostredníctvom dodávok morských potravinových produktov, rastu udržateľného modrého hospodárstva a zdravých bezpečných, chránených, čistých a udržateľne spravovaných morí a oceánov.</w:t>
            </w:r>
          </w:p>
        </w:tc>
        <w:tc>
          <w:tcPr>
            <w:tcW w:w="4876" w:type="dxa"/>
          </w:tcPr>
          <w:p w:rsidR="000A6903" w:rsidRPr="0014456E" w:rsidRDefault="000A6903" w:rsidP="000A6903">
            <w:pPr>
              <w:widowControl w:val="0"/>
              <w:spacing w:after="120"/>
              <w:rPr>
                <w:szCs w:val="20"/>
              </w:rPr>
            </w:pPr>
            <w:r w:rsidRPr="0014456E">
              <w:rPr>
                <w:szCs w:val="20"/>
              </w:rPr>
              <w:t>(1)</w:t>
            </w:r>
            <w:r w:rsidRPr="0014456E">
              <w:rPr>
                <w:szCs w:val="20"/>
              </w:rPr>
              <w:tab/>
              <w:t xml:space="preserve">Je potrebné zriadiť Európsky námorný a rybársky fond (ENRF) na obdobie 2021 – 2027. Tento fond by sa mal zamerať na cielené poskytovanie finančných prostriedkov z rozpočtu Únie na podporu </w:t>
            </w:r>
            <w:r w:rsidRPr="0014456E">
              <w:rPr>
                <w:b/>
                <w:i/>
                <w:szCs w:val="20"/>
              </w:rPr>
              <w:t xml:space="preserve">úplného a včasného vykonávania </w:t>
            </w:r>
            <w:r w:rsidRPr="0014456E">
              <w:rPr>
                <w:szCs w:val="20"/>
              </w:rPr>
              <w:t xml:space="preserve">spoločnej rybárskej politiky (SRP), </w:t>
            </w:r>
            <w:r w:rsidRPr="0014456E">
              <w:rPr>
                <w:b/>
                <w:i/>
                <w:szCs w:val="20"/>
              </w:rPr>
              <w:t xml:space="preserve">rámcovej smernice o námornej stratégii (MSFD), </w:t>
            </w:r>
            <w:r w:rsidRPr="0014456E">
              <w:rPr>
                <w:szCs w:val="20"/>
              </w:rPr>
              <w:t xml:space="preserve">námornej politiky Únie a medzinárodných záväzkov Únie v oblasti správy oceánov. Takéto financovanie je </w:t>
            </w:r>
            <w:r w:rsidRPr="0014456E">
              <w:rPr>
                <w:b/>
                <w:i/>
                <w:szCs w:val="20"/>
              </w:rPr>
              <w:t>spolu so zodpovednými politikami v oblasti rybného hospodárstva jedným z kľúčových faktorov</w:t>
            </w:r>
            <w:r w:rsidRPr="0014456E">
              <w:rPr>
                <w:szCs w:val="20"/>
              </w:rPr>
              <w:t xml:space="preserve"> udržateľného rybolovu a ochrany morských biologických zdrojov, potravinovej bezpečnosti prostredníctvom dodávok morských potravinových produktov, rastu udržateľného modrého hospodárstva</w:t>
            </w:r>
            <w:r w:rsidRPr="0014456E">
              <w:rPr>
                <w:b/>
                <w:i/>
                <w:szCs w:val="20"/>
              </w:rPr>
              <w:t>, ktoré sa rozvíja v medziach ekologických limitov,</w:t>
            </w:r>
            <w:r w:rsidRPr="0014456E">
              <w:rPr>
                <w:szCs w:val="20"/>
              </w:rPr>
              <w:t xml:space="preserve"> a zdravých bezpečných, chránených, čistých a udržateľne spravovaných morí a oceánov.</w:t>
            </w:r>
          </w:p>
        </w:tc>
      </w:tr>
    </w:tbl>
    <w:p w:rsidR="000A6903" w:rsidRPr="000A6903" w:rsidRDefault="000A6903" w:rsidP="000A6903">
      <w:r>
        <w:rPr>
          <w:rStyle w:val="HideTWBExt"/>
          <w:noProof w:val="0"/>
        </w:rPr>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2</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Odôvodnenie 2</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en-GB"/>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(2)</w:t>
            </w:r>
            <w:r w:rsidRPr="0014456E">
              <w:rPr>
                <w:szCs w:val="20"/>
              </w:rPr>
              <w:tab/>
              <w:t xml:space="preserve">Ako globálny aktér v oblasti oceánov a piaty najväčší výrobca morských potravín na svete má Únia veľkú zodpovednosť za ochranu, zachovanie a udržateľné využívanie oceánov a ich zdrojov. Zachovanie morí a oceánov má pre rýchlo rastúcu svetovú populáciu obrovský význam. Pre Úniu predstavuje aj </w:t>
            </w:r>
            <w:r w:rsidRPr="0014456E">
              <w:rPr>
                <w:szCs w:val="20"/>
              </w:rPr>
              <w:lastRenderedPageBreak/>
              <w:t>sociálno-ekonomický záujem: udržateľné modré hospodárstvo podporuje investície, pracovné miesta a rast, napomáha výskumu a inováciám a prispieva k energetickej bezpečnosti prostredníctvom energie z oceánov. Okrem toho sú bezpečné a chránené moria a oceány nevyhnutné na účinnú hraničnú kontrolu a pre celosvetový boj proti námornej trestnej činnosti, t. j. súvisí aj s riešením otázky bezpečnosti občanov.</w:t>
            </w:r>
          </w:p>
        </w:tc>
        <w:tc>
          <w:tcPr>
            <w:tcW w:w="4876" w:type="dxa"/>
          </w:tcPr>
          <w:p w:rsidR="000A6903" w:rsidRPr="0014456E" w:rsidRDefault="000A6903" w:rsidP="000A6903">
            <w:pPr>
              <w:widowControl w:val="0"/>
              <w:spacing w:after="120"/>
              <w:rPr>
                <w:szCs w:val="20"/>
              </w:rPr>
            </w:pPr>
            <w:r w:rsidRPr="0014456E">
              <w:rPr>
                <w:szCs w:val="20"/>
              </w:rPr>
              <w:lastRenderedPageBreak/>
              <w:t>(2)</w:t>
            </w:r>
            <w:r w:rsidRPr="0014456E">
              <w:rPr>
                <w:szCs w:val="20"/>
              </w:rPr>
              <w:tab/>
              <w:t xml:space="preserve">Ako globálny aktér v oblasti oceánov a piaty najväčší výrobca morských potravín na svete má Únia veľkú zodpovednosť za ochranu, zachovanie a udržateľné využívanie oceánov a ich zdrojov. Zachovanie morí a oceánov má pre rýchlo rastúcu svetovú populáciu obrovský význam. Pre Úniu predstavuje aj </w:t>
            </w:r>
            <w:r w:rsidRPr="0014456E">
              <w:rPr>
                <w:szCs w:val="20"/>
              </w:rPr>
              <w:lastRenderedPageBreak/>
              <w:t>sociálno-ekonomický záujem: udržateľné modré hospodárstvo</w:t>
            </w:r>
            <w:r w:rsidRPr="0014456E">
              <w:rPr>
                <w:b/>
                <w:i/>
                <w:szCs w:val="20"/>
              </w:rPr>
              <w:t>, ktoré sa rozvíja v medziach ekologických limitov,</w:t>
            </w:r>
            <w:r w:rsidRPr="0014456E">
              <w:rPr>
                <w:szCs w:val="20"/>
              </w:rPr>
              <w:t xml:space="preserve"> podporuje investície, pracovné miesta a rast, napomáha výskumu a inováciám a prispieva k energetickej bezpečnosti prostredníctvom energie z oceánov. Okrem toho sú bezpečné a chránené moria a oceány nevyhnutné na účinnú hraničnú kontrolu a pre celosvetový boj proti námornej trestnej činnosti, t. j. súvisí aj s riešením otázky bezpečnosti občanov.</w:t>
            </w:r>
          </w:p>
        </w:tc>
      </w:tr>
    </w:tbl>
    <w:p w:rsidR="000A6903" w:rsidRPr="000A6903" w:rsidRDefault="000A6903" w:rsidP="000A6903">
      <w:r>
        <w:rPr>
          <w:rStyle w:val="HideTWBExt"/>
          <w:noProof w:val="0"/>
        </w:rPr>
        <w:lastRenderedPageBreak/>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3</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Odôvodnenie 8</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en-GB"/>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(8)</w:t>
            </w:r>
            <w:r w:rsidRPr="0014456E">
              <w:rPr>
                <w:szCs w:val="20"/>
              </w:rPr>
              <w:tab/>
              <w:t>Vo viacročnom finančnom rámci, ktorý sa uvádza v nariadení (EÚ) xx/xx</w:t>
            </w:r>
            <w:r w:rsidRPr="0014456E">
              <w:rPr>
                <w:szCs w:val="20"/>
                <w:vertAlign w:val="superscript"/>
              </w:rPr>
              <w:t>6</w:t>
            </w:r>
            <w:r w:rsidRPr="0014456E">
              <w:rPr>
                <w:szCs w:val="20"/>
              </w:rPr>
              <w:t>, sa stanovuje, že rozpočet Únie musí aj naďalej podporovať rybársku a námornú politiku. Rozpočet ENRF by mal v bežných cenách predstavovať 6 140 000 000 EUR. Zdroje z ENRF by mali byť rozdelené medzi zdieľané, priame a nepriame riadenie. Na podporu v rámci zdieľaného riadenia by sa malo alokovať 5 311 000 000 EUR a na podporu v rámci priameho a nepriameho riadenia by sa malo prideliť 829 000 000 EUR. S cieľom zabezpečiť stabilitu, najmä pokiaľ ide o dosahovanie cieľov SRP, by sa národné alokácie v rámci zdieľaného riadenia v programovom období 2021 – 2027 mali vymedziť na základe akcií ENRF na roky 2014 až 2020. Osobitné sumy by mali byť vyhradené pre najvzdialenejšie regióny, kontrolu, presadzovanie, zber a spracovanie údajov na účely riadenia rybárstva a vedecké účely, zatiaľ čo sumy vyhradené na trvalé ukončenie a mimoriadne pozastavenie rybolovných činností by mali byť obmedzené.</w:t>
            </w:r>
          </w:p>
        </w:tc>
        <w:tc>
          <w:tcPr>
            <w:tcW w:w="4876" w:type="dxa"/>
          </w:tcPr>
          <w:p w:rsidR="000A6903" w:rsidRPr="0014456E" w:rsidRDefault="000A6903" w:rsidP="000A6903">
            <w:pPr>
              <w:widowControl w:val="0"/>
              <w:spacing w:after="120"/>
              <w:rPr>
                <w:szCs w:val="20"/>
              </w:rPr>
            </w:pPr>
            <w:r w:rsidRPr="0014456E">
              <w:rPr>
                <w:szCs w:val="20"/>
              </w:rPr>
              <w:t>(8)</w:t>
            </w:r>
            <w:r w:rsidRPr="0014456E">
              <w:rPr>
                <w:szCs w:val="20"/>
              </w:rPr>
              <w:tab/>
              <w:t>Vo viacročnom finančnom rámci, ktorý sa uvádza v nariadení (EÚ) xx/xx</w:t>
            </w:r>
            <w:r w:rsidRPr="0014456E">
              <w:rPr>
                <w:szCs w:val="20"/>
                <w:vertAlign w:val="superscript"/>
              </w:rPr>
              <w:t>6</w:t>
            </w:r>
            <w:r w:rsidRPr="0014456E">
              <w:rPr>
                <w:szCs w:val="20"/>
              </w:rPr>
              <w:t xml:space="preserve">, sa stanovuje, že rozpočet Únie musí aj naďalej podporovať rybársku a námornú politiku. </w:t>
            </w:r>
            <w:r w:rsidRPr="0014456E">
              <w:rPr>
                <w:b/>
                <w:i/>
                <w:szCs w:val="20"/>
              </w:rPr>
              <w:t xml:space="preserve">Viacročný </w:t>
            </w:r>
            <w:r w:rsidRPr="0014456E">
              <w:rPr>
                <w:szCs w:val="20"/>
              </w:rPr>
              <w:t>rozpočet ENRF by mal v bežných cenách predstavovať 6 140 000 000 EUR. Zdroje z ENRF by mali byť rozdelené medzi zdieľané, priame a nepriame riadenie. Na podporu v rámci zdieľaného riadenia by sa malo alokovať 5 311 000 000 EUR a na podporu v rámci priameho a nepriameho riadenia by sa malo prideliť 829 000 000 EUR. S cieľom zabezpečiť stabilitu, najmä pokiaľ ide o dosahovanie cieľov SRP, by sa národné alokácie v rámci zdieľaného riadenia v programovom období 2021 – 2027 mali vymedziť na základe akcií ENRF na roky 2014 až 2020. Osobitné sumy by mali byť vyhradené pre najvzdialenejšie regióny, kontrolu, presadzovanie, zber a spracovanie údajov na účely riadenia rybárstva a vedecké účely, zatiaľ čo sumy vyhradené na trvalé ukončenie a mimoriadne pozastavenie rybolovných činností by mali byť obmedzené.</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lastRenderedPageBreak/>
              <w:t>_________________</w:t>
            </w:r>
          </w:p>
        </w:tc>
        <w:tc>
          <w:tcPr>
            <w:tcW w:w="4876" w:type="dxa"/>
          </w:tcPr>
          <w:p w:rsidR="000A6903" w:rsidRPr="0014456E" w:rsidRDefault="000A6903" w:rsidP="000A6903">
            <w:pPr>
              <w:widowControl w:val="0"/>
              <w:spacing w:after="120"/>
              <w:rPr>
                <w:szCs w:val="20"/>
              </w:rPr>
            </w:pPr>
            <w:r w:rsidRPr="0014456E">
              <w:rPr>
                <w:szCs w:val="20"/>
              </w:rPr>
              <w:t>_________________</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vertAlign w:val="superscript"/>
              </w:rPr>
              <w:t>6</w:t>
            </w:r>
            <w:r w:rsidRPr="0014456E">
              <w:rPr>
                <w:szCs w:val="20"/>
              </w:rPr>
              <w:t xml:space="preserve"> EÚ C […], […], s. […].</w:t>
            </w:r>
          </w:p>
        </w:tc>
        <w:tc>
          <w:tcPr>
            <w:tcW w:w="4876" w:type="dxa"/>
          </w:tcPr>
          <w:p w:rsidR="000A6903" w:rsidRPr="0014456E" w:rsidRDefault="000A6903" w:rsidP="000A6903">
            <w:pPr>
              <w:widowControl w:val="0"/>
              <w:spacing w:after="120"/>
              <w:rPr>
                <w:szCs w:val="20"/>
              </w:rPr>
            </w:pPr>
            <w:r w:rsidRPr="0014456E">
              <w:rPr>
                <w:szCs w:val="20"/>
                <w:vertAlign w:val="superscript"/>
              </w:rPr>
              <w:t>6</w:t>
            </w:r>
            <w:r w:rsidRPr="0014456E">
              <w:rPr>
                <w:szCs w:val="20"/>
              </w:rPr>
              <w:t xml:space="preserve"> EÚ C […], […], s. […].</w:t>
            </w:r>
          </w:p>
        </w:tc>
      </w:tr>
    </w:tbl>
    <w:p w:rsidR="000A6903" w:rsidRPr="000A6903" w:rsidRDefault="000A6903" w:rsidP="000A6903">
      <w:r>
        <w:rPr>
          <w:rStyle w:val="HideTWBExt"/>
          <w:noProof w:val="0"/>
        </w:rPr>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4</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Odôvodnenie 9</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en-GB"/>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(9)</w:t>
            </w:r>
            <w:r w:rsidRPr="0014456E">
              <w:rPr>
                <w:szCs w:val="20"/>
              </w:rPr>
              <w:tab/>
              <w:t>Európske námorné odvetvie zamestnáva vyše 5 miliónov ľudí a s obratom takmer 500 miliárd EUR ročne a má potenciál vytvoriť mnoho ďalších pracovných miest. Produkcia globálneho morského hospodárstva sa v súčasnosti odhaduje na 1,3 bilióna EUR a do roku 2030 by sa mohla zdvojnásobiť. Potreba splniť cieľové hodnoty emisií CO</w:t>
            </w:r>
            <w:r w:rsidRPr="0014456E">
              <w:rPr>
                <w:szCs w:val="20"/>
                <w:vertAlign w:val="subscript"/>
              </w:rPr>
              <w:t>2</w:t>
            </w:r>
            <w:r w:rsidRPr="0014456E">
              <w:rPr>
                <w:szCs w:val="20"/>
              </w:rPr>
              <w:t>, zvýšiť efektívnosť využívania zdrojov a znížiť environmentálnu stopu modrého hospodárstva sú hnacím motorom inovácie v iných odvetviach (vybavenie lodí, stavba lodí, pozorovanie morí, bagrovanie, ochrana pobreží a námorná výstavba). Zdrojom investícií do námorného hospodárstva sú štrukturálne fondy Únie, najmä Európsky fond regionálneho rozvoja (EFRR) a ENRF. Na financovanie rastúceho potenciálu tohto odvetvia sa musia využiť nové investičné nástroje ako InvestEU.</w:t>
            </w:r>
          </w:p>
        </w:tc>
        <w:tc>
          <w:tcPr>
            <w:tcW w:w="4876" w:type="dxa"/>
          </w:tcPr>
          <w:p w:rsidR="000A6903" w:rsidRPr="0014456E" w:rsidRDefault="000A6903" w:rsidP="000A6903">
            <w:pPr>
              <w:widowControl w:val="0"/>
              <w:spacing w:after="120"/>
              <w:rPr>
                <w:szCs w:val="20"/>
              </w:rPr>
            </w:pPr>
            <w:r w:rsidRPr="0014456E">
              <w:rPr>
                <w:szCs w:val="20"/>
              </w:rPr>
              <w:t>(9)</w:t>
            </w:r>
            <w:r w:rsidRPr="0014456E">
              <w:rPr>
                <w:szCs w:val="20"/>
              </w:rPr>
              <w:tab/>
              <w:t>Európske námorné odvetvie zamestnáva vyše 5 miliónov ľudí a s obratom takmer 500 miliárd EUR ročne a má potenciál vytvoriť mnoho ďalších pracovných miest</w:t>
            </w:r>
            <w:r w:rsidRPr="0014456E">
              <w:rPr>
                <w:b/>
                <w:i/>
                <w:szCs w:val="20"/>
              </w:rPr>
              <w:t>, hoci by sa mali naďalej sledovať populácie druhov rýb a vhodnými opatreniami by sa malo brániť nadmernému rybolovu</w:t>
            </w:r>
            <w:r w:rsidRPr="0014456E">
              <w:rPr>
                <w:szCs w:val="20"/>
              </w:rPr>
              <w:t>. Produkcia globálneho morského hospodárstva sa v súčasnosti odhaduje na 1,3 bilióna EUR a do roku 2030 by sa mohla zdvojnásobiť. Potreba splniť cieľové hodnoty emisií CO</w:t>
            </w:r>
            <w:r w:rsidRPr="0014456E">
              <w:rPr>
                <w:szCs w:val="20"/>
                <w:vertAlign w:val="subscript"/>
              </w:rPr>
              <w:t>2</w:t>
            </w:r>
            <w:r w:rsidRPr="0014456E">
              <w:rPr>
                <w:szCs w:val="20"/>
              </w:rPr>
              <w:t>, zvýšiť efektívnosť využívania zdrojov a znížiť environmentálnu stopu modrého hospodárstva sú hnacím motorom inovácie v iných odvetviach (vybavenie lodí, stavba lodí, pozorovanie morí, bagrovanie, ochrana pobreží a námorná výstavba). Zdrojom investícií do námorného hospodárstva sú štrukturálne fondy Únie, najmä Európsky fond regionálneho rozvoja (EFRR) a ENRF. Na financovanie rastúceho potenciálu tohto odvetvia sa musia využiť nové investičné nástroje ako InvestEU.</w:t>
            </w:r>
          </w:p>
        </w:tc>
      </w:tr>
    </w:tbl>
    <w:p w:rsidR="000A6903" w:rsidRPr="000A6903" w:rsidRDefault="000A6903" w:rsidP="000A6903">
      <w:r>
        <w:rPr>
          <w:rStyle w:val="HideTWBExt"/>
          <w:noProof w:val="0"/>
        </w:rPr>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5</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Odôvodnenie 10</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en-GB"/>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(10)</w:t>
            </w:r>
            <w:r w:rsidRPr="0014456E">
              <w:rPr>
                <w:szCs w:val="20"/>
              </w:rPr>
              <w:tab/>
              <w:t xml:space="preserve">ENRF by mal byť založený na štyroch prioritách: podpora udržateľného rybolovu a ochrany morských biologických </w:t>
            </w:r>
            <w:r w:rsidRPr="0014456E">
              <w:rPr>
                <w:szCs w:val="20"/>
              </w:rPr>
              <w:lastRenderedPageBreak/>
              <w:t>zdrojov; prispievanie k potravinovej bezpečnosti v Únii prostredníctvom konkurencieschopnej a udržateľnej akvakultúry a trhov; umožnenie</w:t>
            </w:r>
            <w:r w:rsidRPr="0014456E">
              <w:rPr>
                <w:b/>
                <w:i/>
                <w:szCs w:val="20"/>
              </w:rPr>
              <w:t xml:space="preserve"> rastu</w:t>
            </w:r>
            <w:r w:rsidRPr="0014456E">
              <w:rPr>
                <w:szCs w:val="20"/>
              </w:rPr>
              <w:t xml:space="preserve"> udržateľného modrého hospodárstva a </w:t>
            </w:r>
            <w:r w:rsidRPr="0014456E">
              <w:rPr>
                <w:b/>
                <w:i/>
                <w:szCs w:val="20"/>
              </w:rPr>
              <w:t>podpora prosperujúcich pobrežných komunít</w:t>
            </w:r>
            <w:r w:rsidRPr="0014456E">
              <w:rPr>
                <w:szCs w:val="20"/>
              </w:rPr>
              <w:t>; posilnenie medzinárodnej správy oceánov a umožnenie bezpečných, chránených, čistých a udržateľne spravovaných morí a oceánov. Tieto priority by sa mali sledovať prostredníctvom zdieľaného, priameho a nepriameho riadenia.</w:t>
            </w:r>
          </w:p>
        </w:tc>
        <w:tc>
          <w:tcPr>
            <w:tcW w:w="4876" w:type="dxa"/>
          </w:tcPr>
          <w:p w:rsidR="000A6903" w:rsidRPr="0014456E" w:rsidRDefault="000A6903" w:rsidP="000A6903">
            <w:pPr>
              <w:widowControl w:val="0"/>
              <w:spacing w:after="120"/>
              <w:rPr>
                <w:szCs w:val="20"/>
              </w:rPr>
            </w:pPr>
            <w:r w:rsidRPr="0014456E">
              <w:rPr>
                <w:szCs w:val="20"/>
              </w:rPr>
              <w:lastRenderedPageBreak/>
              <w:t>(10)</w:t>
            </w:r>
            <w:r w:rsidRPr="0014456E">
              <w:rPr>
                <w:szCs w:val="20"/>
              </w:rPr>
              <w:tab/>
              <w:t>ENRF by mal byť založený na štyroch prioritách</w:t>
            </w:r>
            <w:r w:rsidRPr="0014456E">
              <w:rPr>
                <w:b/>
                <w:i/>
                <w:szCs w:val="20"/>
              </w:rPr>
              <w:t>, ktoré sú v plnej miere v súlade s cieľmi SRP</w:t>
            </w:r>
            <w:r w:rsidRPr="0014456E">
              <w:rPr>
                <w:szCs w:val="20"/>
              </w:rPr>
              <w:t xml:space="preserve">: podpora </w:t>
            </w:r>
            <w:r w:rsidRPr="0014456E">
              <w:rPr>
                <w:szCs w:val="20"/>
              </w:rPr>
              <w:lastRenderedPageBreak/>
              <w:t>udržateľného rybolovu a ochrany morských biologických zdrojov; prispievanie k potravinovej bezpečnosti v Únii prostredníctvom konkurencieschopnej a udržateľnej akvakultúry a trhov; umožnenie udržateľného modrého hospodárstva</w:t>
            </w:r>
            <w:r w:rsidRPr="0014456E">
              <w:rPr>
                <w:b/>
                <w:i/>
                <w:szCs w:val="20"/>
              </w:rPr>
              <w:t>, ktoré sa rozvíja v medziach ekologických limitov</w:t>
            </w:r>
            <w:r w:rsidRPr="0014456E">
              <w:rPr>
                <w:szCs w:val="20"/>
              </w:rPr>
              <w:t xml:space="preserve"> a </w:t>
            </w:r>
            <w:r w:rsidRPr="0014456E">
              <w:rPr>
                <w:b/>
                <w:i/>
                <w:szCs w:val="20"/>
              </w:rPr>
              <w:t>podporuje prosperujúce pobrežné komunity</w:t>
            </w:r>
            <w:r w:rsidRPr="0014456E">
              <w:rPr>
                <w:szCs w:val="20"/>
              </w:rPr>
              <w:t>; posilnenie medzinárodnej správy oceánov a umožnenie bezpečných, chránených, čistých a udržateľne spravovaných morí a oceánov. Tieto priority by sa mali sledovať prostredníctvom zdieľaného, priameho a nepriameho riadenia.</w:t>
            </w:r>
          </w:p>
        </w:tc>
      </w:tr>
    </w:tbl>
    <w:p w:rsidR="000A6903" w:rsidRPr="000A6903" w:rsidRDefault="000A6903" w:rsidP="000A6903">
      <w:r>
        <w:rPr>
          <w:rStyle w:val="HideTWBExt"/>
          <w:noProof w:val="0"/>
        </w:rPr>
        <w:lastRenderedPageBreak/>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6</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Odôvodnenie 11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en-GB"/>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(11)</w:t>
            </w:r>
            <w:r w:rsidRPr="0014456E">
              <w:rPr>
                <w:szCs w:val="20"/>
              </w:rPr>
              <w:tab/>
              <w:t xml:space="preserve">ENRF po roku 2020 by sa mal zakladať na zjednodušenej štruktúre bez toho, aby sa vopred príliš normatívne vymedzovali opatrenia a podrobné pravidlá oprávnenosti na úrovni Únie. Namiesto toho by sa v rámci každej priority mali opísať všeobecné oblasti podpory. Členské štáty by preto mali vypracovať svoj program, v ktorom uvedú najvhodnejšie prostriedky na dosiahnutie priorít. Podľa pravidiel stanovených v tomto nariadení a v nariadení (EÚ) č. [všeobecné nariadenie] by sa mohli podporovať rôzne opatrenia určené členskými štátmi v rámci daných programov, pokiaľ sa vzťahujú na oblasti podpory vymedzené v tomto nariadení. Je však potrebné stanoviť zoznam neoprávnených operácií, aby sa predišlo škodlivým vplyvom na ochranu rybolovných zdrojov, napríklad všeobecný zákaz investícií zvyšujúcich rybolovnú kapacitu. Okrem toho by investície a kompenzácie pre flotily mali byť prísne </w:t>
            </w:r>
            <w:r w:rsidRPr="0014456E">
              <w:rPr>
                <w:szCs w:val="20"/>
              </w:rPr>
              <w:lastRenderedPageBreak/>
              <w:t>podmienené ich súladom s cieľmi ochrany SRP.</w:t>
            </w:r>
          </w:p>
        </w:tc>
        <w:tc>
          <w:tcPr>
            <w:tcW w:w="4876" w:type="dxa"/>
          </w:tcPr>
          <w:p w:rsidR="000A6903" w:rsidRPr="0014456E" w:rsidRDefault="000A6903" w:rsidP="000A6903">
            <w:pPr>
              <w:widowControl w:val="0"/>
              <w:spacing w:after="120"/>
              <w:rPr>
                <w:szCs w:val="20"/>
              </w:rPr>
            </w:pPr>
            <w:r w:rsidRPr="0014456E">
              <w:rPr>
                <w:szCs w:val="20"/>
              </w:rPr>
              <w:lastRenderedPageBreak/>
              <w:t>(11)</w:t>
            </w:r>
            <w:r w:rsidRPr="0014456E">
              <w:rPr>
                <w:szCs w:val="20"/>
              </w:rPr>
              <w:tab/>
              <w:t>ENRF po roku 2020 by sa mal zakladať na zjednodušenej štruktúre bez toho, aby sa vopred príliš normatívne vymedzovali opatrenia a podrobné pravidlá oprávnenosti na úrovni Únie. Namiesto toho by sa v rámci každej priority mali opísať všeobecné oblasti podpory. Členské štáty by preto mali vypracovať svoj program, v ktorom uvedú najvhodnejšie prostriedky na dosiahnutie priorít. Podľa pravidiel stanovených v tomto nariadení a v nariadení (EÚ) č. [všeobecné nariadenie] by sa mohli podporovať rôzne opatrenia určené členskými štátmi v rámci daných programov, pokiaľ sa vzťahujú na oblasti podpory vymedzené v tomto nariadení. Je však potrebné stanoviť zoznam neoprávnených operácií, aby sa predišlo škodlivým vplyvom na ochranu rybolovných zdrojov</w:t>
            </w:r>
            <w:r w:rsidRPr="0014456E">
              <w:rPr>
                <w:b/>
                <w:i/>
                <w:szCs w:val="20"/>
              </w:rPr>
              <w:t xml:space="preserve"> a degradácii ekosystémov</w:t>
            </w:r>
            <w:r w:rsidRPr="0014456E">
              <w:rPr>
                <w:szCs w:val="20"/>
              </w:rPr>
              <w:t xml:space="preserve">, napríklad všeobecný zákaz investícií zvyšujúcich rybolovnú kapacitu. Okrem toho by investície a kompenzácie </w:t>
            </w:r>
            <w:r w:rsidRPr="0014456E">
              <w:rPr>
                <w:szCs w:val="20"/>
              </w:rPr>
              <w:lastRenderedPageBreak/>
              <w:t>pre flotily mali byť prísne podmienené ich súladom s cieľmi ochrany SRP.</w:t>
            </w:r>
          </w:p>
        </w:tc>
      </w:tr>
    </w:tbl>
    <w:p w:rsidR="000A6903" w:rsidRPr="000A6903" w:rsidRDefault="000A6903" w:rsidP="000A6903">
      <w:r>
        <w:rPr>
          <w:rStyle w:val="HideTWBExt"/>
          <w:noProof w:val="0"/>
        </w:rPr>
        <w:lastRenderedPageBreak/>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7</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Odôvodnenie 13</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en-GB"/>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(13)</w:t>
            </w:r>
            <w:r w:rsidRPr="0014456E">
              <w:rPr>
                <w:szCs w:val="20"/>
              </w:rPr>
              <w:tab/>
              <w:t>Vzhľadom na význam riešenia otázky zmeny klímy v súlade so záväzkami, ktoré Únia prijala s cieľom uplatňovať Parížsku dohodu a realizovať ciele Organizácie spojených národov v oblasti trvalo udržateľného rozvoja by toto nariadenie malo prispieť k akciám zameraným na boj proti zmene klímy a dosiahnutiu celkovej cieľovej hodnoty rozpočtových výdavkov Únie na podporu cieľov v oblasti klímy (25 %). Očakáva sa, že 30 % celkového finančného krytia ENRF sa použije na ciele v oblasti klímy. Relevantné akcie sa identifikujú počas prípravy a implementácie ENRF a prehodnotia sa v rámci relevantných procesov hodnotenia a preskúmania.</w:t>
            </w:r>
          </w:p>
        </w:tc>
        <w:tc>
          <w:tcPr>
            <w:tcW w:w="4876" w:type="dxa"/>
          </w:tcPr>
          <w:p w:rsidR="000A6903" w:rsidRPr="0014456E" w:rsidRDefault="000A6903" w:rsidP="000A6903">
            <w:pPr>
              <w:widowControl w:val="0"/>
              <w:spacing w:after="120"/>
              <w:rPr>
                <w:szCs w:val="20"/>
              </w:rPr>
            </w:pPr>
            <w:r w:rsidRPr="0014456E">
              <w:rPr>
                <w:szCs w:val="20"/>
              </w:rPr>
              <w:t>(13)</w:t>
            </w:r>
            <w:r w:rsidRPr="0014456E">
              <w:rPr>
                <w:szCs w:val="20"/>
              </w:rPr>
              <w:tab/>
              <w:t xml:space="preserve">Vzhľadom na význam riešenia otázky zmeny klímy v súlade so záväzkami, ktoré Únia prijala s cieľom uplatňovať Parížsku dohodu a realizovať ciele Organizácie spojených národov v oblasti trvalo udržateľného rozvoja by toto nariadenie malo prispieť k akciám zameraným na boj proti zmene klímy a dosiahnutiu celkovej cieľovej hodnoty rozpočtových výdavkov Únie na podporu cieľov v oblasti klímy (25 %). Očakáva sa, že 30 % celkového finančného krytia ENRF sa použije na ciele v oblasti klímy. Relevantné akcie </w:t>
            </w:r>
            <w:r w:rsidRPr="0014456E">
              <w:rPr>
                <w:b/>
                <w:i/>
                <w:szCs w:val="20"/>
              </w:rPr>
              <w:t xml:space="preserve">vrátane projektov zameraných na ochranu a obnovu dna porasteného morskou trávou a pobrežných močarísk, ktoré sú významnými lokalitami záchytu uhlíka, </w:t>
            </w:r>
            <w:r w:rsidRPr="0014456E">
              <w:rPr>
                <w:szCs w:val="20"/>
              </w:rPr>
              <w:t>sa identifikujú počas prípravy a implementácie ENRF a prehodnotia sa v rámci relevantných procesov hodnotenia a preskúmania.</w:t>
            </w:r>
          </w:p>
        </w:tc>
      </w:tr>
    </w:tbl>
    <w:p w:rsidR="000A6903" w:rsidRPr="000A6903" w:rsidRDefault="000A6903" w:rsidP="000A6903">
      <w:pPr>
        <w:keepNext/>
        <w:widowControl w:val="0"/>
        <w:spacing w:before="240" w:after="240"/>
        <w:jc w:val="center"/>
        <w:rPr>
          <w:i/>
          <w:szCs w:val="20"/>
        </w:rPr>
      </w:pPr>
      <w:r>
        <w:rPr>
          <w:rStyle w:val="HideTWBExt"/>
          <w:noProof w:val="0"/>
        </w:rPr>
        <w:t>&lt;TitreJust&gt;</w:t>
      </w:r>
      <w:r w:rsidRPr="0014456E">
        <w:rPr>
          <w:i/>
          <w:szCs w:val="20"/>
        </w:rPr>
        <w:t>Odôvodnenie</w:t>
      </w:r>
      <w:r>
        <w:rPr>
          <w:rStyle w:val="HideTWBExt"/>
          <w:noProof w:val="0"/>
        </w:rPr>
        <w:t>&lt;/TitreJust&gt;</w:t>
      </w:r>
    </w:p>
    <w:p w:rsidR="000A6903" w:rsidRPr="000A6903" w:rsidRDefault="000A6903" w:rsidP="000A6903">
      <w:pPr>
        <w:widowControl w:val="0"/>
        <w:spacing w:after="240"/>
        <w:rPr>
          <w:i/>
          <w:szCs w:val="20"/>
        </w:rPr>
      </w:pPr>
      <w:r>
        <w:rPr>
          <w:i/>
          <w:szCs w:val="20"/>
        </w:rPr>
        <w:t>V najnovšej správe IPCC sa zdôrazňuje, že by sa malo zvažovať nielen znižovanie emisií CO</w:t>
      </w:r>
      <w:r>
        <w:rPr>
          <w:i/>
          <w:szCs w:val="20"/>
          <w:vertAlign w:val="subscript"/>
        </w:rPr>
        <w:t>2</w:t>
      </w:r>
      <w:r>
        <w:rPr>
          <w:i/>
          <w:szCs w:val="20"/>
        </w:rPr>
        <w:t>, ale aj odstraňovanie CO</w:t>
      </w:r>
      <w:r>
        <w:rPr>
          <w:i/>
          <w:szCs w:val="20"/>
          <w:vertAlign w:val="subscript"/>
        </w:rPr>
        <w:t>2</w:t>
      </w:r>
      <w:r>
        <w:rPr>
          <w:i/>
          <w:szCs w:val="20"/>
        </w:rPr>
        <w:t xml:space="preserve"> z atmosféry.</w:t>
      </w:r>
    </w:p>
    <w:p w:rsidR="000A6903" w:rsidRPr="000A6903" w:rsidRDefault="000A6903" w:rsidP="000A6903">
      <w:r>
        <w:rPr>
          <w:rStyle w:val="HideTWBExt"/>
          <w:noProof w:val="0"/>
        </w:rPr>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8</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Odôvodnenie 14</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en-GB"/>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(14)</w:t>
            </w:r>
            <w:r w:rsidRPr="0014456E">
              <w:rPr>
                <w:szCs w:val="20"/>
              </w:rPr>
              <w:tab/>
              <w:t xml:space="preserve">Z ENRF by sa malo prispievať aj k </w:t>
            </w:r>
            <w:r w:rsidRPr="0014456E">
              <w:rPr>
                <w:szCs w:val="20"/>
              </w:rPr>
              <w:lastRenderedPageBreak/>
              <w:t>dosiahnutiu environmentálnych cieľov Únie. Tento príspevok by sa mal sledovať pomocou environmentálnych ukazovateľov Únie a mal by sa pravidelne nahlasovať v rámci hodnotenia a výročnej správy o výkonnosti.</w:t>
            </w:r>
          </w:p>
        </w:tc>
        <w:tc>
          <w:tcPr>
            <w:tcW w:w="4876" w:type="dxa"/>
          </w:tcPr>
          <w:p w:rsidR="000A6903" w:rsidRPr="0014456E" w:rsidRDefault="000A6903" w:rsidP="000A6903">
            <w:pPr>
              <w:widowControl w:val="0"/>
              <w:spacing w:after="120"/>
              <w:rPr>
                <w:szCs w:val="20"/>
              </w:rPr>
            </w:pPr>
            <w:r w:rsidRPr="0014456E">
              <w:rPr>
                <w:szCs w:val="20"/>
              </w:rPr>
              <w:lastRenderedPageBreak/>
              <w:t>(14)</w:t>
            </w:r>
            <w:r w:rsidRPr="0014456E">
              <w:rPr>
                <w:szCs w:val="20"/>
              </w:rPr>
              <w:tab/>
              <w:t xml:space="preserve">Z ENRF by sa malo prispievať aj k </w:t>
            </w:r>
            <w:r w:rsidRPr="0014456E">
              <w:rPr>
                <w:szCs w:val="20"/>
              </w:rPr>
              <w:lastRenderedPageBreak/>
              <w:t>dosiahnutiu environmentálnych cieľov Únie</w:t>
            </w:r>
            <w:r w:rsidRPr="0014456E">
              <w:rPr>
                <w:b/>
                <w:i/>
                <w:szCs w:val="20"/>
              </w:rPr>
              <w:t>, a to v rámci SRP a smernice Európskeho parlamentu a Rady 2008/56/ES</w:t>
            </w:r>
            <w:r w:rsidRPr="0014456E">
              <w:rPr>
                <w:b/>
                <w:i/>
                <w:szCs w:val="20"/>
                <w:vertAlign w:val="superscript"/>
              </w:rPr>
              <w:t>1a</w:t>
            </w:r>
            <w:r w:rsidRPr="0014456E">
              <w:rPr>
                <w:szCs w:val="20"/>
              </w:rPr>
              <w:t>. Tento príspevok by sa mal sledovať pomocou environmentálnych ukazovateľov Únie a mal by sa pravidelne nahlasovať v rámci hodnotenia a výročnej správy o výkonnosti.</w:t>
            </w:r>
          </w:p>
        </w:tc>
      </w:tr>
      <w:tr w:rsidR="000A6903" w:rsidRPr="000A6903" w:rsidTr="009E1AE8">
        <w:trPr>
          <w:jc w:val="center"/>
        </w:trPr>
        <w:tc>
          <w:tcPr>
            <w:tcW w:w="4876" w:type="dxa"/>
          </w:tcPr>
          <w:p w:rsidR="000A6903" w:rsidRPr="0014456E" w:rsidRDefault="000A6903" w:rsidP="000A6903">
            <w:pPr>
              <w:widowControl w:val="0"/>
              <w:spacing w:after="120"/>
              <w:rPr>
                <w:szCs w:val="20"/>
                <w:lang w:val="en-GB"/>
              </w:rPr>
            </w:pPr>
          </w:p>
        </w:tc>
        <w:tc>
          <w:tcPr>
            <w:tcW w:w="4876" w:type="dxa"/>
          </w:tcPr>
          <w:p w:rsidR="000A6903" w:rsidRPr="0014456E" w:rsidRDefault="000A6903" w:rsidP="000A6903">
            <w:pPr>
              <w:widowControl w:val="0"/>
              <w:spacing w:after="120"/>
              <w:rPr>
                <w:szCs w:val="20"/>
              </w:rPr>
            </w:pPr>
            <w:r w:rsidRPr="0014456E">
              <w:rPr>
                <w:szCs w:val="20"/>
              </w:rPr>
              <w:t>_________________</w:t>
            </w:r>
          </w:p>
        </w:tc>
      </w:tr>
      <w:tr w:rsidR="000A6903" w:rsidRPr="000A6903" w:rsidTr="009E1AE8">
        <w:trPr>
          <w:jc w:val="center"/>
        </w:trPr>
        <w:tc>
          <w:tcPr>
            <w:tcW w:w="4876" w:type="dxa"/>
          </w:tcPr>
          <w:p w:rsidR="000A6903" w:rsidRPr="0014456E" w:rsidRDefault="000A6903" w:rsidP="000A6903">
            <w:pPr>
              <w:widowControl w:val="0"/>
              <w:spacing w:after="120"/>
              <w:rPr>
                <w:szCs w:val="20"/>
                <w:lang w:val="en-GB"/>
              </w:rPr>
            </w:pPr>
          </w:p>
        </w:tc>
        <w:tc>
          <w:tcPr>
            <w:tcW w:w="4876" w:type="dxa"/>
          </w:tcPr>
          <w:p w:rsidR="000A6903" w:rsidRPr="0014456E" w:rsidRDefault="000A6903" w:rsidP="000A6903">
            <w:pPr>
              <w:widowControl w:val="0"/>
              <w:spacing w:after="120"/>
              <w:rPr>
                <w:b/>
                <w:i/>
                <w:szCs w:val="20"/>
              </w:rPr>
            </w:pPr>
            <w:r w:rsidRPr="0014456E">
              <w:rPr>
                <w:b/>
                <w:i/>
                <w:szCs w:val="20"/>
                <w:vertAlign w:val="superscript"/>
              </w:rPr>
              <w:t>1a</w:t>
            </w:r>
            <w:r w:rsidRPr="0014456E">
              <w:rPr>
                <w:b/>
                <w:i/>
                <w:szCs w:val="20"/>
              </w:rPr>
              <w:t xml:space="preserve"> Smernica Európskeho parlamentu a Rady 2008/56/ES zo 17. júna 2008, ktorou sa ustanovuje rámec pre činnosť Spoločenstva v oblasti morskej environmentálnej politiky (rámcová smernica o morskej stratégii) (Ú. v. EÚ L 164, 25.6.2008, s. 19).</w:t>
            </w:r>
          </w:p>
        </w:tc>
      </w:tr>
    </w:tbl>
    <w:p w:rsidR="000A6903" w:rsidRPr="000A6903" w:rsidRDefault="000A6903" w:rsidP="000A6903">
      <w:r>
        <w:rPr>
          <w:rStyle w:val="HideTWBExt"/>
          <w:noProof w:val="0"/>
        </w:rPr>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9</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Odôvodnenie 15</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en-GB"/>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(15)</w:t>
            </w:r>
            <w:r w:rsidRPr="0014456E">
              <w:rPr>
                <w:szCs w:val="20"/>
              </w:rPr>
              <w:tab/>
              <w:t>V súlade s článkom 42 nariadenia Európskeho parlamentu a Rady (EÚ) č. 1380/2013 („nariadenie o SRP“)</w:t>
            </w:r>
            <w:r w:rsidRPr="0014456E">
              <w:rPr>
                <w:szCs w:val="20"/>
                <w:vertAlign w:val="superscript"/>
              </w:rPr>
              <w:t>7</w:t>
            </w:r>
            <w:r w:rsidRPr="0014456E">
              <w:rPr>
                <w:szCs w:val="20"/>
              </w:rPr>
              <w:t xml:space="preserve"> by finančná pomoc Únie v rámci ENRF mala byť podmienená dodržiavaním pravidiel SRP. Žiadosti od príjemcov, ktoré nie sú v súlade s platnými pravidlami SRP, by nemali byť prípustné.</w:t>
            </w:r>
          </w:p>
        </w:tc>
        <w:tc>
          <w:tcPr>
            <w:tcW w:w="4876" w:type="dxa"/>
          </w:tcPr>
          <w:p w:rsidR="000A6903" w:rsidRPr="0014456E" w:rsidRDefault="000A6903" w:rsidP="000A6903">
            <w:pPr>
              <w:widowControl w:val="0"/>
              <w:spacing w:after="120"/>
              <w:rPr>
                <w:szCs w:val="20"/>
              </w:rPr>
            </w:pPr>
            <w:r w:rsidRPr="0014456E">
              <w:rPr>
                <w:szCs w:val="20"/>
              </w:rPr>
              <w:t>(15)</w:t>
            </w:r>
            <w:r w:rsidRPr="0014456E">
              <w:rPr>
                <w:szCs w:val="20"/>
              </w:rPr>
              <w:tab/>
              <w:t>V súlade s článkom 42 nariadenia Európskeho parlamentu a Rady (EÚ) č. 1380/2013 („nariadenie o SRP“)</w:t>
            </w:r>
            <w:r w:rsidRPr="0014456E">
              <w:rPr>
                <w:szCs w:val="20"/>
                <w:vertAlign w:val="superscript"/>
              </w:rPr>
              <w:t>7</w:t>
            </w:r>
            <w:r w:rsidRPr="0014456E">
              <w:rPr>
                <w:szCs w:val="20"/>
              </w:rPr>
              <w:t xml:space="preserve"> by finančná pomoc Únie v rámci ENRF mala byť podmienená </w:t>
            </w:r>
            <w:r w:rsidRPr="0014456E">
              <w:rPr>
                <w:b/>
                <w:i/>
                <w:szCs w:val="20"/>
              </w:rPr>
              <w:t xml:space="preserve">plnohodnotným </w:t>
            </w:r>
            <w:r w:rsidRPr="0014456E">
              <w:rPr>
                <w:szCs w:val="20"/>
              </w:rPr>
              <w:t>dodržiavaním pravidiel SRP</w:t>
            </w:r>
            <w:r w:rsidRPr="0014456E">
              <w:rPr>
                <w:b/>
                <w:i/>
                <w:szCs w:val="20"/>
              </w:rPr>
              <w:t xml:space="preserve"> a príslušného environmentálneho práva EÚ.</w:t>
            </w:r>
            <w:r w:rsidRPr="0014456E">
              <w:rPr>
                <w:szCs w:val="20"/>
              </w:rPr>
              <w:t xml:space="preserve"> </w:t>
            </w:r>
            <w:r w:rsidRPr="0014456E">
              <w:rPr>
                <w:b/>
                <w:i/>
                <w:szCs w:val="20"/>
              </w:rPr>
              <w:t>Finančná pomoc Únie by sa mala poskytovať len tým subjektom a tým členským štátom, ktoré v plnej miere dodržiavajú svoje príslušné právne povinnosti</w:t>
            </w:r>
            <w:r w:rsidRPr="0014456E">
              <w:rPr>
                <w:szCs w:val="20"/>
              </w:rPr>
              <w:t>. Žiadosti od príjemcov, ktoré nie sú v súlade s platnými pravidlami SRP, by nemali byť prípustné.</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_________________</w:t>
            </w:r>
          </w:p>
        </w:tc>
        <w:tc>
          <w:tcPr>
            <w:tcW w:w="4876" w:type="dxa"/>
          </w:tcPr>
          <w:p w:rsidR="000A6903" w:rsidRPr="0014456E" w:rsidRDefault="000A6903" w:rsidP="000A6903">
            <w:pPr>
              <w:widowControl w:val="0"/>
              <w:spacing w:after="120"/>
              <w:rPr>
                <w:szCs w:val="20"/>
              </w:rPr>
            </w:pPr>
            <w:r w:rsidRPr="0014456E">
              <w:rPr>
                <w:szCs w:val="20"/>
              </w:rPr>
              <w:t>_________________</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vertAlign w:val="superscript"/>
              </w:rPr>
              <w:t>7</w:t>
            </w:r>
            <w:r w:rsidRPr="0014456E">
              <w:rPr>
                <w:szCs w:val="20"/>
              </w:rPr>
              <w:t xml:space="preserve"> Nariadenie Európskeho parlamentu a Rady (EÚ) č. 1380/2013 z 11. decembra 2013 o spoločnej rybárskej politike, ktorým sa menia nariadenia Rady (ES) č. 1954/2003 a (ES) č. 1224/2009, a ktorým sa zrušujú nariadenia Rady (ES) č. 2371/2002 a (ES) č. 639/2004 a </w:t>
            </w:r>
            <w:r w:rsidRPr="0014456E">
              <w:rPr>
                <w:szCs w:val="20"/>
              </w:rPr>
              <w:lastRenderedPageBreak/>
              <w:t>rozhodnutie Rady 2004/585/ES (Ú. v. EÚ L 354, 28.12.2013, s. 22).</w:t>
            </w:r>
          </w:p>
        </w:tc>
        <w:tc>
          <w:tcPr>
            <w:tcW w:w="4876" w:type="dxa"/>
          </w:tcPr>
          <w:p w:rsidR="000A6903" w:rsidRPr="0014456E" w:rsidRDefault="000A6903" w:rsidP="000A6903">
            <w:pPr>
              <w:widowControl w:val="0"/>
              <w:spacing w:after="120"/>
              <w:rPr>
                <w:szCs w:val="20"/>
              </w:rPr>
            </w:pPr>
            <w:r w:rsidRPr="0014456E">
              <w:rPr>
                <w:szCs w:val="20"/>
                <w:vertAlign w:val="superscript"/>
              </w:rPr>
              <w:lastRenderedPageBreak/>
              <w:t>7</w:t>
            </w:r>
            <w:r w:rsidRPr="0014456E">
              <w:rPr>
                <w:szCs w:val="20"/>
              </w:rPr>
              <w:t xml:space="preserve"> Nariadenie Európskeho parlamentu a Rady (EÚ) č. 1380/2013 z 11. decembra 2013 o spoločnej rybárskej politike, ktorým sa menia nariadenia Rady (ES) č. 1954/2003 a (ES) č. 1224/2009, a ktorým sa zrušujú nariadenia Rady (ES) č. 2371/2002 a (ES) č. 639/2004 a </w:t>
            </w:r>
            <w:r w:rsidRPr="0014456E">
              <w:rPr>
                <w:szCs w:val="20"/>
              </w:rPr>
              <w:lastRenderedPageBreak/>
              <w:t>rozhodnutie Rady 2004/585/ES (Ú. v. EÚ L 354, 28.12.2013, s. 22).</w:t>
            </w:r>
          </w:p>
        </w:tc>
      </w:tr>
    </w:tbl>
    <w:p w:rsidR="000A6903" w:rsidRPr="000A6903" w:rsidRDefault="000A6903" w:rsidP="000A6903">
      <w:r>
        <w:rPr>
          <w:rStyle w:val="HideTWBExt"/>
          <w:noProof w:val="0"/>
        </w:rPr>
        <w:lastRenderedPageBreak/>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10</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Odôvodnenie 16</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en-GB"/>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(16)</w:t>
            </w:r>
            <w:r w:rsidRPr="0014456E">
              <w:rPr>
                <w:szCs w:val="20"/>
              </w:rPr>
              <w:tab/>
              <w:t>S cieľom riešiť osobitné podmienky SRP uvedené v nariadení (EÚ) č. 1380/2013 a prispieť k dodržiavaniu pravidiel SRP by sa mali prijať dodatočné ustanovenia týkajúce sa pravidiel prerušenia, pozastavenia a finančných opráv uvedené v nariadení (EÚ) č. [všeobecné nariadenie]. Ak členský štát alebo príjemca nedodrží svoje záväzky vyplývajúce zo SRP alebo ak má Komisia dôkaz, z ktorého vyplýva takéto nedodržanie, Komisia by mala mať možnosť preventívne prerušiť platobné lehoty. Okrem možnosti prerušenia platobnej lehoty a s cieľom vyhnúť sa zjavnému riziku vyplatenia neoprávnených výdavkov by Komisia mala mať v prípadoch závažného nedodržiavania pravidiel SRP zo strany členského štátu možnosť pozastaviť platby a uložiť finančné opravy.</w:t>
            </w:r>
          </w:p>
        </w:tc>
        <w:tc>
          <w:tcPr>
            <w:tcW w:w="4876" w:type="dxa"/>
          </w:tcPr>
          <w:p w:rsidR="000A6903" w:rsidRPr="0014456E" w:rsidRDefault="000A6903" w:rsidP="000A6903">
            <w:pPr>
              <w:widowControl w:val="0"/>
              <w:spacing w:after="120"/>
              <w:rPr>
                <w:szCs w:val="20"/>
              </w:rPr>
            </w:pPr>
            <w:r w:rsidRPr="0014456E">
              <w:rPr>
                <w:szCs w:val="20"/>
              </w:rPr>
              <w:t>(16)</w:t>
            </w:r>
            <w:r w:rsidRPr="0014456E">
              <w:rPr>
                <w:szCs w:val="20"/>
              </w:rPr>
              <w:tab/>
              <w:t xml:space="preserve">S cieľom riešiť osobitné podmienky SRP uvedené v nariadení (EÚ) č. 1380/2013 a prispieť k </w:t>
            </w:r>
            <w:r w:rsidRPr="0014456E">
              <w:rPr>
                <w:b/>
                <w:i/>
                <w:szCs w:val="20"/>
              </w:rPr>
              <w:t xml:space="preserve">úplnému </w:t>
            </w:r>
            <w:r w:rsidRPr="0014456E">
              <w:rPr>
                <w:szCs w:val="20"/>
              </w:rPr>
              <w:t>dodržiavaniu pravidiel SRP by sa mali prijať dodatočné ustanovenia týkajúce sa pravidiel prerušenia, pozastavenia a finančných opráv uvedené v nariadení (EÚ) č. [všeobecné nariadenie]. Ak členský štát alebo príjemca nedodrží svoje záväzky vyplývajúce zo SRP alebo ak má Komisia dôkaz, z ktorého vyplýva takéto nedodržanie, Komisia by mala mať možnosť preventívne prerušiť platobné lehoty. Okrem možnosti prerušenia platobnej lehoty a s cieľom vyhnúť sa zjavnému riziku vyplatenia neoprávnených výdavkov by Komisia mala mať v prípadoch závažného nedodržiavania pravidiel SRP zo strany členského štátu možnosť pozastaviť platby a uložiť finančné opravy.</w:t>
            </w:r>
          </w:p>
        </w:tc>
      </w:tr>
    </w:tbl>
    <w:p w:rsidR="000A6903" w:rsidRPr="000A6903" w:rsidRDefault="000A6903" w:rsidP="000A6903">
      <w:r>
        <w:rPr>
          <w:rStyle w:val="HideTWBExt"/>
          <w:noProof w:val="0"/>
        </w:rPr>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11</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Odôvodnenie 17</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en-GB"/>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(17)</w:t>
            </w:r>
            <w:r w:rsidRPr="0014456E">
              <w:rPr>
                <w:szCs w:val="20"/>
              </w:rPr>
              <w:tab/>
              <w:t xml:space="preserve">V uplynulých rokoch </w:t>
            </w:r>
            <w:r w:rsidRPr="0014456E">
              <w:rPr>
                <w:b/>
                <w:i/>
                <w:szCs w:val="20"/>
              </w:rPr>
              <w:t>zaznamenala</w:t>
            </w:r>
            <w:r w:rsidRPr="0014456E">
              <w:rPr>
                <w:szCs w:val="20"/>
              </w:rPr>
              <w:t xml:space="preserve"> SRP </w:t>
            </w:r>
            <w:r w:rsidRPr="0014456E">
              <w:rPr>
                <w:b/>
                <w:i/>
                <w:szCs w:val="20"/>
              </w:rPr>
              <w:t>dobré výsledky z hľadiska obnovenia</w:t>
            </w:r>
            <w:r w:rsidRPr="0014456E">
              <w:rPr>
                <w:szCs w:val="20"/>
              </w:rPr>
              <w:t xml:space="preserve"> zdravej úrovne populácií rýb, </w:t>
            </w:r>
            <w:r w:rsidRPr="0014456E">
              <w:rPr>
                <w:b/>
                <w:i/>
                <w:szCs w:val="20"/>
              </w:rPr>
              <w:t>zvýšenia</w:t>
            </w:r>
            <w:r w:rsidRPr="0014456E">
              <w:rPr>
                <w:szCs w:val="20"/>
              </w:rPr>
              <w:t xml:space="preserve"> ziskovosti odvetvia rybolovu v Únii a </w:t>
            </w:r>
            <w:r w:rsidRPr="0014456E">
              <w:rPr>
                <w:b/>
                <w:i/>
                <w:szCs w:val="20"/>
              </w:rPr>
              <w:t>ochrany</w:t>
            </w:r>
            <w:r w:rsidRPr="0014456E">
              <w:rPr>
                <w:szCs w:val="20"/>
              </w:rPr>
              <w:t xml:space="preserve"> morských ekosystémov. Stále však pretrvávajú závažné výzvy na dosiahnutie sociálno-ekonomických cieľov </w:t>
            </w:r>
            <w:r w:rsidRPr="0014456E">
              <w:rPr>
                <w:szCs w:val="20"/>
              </w:rPr>
              <w:lastRenderedPageBreak/>
              <w:t>SRP a environmentálnych cieľov SRP. To si vyžaduje trvalú podporu po roku 2020, najmä v morských oblastiach, kde je pokrok pomalší.</w:t>
            </w:r>
          </w:p>
        </w:tc>
        <w:tc>
          <w:tcPr>
            <w:tcW w:w="4876" w:type="dxa"/>
          </w:tcPr>
          <w:p w:rsidR="000A6903" w:rsidRPr="0014456E" w:rsidRDefault="000A6903" w:rsidP="000A6903">
            <w:pPr>
              <w:widowControl w:val="0"/>
              <w:spacing w:after="120"/>
              <w:rPr>
                <w:szCs w:val="20"/>
              </w:rPr>
            </w:pPr>
            <w:r w:rsidRPr="0014456E">
              <w:rPr>
                <w:szCs w:val="20"/>
              </w:rPr>
              <w:lastRenderedPageBreak/>
              <w:t>(17)</w:t>
            </w:r>
            <w:r w:rsidRPr="0014456E">
              <w:rPr>
                <w:szCs w:val="20"/>
              </w:rPr>
              <w:tab/>
              <w:t xml:space="preserve">V uplynulých rokoch </w:t>
            </w:r>
            <w:r w:rsidRPr="0014456E">
              <w:rPr>
                <w:b/>
                <w:i/>
                <w:szCs w:val="20"/>
              </w:rPr>
              <w:t>sa v rámci</w:t>
            </w:r>
            <w:r w:rsidRPr="0014456E">
              <w:rPr>
                <w:szCs w:val="20"/>
              </w:rPr>
              <w:t xml:space="preserve"> SRP </w:t>
            </w:r>
            <w:r w:rsidRPr="0014456E">
              <w:rPr>
                <w:b/>
                <w:i/>
                <w:szCs w:val="20"/>
              </w:rPr>
              <w:t>podnikli kroky zamerané na obnovenie</w:t>
            </w:r>
            <w:r w:rsidRPr="0014456E">
              <w:rPr>
                <w:szCs w:val="20"/>
              </w:rPr>
              <w:t xml:space="preserve"> zdravej úrovne populácií rýb, </w:t>
            </w:r>
            <w:r w:rsidRPr="0014456E">
              <w:rPr>
                <w:b/>
                <w:i/>
                <w:szCs w:val="20"/>
              </w:rPr>
              <w:t>zvýšenie</w:t>
            </w:r>
            <w:r w:rsidRPr="0014456E">
              <w:rPr>
                <w:szCs w:val="20"/>
              </w:rPr>
              <w:t xml:space="preserve"> ziskovosti odvetvia rybolovu v Únii a </w:t>
            </w:r>
            <w:r w:rsidRPr="0014456E">
              <w:rPr>
                <w:b/>
                <w:i/>
                <w:szCs w:val="20"/>
              </w:rPr>
              <w:t>na ochranu</w:t>
            </w:r>
            <w:r w:rsidRPr="0014456E">
              <w:rPr>
                <w:szCs w:val="20"/>
              </w:rPr>
              <w:t xml:space="preserve"> morských ekosystémov. Stále však pretrvávajú závažné výzvy na </w:t>
            </w:r>
            <w:r w:rsidRPr="0014456E">
              <w:rPr>
                <w:b/>
                <w:i/>
                <w:szCs w:val="20"/>
              </w:rPr>
              <w:t xml:space="preserve">plnohodnotné </w:t>
            </w:r>
            <w:r w:rsidRPr="0014456E">
              <w:rPr>
                <w:szCs w:val="20"/>
              </w:rPr>
              <w:t>dosiahnutie sociálno-</w:t>
            </w:r>
            <w:r w:rsidRPr="0014456E">
              <w:rPr>
                <w:szCs w:val="20"/>
              </w:rPr>
              <w:lastRenderedPageBreak/>
              <w:t>ekonomických cieľov SRP a environmentálnych cieľov SRP</w:t>
            </w:r>
            <w:r w:rsidRPr="0014456E">
              <w:rPr>
                <w:b/>
                <w:i/>
                <w:szCs w:val="20"/>
              </w:rPr>
              <w:t xml:space="preserve"> vrátane právnej povinnosti obnoviť a zachovať všetky populácie rýb nad úrovňami biomasy, pri ktorých možno dosiahnuť maximálny udržateľný výnos</w:t>
            </w:r>
            <w:r w:rsidRPr="0014456E">
              <w:rPr>
                <w:szCs w:val="20"/>
              </w:rPr>
              <w:t>. To si vyžaduje trvalú podporu po roku 2020, najmä v morských oblastiach, kde je pokrok pomalší.</w:t>
            </w:r>
          </w:p>
        </w:tc>
      </w:tr>
    </w:tbl>
    <w:p w:rsidR="000A6903" w:rsidRPr="000A6903" w:rsidRDefault="000A6903" w:rsidP="000A6903">
      <w:r>
        <w:rPr>
          <w:rStyle w:val="HideTWBExt"/>
          <w:noProof w:val="0"/>
        </w:rPr>
        <w:lastRenderedPageBreak/>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12</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Odôvodnenie 18</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en-GB"/>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(18)</w:t>
            </w:r>
            <w:r w:rsidRPr="0014456E">
              <w:rPr>
                <w:szCs w:val="20"/>
              </w:rPr>
              <w:tab/>
              <w:t>Rybolov má rozhodujúci význam pri zachovaní živobytia a kultúrneho dedičstva mnohých pobrežných komunít v Únii, najmä tam, kde zohráva dôležitú úlohu maloobjemový pobrežný rybolov. Keďže priemerný vek v rámci mnohých rybárskych komunít je viac ako 50 rokov, generačná obnova a diverzifikácia činností stále predstavujú výzvu.</w:t>
            </w:r>
          </w:p>
        </w:tc>
        <w:tc>
          <w:tcPr>
            <w:tcW w:w="4876" w:type="dxa"/>
          </w:tcPr>
          <w:p w:rsidR="000A6903" w:rsidRPr="0014456E" w:rsidRDefault="000A6903" w:rsidP="000A6903">
            <w:pPr>
              <w:widowControl w:val="0"/>
              <w:spacing w:after="120"/>
              <w:rPr>
                <w:szCs w:val="20"/>
              </w:rPr>
            </w:pPr>
            <w:r w:rsidRPr="0014456E">
              <w:rPr>
                <w:szCs w:val="20"/>
              </w:rPr>
              <w:tab/>
              <w:t xml:space="preserve">Rybolov má rozhodujúci význam pri zachovaní živobytia a kultúrneho dedičstva mnohých pobrežných </w:t>
            </w:r>
            <w:r w:rsidRPr="0014456E">
              <w:rPr>
                <w:b/>
                <w:i/>
                <w:szCs w:val="20"/>
              </w:rPr>
              <w:t xml:space="preserve">a ostrovných </w:t>
            </w:r>
            <w:r w:rsidRPr="0014456E">
              <w:rPr>
                <w:szCs w:val="20"/>
              </w:rPr>
              <w:t>komunít v Únii, najmä tam, kde zohráva dôležitú úlohu maloobjemový pobrežný rybolov. Keďže priemerný vek v rámci mnohých rybárskych komunít je viac ako 50 rokov, generačná obnova a diverzifikácia činností stále predstavujú výzvu.</w:t>
            </w:r>
          </w:p>
        </w:tc>
      </w:tr>
    </w:tbl>
    <w:p w:rsidR="000A6903" w:rsidRPr="000A6903" w:rsidRDefault="000A6903" w:rsidP="000A6903">
      <w:r>
        <w:rPr>
          <w:rStyle w:val="HideTWBExt"/>
          <w:noProof w:val="0"/>
        </w:rPr>
        <w:t>&lt;/Amend&gt;</w:t>
      </w:r>
    </w:p>
    <w:p w:rsidR="000A6903" w:rsidRPr="000A6903" w:rsidRDefault="000A6903" w:rsidP="000A6903">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13</w:t>
      </w:r>
      <w:r>
        <w:rPr>
          <w:rStyle w:val="HideTWBExt"/>
          <w:noProof w:val="0"/>
        </w:rPr>
        <w:t>&lt;/NumAm&gt;</w:t>
      </w:r>
    </w:p>
    <w:p w:rsidR="000A6903" w:rsidRPr="000A6903" w:rsidRDefault="000A6903" w:rsidP="000A6903">
      <w:pPr>
        <w:keepNext/>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Odôvodnenie 18 a (nové)</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A6903" w:rsidRPr="000A6903" w:rsidTr="009E1AE8">
        <w:trPr>
          <w:jc w:val="center"/>
        </w:trPr>
        <w:tc>
          <w:tcPr>
            <w:tcW w:w="9752" w:type="dxa"/>
            <w:gridSpan w:val="2"/>
          </w:tcPr>
          <w:p w:rsidR="000A6903" w:rsidRPr="000A6903" w:rsidRDefault="000A6903" w:rsidP="000A6903">
            <w:pPr>
              <w:keepNext/>
              <w:rPr>
                <w:lang w:val="en-GB"/>
              </w:rPr>
            </w:pPr>
          </w:p>
        </w:tc>
      </w:tr>
      <w:tr w:rsidR="000A6903" w:rsidRPr="000A6903" w:rsidTr="009E1AE8">
        <w:trPr>
          <w:jc w:val="center"/>
        </w:trPr>
        <w:tc>
          <w:tcPr>
            <w:tcW w:w="4876" w:type="dxa"/>
          </w:tcPr>
          <w:p w:rsidR="000A6903" w:rsidRPr="0014456E" w:rsidRDefault="000A6903" w:rsidP="000A6903">
            <w:pPr>
              <w:keepNext/>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keepNext/>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lang w:val="en-GB"/>
              </w:rPr>
            </w:pPr>
          </w:p>
        </w:tc>
        <w:tc>
          <w:tcPr>
            <w:tcW w:w="4876" w:type="dxa"/>
          </w:tcPr>
          <w:p w:rsidR="000A6903" w:rsidRPr="0014456E" w:rsidRDefault="000A6903" w:rsidP="000A6903">
            <w:pPr>
              <w:widowControl w:val="0"/>
              <w:spacing w:after="120"/>
            </w:pPr>
            <w:r w:rsidRPr="0014456E">
              <w:rPr>
                <w:b/>
                <w:i/>
                <w:szCs w:val="20"/>
              </w:rPr>
              <w:t>(18a)</w:t>
            </w:r>
            <w:r w:rsidRPr="0014456E">
              <w:rPr>
                <w:b/>
                <w:i/>
                <w:szCs w:val="20"/>
              </w:rPr>
              <w:tab/>
              <w:t xml:space="preserve">K dosiahnutiu cieľov spoločnej rybárskej politiky prispieva vykonávanie mechanizmov spoločného riadenia v oblasti profesionálnej a rekreačnej rybolovnej činnosti a akvakultúry s priamou účasťou zainteresovaných strán, ako je administratíva, odvetvie rybolovu a akvakultúry, vedecká obec a občianska spoločnosť, ktorých funkčnosť sa zakladá na spravodlivom rozdelení zodpovedností v rozhodovacom procese a </w:t>
            </w:r>
            <w:r w:rsidRPr="0014456E">
              <w:rPr>
                <w:b/>
                <w:i/>
                <w:szCs w:val="20"/>
              </w:rPr>
              <w:lastRenderedPageBreak/>
              <w:t>na flexibilnom riadení založenom na znalostiach, informáciách a bezprostrednosti. ENRF by mal podporovať vykonávanie týchto mechanizmov na miestnej úrovni.</w:t>
            </w:r>
          </w:p>
        </w:tc>
      </w:tr>
    </w:tbl>
    <w:p w:rsidR="000A6903" w:rsidRPr="000A6903" w:rsidRDefault="000A6903" w:rsidP="000A6903">
      <w:pPr>
        <w:keepNext/>
        <w:widowControl w:val="0"/>
        <w:spacing w:before="240" w:after="240"/>
        <w:jc w:val="center"/>
        <w:rPr>
          <w:i/>
          <w:szCs w:val="20"/>
        </w:rPr>
      </w:pPr>
      <w:r>
        <w:rPr>
          <w:rStyle w:val="HideTWBExt"/>
          <w:noProof w:val="0"/>
        </w:rPr>
        <w:lastRenderedPageBreak/>
        <w:t>&lt;TitreJust&gt;</w:t>
      </w:r>
      <w:r w:rsidRPr="0014456E">
        <w:rPr>
          <w:i/>
          <w:szCs w:val="20"/>
        </w:rPr>
        <w:t>Odôvodnenie</w:t>
      </w:r>
      <w:r>
        <w:rPr>
          <w:rStyle w:val="HideTWBExt"/>
          <w:noProof w:val="0"/>
        </w:rPr>
        <w:t>&lt;/TitreJust&gt;</w:t>
      </w:r>
    </w:p>
    <w:p w:rsidR="000A6903" w:rsidRPr="000A6903" w:rsidRDefault="000A6903" w:rsidP="000A6903">
      <w:pPr>
        <w:widowControl w:val="0"/>
        <w:spacing w:after="240"/>
        <w:rPr>
          <w:i/>
          <w:szCs w:val="20"/>
        </w:rPr>
      </w:pPr>
      <w:r>
        <w:rPr>
          <w:i/>
          <w:szCs w:val="20"/>
        </w:rPr>
        <w:t>Model spoločného riadenia rozvíja svoj maximálny potenciál v rámci bioekonomického riadenia, ktoré rešpektuje ekosystém a zásadu predbežnej opatrnosti. Tento model by mal poskytovať nástroje, ktoré umožňujú reagovať na meniace sa skutočnosti, príznačné pre flexibilné riadenie, v reálnom čase.</w:t>
      </w:r>
    </w:p>
    <w:p w:rsidR="000A6903" w:rsidRPr="000A6903" w:rsidRDefault="000A6903" w:rsidP="000A6903">
      <w:r>
        <w:rPr>
          <w:rStyle w:val="HideTWBExt"/>
          <w:noProof w:val="0"/>
        </w:rPr>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14</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Odôvodnenie 19</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en-GB"/>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(19)</w:t>
            </w:r>
            <w:r w:rsidRPr="0014456E">
              <w:rPr>
                <w:szCs w:val="20"/>
              </w:rPr>
              <w:tab/>
              <w:t xml:space="preserve">ENRF by </w:t>
            </w:r>
            <w:r w:rsidRPr="0014456E">
              <w:rPr>
                <w:b/>
                <w:i/>
                <w:szCs w:val="20"/>
              </w:rPr>
              <w:t xml:space="preserve">sa </w:t>
            </w:r>
            <w:r w:rsidRPr="0014456E">
              <w:rPr>
                <w:szCs w:val="20"/>
              </w:rPr>
              <w:t xml:space="preserve">mal </w:t>
            </w:r>
            <w:r w:rsidRPr="0014456E">
              <w:rPr>
                <w:b/>
                <w:i/>
                <w:szCs w:val="20"/>
              </w:rPr>
              <w:t>zamerať na dosahovanie</w:t>
            </w:r>
            <w:r w:rsidRPr="0014456E">
              <w:rPr>
                <w:szCs w:val="20"/>
              </w:rPr>
              <w:t xml:space="preserve"> cieľov SRP v environmentálnej, hospodárskej a sociálnej oblasti, ako aj v oblasti zamestnanosti, ktoré sú stanovené v článku 2 nariadenia (EÚ) č. 1380/2013. Takouto podporou by sa malo zabezpečiť, aby boli rybolovné činnosti dlhodobo environmentálne udržateľné a riadili sa spôsobom, ktorý je v súlade s</w:t>
            </w:r>
            <w:r w:rsidRPr="0014456E">
              <w:rPr>
                <w:b/>
                <w:i/>
                <w:szCs w:val="20"/>
              </w:rPr>
              <w:t xml:space="preserve"> cieľmi</w:t>
            </w:r>
            <w:r w:rsidRPr="0014456E">
              <w:rPr>
                <w:szCs w:val="20"/>
              </w:rPr>
              <w:t xml:space="preserve">, </w:t>
            </w:r>
            <w:r w:rsidRPr="0014456E">
              <w:rPr>
                <w:b/>
                <w:i/>
                <w:szCs w:val="20"/>
              </w:rPr>
              <w:t>ktorými je dosiahnuť hospodársky</w:t>
            </w:r>
            <w:r w:rsidRPr="0014456E">
              <w:rPr>
                <w:szCs w:val="20"/>
              </w:rPr>
              <w:t xml:space="preserve"> a</w:t>
            </w:r>
            <w:r w:rsidRPr="0014456E">
              <w:rPr>
                <w:b/>
                <w:i/>
                <w:szCs w:val="20"/>
              </w:rPr>
              <w:t xml:space="preserve"> sociálny prínos</w:t>
            </w:r>
            <w:r w:rsidRPr="0014456E">
              <w:rPr>
                <w:szCs w:val="20"/>
              </w:rPr>
              <w:t xml:space="preserve"> a </w:t>
            </w:r>
            <w:r w:rsidRPr="0014456E">
              <w:rPr>
                <w:b/>
                <w:i/>
                <w:szCs w:val="20"/>
              </w:rPr>
              <w:t>prínos</w:t>
            </w:r>
            <w:r w:rsidRPr="0014456E">
              <w:rPr>
                <w:szCs w:val="20"/>
              </w:rPr>
              <w:t xml:space="preserve"> v oblasti zamestnanosti</w:t>
            </w:r>
            <w:r w:rsidRPr="0014456E">
              <w:rPr>
                <w:b/>
                <w:i/>
                <w:szCs w:val="20"/>
              </w:rPr>
              <w:t xml:space="preserve"> a prispieť</w:t>
            </w:r>
            <w:r w:rsidRPr="0014456E">
              <w:rPr>
                <w:szCs w:val="20"/>
              </w:rPr>
              <w:t xml:space="preserve"> k dostupnosti dodávok potravín.</w:t>
            </w:r>
          </w:p>
        </w:tc>
        <w:tc>
          <w:tcPr>
            <w:tcW w:w="4876" w:type="dxa"/>
          </w:tcPr>
          <w:p w:rsidR="000A6903" w:rsidRPr="0014456E" w:rsidRDefault="000A6903" w:rsidP="000A6903">
            <w:pPr>
              <w:widowControl w:val="0"/>
              <w:spacing w:after="120"/>
              <w:rPr>
                <w:szCs w:val="20"/>
              </w:rPr>
            </w:pPr>
            <w:r w:rsidRPr="0014456E">
              <w:rPr>
                <w:szCs w:val="20"/>
              </w:rPr>
              <w:t>(19)</w:t>
            </w:r>
            <w:r w:rsidRPr="0014456E">
              <w:rPr>
                <w:szCs w:val="20"/>
              </w:rPr>
              <w:tab/>
              <w:t xml:space="preserve">ENRF by mal </w:t>
            </w:r>
            <w:r w:rsidRPr="0014456E">
              <w:rPr>
                <w:b/>
                <w:i/>
                <w:szCs w:val="20"/>
              </w:rPr>
              <w:t>prispievať k dosahovaniu</w:t>
            </w:r>
            <w:r w:rsidRPr="0014456E">
              <w:rPr>
                <w:szCs w:val="20"/>
              </w:rPr>
              <w:t xml:space="preserve"> cieľov SRP v environmentálnej, hospodárskej a sociálnej oblasti, ako aj v oblasti zamestnanosti, ktoré sú stanovené v článku 2 nariadenia (EÚ) č. 1380/2013. Takouto podporou by sa malo zabezpečiť, aby boli rybolovné činnosti dlhodobo environmentálne udržateľné a riadili sa spôsobom, ktorý je v súlade s</w:t>
            </w:r>
            <w:r w:rsidRPr="0014456E">
              <w:rPr>
                <w:b/>
                <w:i/>
                <w:szCs w:val="20"/>
              </w:rPr>
              <w:t> cieľmi stanovenými v článku 2 ods. 2 nariadenia (EÚ) č. 1380/2013</w:t>
            </w:r>
            <w:r w:rsidRPr="0014456E">
              <w:rPr>
                <w:szCs w:val="20"/>
              </w:rPr>
              <w:t xml:space="preserve">, </w:t>
            </w:r>
            <w:r w:rsidRPr="0014456E">
              <w:rPr>
                <w:b/>
                <w:i/>
                <w:szCs w:val="20"/>
              </w:rPr>
              <w:t>ktoré majú prispieť k dosiahnutiu hospodárskeho</w:t>
            </w:r>
            <w:r w:rsidRPr="0014456E">
              <w:rPr>
                <w:szCs w:val="20"/>
              </w:rPr>
              <w:t xml:space="preserve"> a</w:t>
            </w:r>
            <w:r w:rsidRPr="0014456E">
              <w:rPr>
                <w:b/>
                <w:i/>
                <w:szCs w:val="20"/>
              </w:rPr>
              <w:t> sociálneho prínosu</w:t>
            </w:r>
            <w:r w:rsidRPr="0014456E">
              <w:rPr>
                <w:szCs w:val="20"/>
              </w:rPr>
              <w:t xml:space="preserve"> a </w:t>
            </w:r>
            <w:r w:rsidRPr="0014456E">
              <w:rPr>
                <w:b/>
                <w:i/>
                <w:szCs w:val="20"/>
              </w:rPr>
              <w:t>prínosu</w:t>
            </w:r>
            <w:r w:rsidRPr="0014456E">
              <w:rPr>
                <w:szCs w:val="20"/>
              </w:rPr>
              <w:t xml:space="preserve"> v oblasti zamestnanosti</w:t>
            </w:r>
            <w:r w:rsidRPr="0014456E">
              <w:rPr>
                <w:b/>
                <w:i/>
                <w:szCs w:val="20"/>
              </w:rPr>
              <w:t>, ako aj</w:t>
            </w:r>
            <w:r w:rsidRPr="0014456E">
              <w:rPr>
                <w:szCs w:val="20"/>
              </w:rPr>
              <w:t xml:space="preserve"> k dostupnosti dodávok potravín.</w:t>
            </w:r>
          </w:p>
        </w:tc>
      </w:tr>
    </w:tbl>
    <w:p w:rsidR="000A6903" w:rsidRPr="000A6903" w:rsidRDefault="000A6903" w:rsidP="000A6903">
      <w:r>
        <w:rPr>
          <w:rStyle w:val="HideTWBExt"/>
          <w:noProof w:val="0"/>
        </w:rPr>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15</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Odôvodnenie 20</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en-GB"/>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(20)</w:t>
            </w:r>
            <w:r w:rsidRPr="0014456E">
              <w:rPr>
                <w:szCs w:val="20"/>
              </w:rPr>
              <w:tab/>
            </w:r>
            <w:r w:rsidRPr="0014456E">
              <w:rPr>
                <w:b/>
                <w:i/>
                <w:szCs w:val="20"/>
              </w:rPr>
              <w:t>Prvoradým cieľom podpory</w:t>
            </w:r>
            <w:r w:rsidRPr="0014456E">
              <w:rPr>
                <w:szCs w:val="20"/>
              </w:rPr>
              <w:t xml:space="preserve"> z ENRF by </w:t>
            </w:r>
            <w:r w:rsidRPr="0014456E">
              <w:rPr>
                <w:b/>
                <w:i/>
                <w:szCs w:val="20"/>
              </w:rPr>
              <w:t xml:space="preserve">malo byť uľahčiť prechod na </w:t>
            </w:r>
            <w:r w:rsidRPr="0014456E">
              <w:rPr>
                <w:b/>
                <w:i/>
                <w:szCs w:val="20"/>
              </w:rPr>
              <w:lastRenderedPageBreak/>
              <w:t>udržateľný rybolov na základe maximálneho udržateľného výnosu (MSY)</w:t>
            </w:r>
            <w:r w:rsidRPr="0014456E">
              <w:rPr>
                <w:szCs w:val="20"/>
              </w:rPr>
              <w:t xml:space="preserve"> a</w:t>
            </w:r>
            <w:r w:rsidRPr="0014456E">
              <w:rPr>
                <w:b/>
                <w:i/>
                <w:szCs w:val="20"/>
              </w:rPr>
              <w:t xml:space="preserve"> znížiť</w:t>
            </w:r>
            <w:r w:rsidRPr="0014456E">
              <w:rPr>
                <w:szCs w:val="20"/>
              </w:rPr>
              <w:t xml:space="preserve"> na minimum negatívne účinky rybolovných činností na morské ekosystémy. Táto podpora by sa mala vzťahovať aj na inovácie a investície do rybolovných postupov a techník, ktoré sú šetrné, odolné voči zmene klímy a nízkouhlíkové.</w:t>
            </w:r>
          </w:p>
        </w:tc>
        <w:tc>
          <w:tcPr>
            <w:tcW w:w="4876" w:type="dxa"/>
          </w:tcPr>
          <w:p w:rsidR="000A6903" w:rsidRPr="0014456E" w:rsidRDefault="000A6903" w:rsidP="000A6903">
            <w:pPr>
              <w:widowControl w:val="0"/>
              <w:spacing w:after="120"/>
              <w:rPr>
                <w:szCs w:val="20"/>
              </w:rPr>
            </w:pPr>
            <w:r w:rsidRPr="0014456E">
              <w:rPr>
                <w:szCs w:val="20"/>
              </w:rPr>
              <w:lastRenderedPageBreak/>
              <w:t>(20)</w:t>
            </w:r>
            <w:r w:rsidRPr="0014456E">
              <w:rPr>
                <w:szCs w:val="20"/>
              </w:rPr>
              <w:tab/>
            </w:r>
            <w:r w:rsidRPr="0014456E">
              <w:rPr>
                <w:b/>
                <w:i/>
                <w:szCs w:val="20"/>
              </w:rPr>
              <w:t>Podpora</w:t>
            </w:r>
            <w:r w:rsidRPr="0014456E">
              <w:rPr>
                <w:szCs w:val="20"/>
              </w:rPr>
              <w:t xml:space="preserve"> z ENRF by </w:t>
            </w:r>
            <w:r w:rsidRPr="0014456E">
              <w:rPr>
                <w:b/>
                <w:i/>
                <w:szCs w:val="20"/>
              </w:rPr>
              <w:t xml:space="preserve">mala prispievať ku včasnému plneniu právnej </w:t>
            </w:r>
            <w:r w:rsidRPr="0014456E">
              <w:rPr>
                <w:b/>
                <w:i/>
                <w:szCs w:val="20"/>
              </w:rPr>
              <w:lastRenderedPageBreak/>
              <w:t>povinnosti obnoviť a zachovať všetky populácie rýb nad úrovňami biomasy, pri ktorých možno dosiahnuť maximálny udržateľný výnos,</w:t>
            </w:r>
            <w:r w:rsidRPr="0014456E">
              <w:rPr>
                <w:szCs w:val="20"/>
              </w:rPr>
              <w:t xml:space="preserve"> a</w:t>
            </w:r>
            <w:r w:rsidRPr="0014456E">
              <w:rPr>
                <w:b/>
                <w:i/>
                <w:szCs w:val="20"/>
              </w:rPr>
              <w:t> k tomu, aby sa</w:t>
            </w:r>
            <w:r w:rsidRPr="0014456E">
              <w:rPr>
                <w:szCs w:val="20"/>
              </w:rPr>
              <w:t xml:space="preserve"> na minimum</w:t>
            </w:r>
            <w:r w:rsidRPr="0014456E">
              <w:rPr>
                <w:b/>
                <w:i/>
                <w:szCs w:val="20"/>
              </w:rPr>
              <w:t xml:space="preserve"> znížili (a tam, kde je to možné, úplne odstránili)</w:t>
            </w:r>
            <w:r w:rsidRPr="0014456E">
              <w:rPr>
                <w:szCs w:val="20"/>
              </w:rPr>
              <w:t xml:space="preserve"> negatívne účinky rybolovných činností na morské ekosystémy. Táto podpora by sa mala vzťahovať aj na inovácie a investície do rybolovných postupov a techník, ktoré sú šetrné, odolné voči zmene klímy a nízkouhlíkové</w:t>
            </w:r>
            <w:r w:rsidRPr="0014456E">
              <w:rPr>
                <w:b/>
                <w:i/>
                <w:szCs w:val="20"/>
              </w:rPr>
              <w:t>, a nemala by sa vzťahovať na akékoľvek investície do metód elektrického impulzového rybolovu</w:t>
            </w:r>
            <w:r w:rsidRPr="0014456E">
              <w:rPr>
                <w:szCs w:val="20"/>
              </w:rPr>
              <w:t>.</w:t>
            </w:r>
          </w:p>
        </w:tc>
      </w:tr>
    </w:tbl>
    <w:p w:rsidR="000A6903" w:rsidRPr="000A6903" w:rsidRDefault="000A6903" w:rsidP="000A6903">
      <w:r>
        <w:rPr>
          <w:rStyle w:val="HideTWBExt"/>
          <w:noProof w:val="0"/>
        </w:rPr>
        <w:lastRenderedPageBreak/>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16</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Odôvodnenie 21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en-GB"/>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(21)</w:t>
            </w:r>
            <w:r w:rsidRPr="0014456E">
              <w:rPr>
                <w:szCs w:val="20"/>
              </w:rPr>
              <w:tab/>
              <w:t xml:space="preserve">Povinnosť vylodiť úlovky je </w:t>
            </w:r>
            <w:r w:rsidRPr="0014456E">
              <w:rPr>
                <w:b/>
                <w:i/>
                <w:szCs w:val="20"/>
              </w:rPr>
              <w:t>jednou</w:t>
            </w:r>
            <w:r w:rsidRPr="0014456E">
              <w:rPr>
                <w:szCs w:val="20"/>
              </w:rPr>
              <w:t xml:space="preserve"> z hlavných </w:t>
            </w:r>
            <w:r w:rsidRPr="0014456E">
              <w:rPr>
                <w:b/>
                <w:i/>
                <w:szCs w:val="20"/>
              </w:rPr>
              <w:t>výziev</w:t>
            </w:r>
            <w:r w:rsidRPr="0014456E">
              <w:rPr>
                <w:szCs w:val="20"/>
              </w:rPr>
              <w:t xml:space="preserve"> SRP. Prináša so sebou </w:t>
            </w:r>
            <w:r w:rsidRPr="0014456E">
              <w:rPr>
                <w:b/>
                <w:i/>
                <w:szCs w:val="20"/>
              </w:rPr>
              <w:t>značné</w:t>
            </w:r>
            <w:r w:rsidRPr="0014456E">
              <w:rPr>
                <w:szCs w:val="20"/>
              </w:rPr>
              <w:t xml:space="preserve"> zmeny v rybolovných postupoch v rámci odvetvia, ktoré sú miestami spojené so značnými finančnými nákladmi. </w:t>
            </w:r>
            <w:r w:rsidRPr="0014456E">
              <w:rPr>
                <w:b/>
                <w:i/>
                <w:szCs w:val="20"/>
              </w:rPr>
              <w:t>Malo</w:t>
            </w:r>
            <w:r w:rsidRPr="0014456E">
              <w:rPr>
                <w:szCs w:val="20"/>
              </w:rPr>
              <w:t xml:space="preserve"> by </w:t>
            </w:r>
            <w:r w:rsidRPr="0014456E">
              <w:rPr>
                <w:b/>
                <w:i/>
                <w:szCs w:val="20"/>
              </w:rPr>
              <w:t>byť teda možné podporovať z ENRF inovácie</w:t>
            </w:r>
            <w:r w:rsidRPr="0014456E">
              <w:rPr>
                <w:szCs w:val="20"/>
              </w:rPr>
              <w:t xml:space="preserve"> a</w:t>
            </w:r>
            <w:r w:rsidRPr="0014456E">
              <w:rPr>
                <w:b/>
                <w:i/>
                <w:szCs w:val="20"/>
              </w:rPr>
              <w:t xml:space="preserve"> investície</w:t>
            </w:r>
            <w:r w:rsidRPr="0014456E">
              <w:rPr>
                <w:szCs w:val="20"/>
              </w:rPr>
              <w:t>, ktoré prispievajú k vykonávaniu povinnosti vylodiť úlovky, s vyššou intenzitou pomoci</w:t>
            </w:r>
            <w:r w:rsidRPr="0014456E">
              <w:rPr>
                <w:b/>
                <w:i/>
                <w:szCs w:val="20"/>
              </w:rPr>
              <w:t xml:space="preserve"> ako</w:t>
            </w:r>
            <w:r w:rsidRPr="0014456E">
              <w:rPr>
                <w:szCs w:val="20"/>
              </w:rPr>
              <w:t xml:space="preserve"> sa uplatňuje na iné operácie (investície do selektívneho rybárskeho výstroja, investície na zlepšenie prístavných infraštruktúr a na obchodovanie s nechcenými úlovkami). Okrem toho by mal poskytnúť maximálnu intenzitu pomoci vo výške 100 % pri navrhovaní, vývoji, monitorovaní, hodnotení a riadení transparentných systémov výmeny rybolovných možností medzi členskými štátmi („výmena kvót“) s cieľom zmierniť účinok „blokačných druhov“ spôsobený povinnosťou vylodenia.</w:t>
            </w:r>
          </w:p>
        </w:tc>
        <w:tc>
          <w:tcPr>
            <w:tcW w:w="4876" w:type="dxa"/>
          </w:tcPr>
          <w:p w:rsidR="000A6903" w:rsidRPr="0014456E" w:rsidRDefault="000A6903" w:rsidP="000A6903">
            <w:pPr>
              <w:widowControl w:val="0"/>
              <w:spacing w:after="120"/>
              <w:rPr>
                <w:szCs w:val="20"/>
              </w:rPr>
            </w:pPr>
            <w:r w:rsidRPr="0014456E">
              <w:rPr>
                <w:szCs w:val="20"/>
              </w:rPr>
              <w:t>(21)</w:t>
            </w:r>
            <w:r w:rsidRPr="0014456E">
              <w:rPr>
                <w:szCs w:val="20"/>
              </w:rPr>
              <w:tab/>
              <w:t xml:space="preserve">Povinnosť vylodiť úlovky je </w:t>
            </w:r>
            <w:r w:rsidRPr="0014456E">
              <w:rPr>
                <w:b/>
                <w:i/>
                <w:szCs w:val="20"/>
              </w:rPr>
              <w:t>právna povinnosť a predstavuje jeden</w:t>
            </w:r>
            <w:r w:rsidRPr="0014456E">
              <w:rPr>
                <w:szCs w:val="20"/>
              </w:rPr>
              <w:t xml:space="preserve"> z hlavných </w:t>
            </w:r>
            <w:r w:rsidRPr="0014456E">
              <w:rPr>
                <w:b/>
                <w:i/>
                <w:szCs w:val="20"/>
              </w:rPr>
              <w:t>cieľov</w:t>
            </w:r>
            <w:r w:rsidRPr="0014456E">
              <w:rPr>
                <w:szCs w:val="20"/>
              </w:rPr>
              <w:t xml:space="preserve"> SRP. Prináša so sebou </w:t>
            </w:r>
            <w:r w:rsidRPr="0014456E">
              <w:rPr>
                <w:b/>
                <w:i/>
                <w:szCs w:val="20"/>
              </w:rPr>
              <w:t>skoncovanie s praxou vyhadzovania úlovku, z hľadiska životného prostredia neprijateľnou, ako aj významné</w:t>
            </w:r>
            <w:r w:rsidRPr="0014456E">
              <w:rPr>
                <w:szCs w:val="20"/>
              </w:rPr>
              <w:t xml:space="preserve"> zmeny v rybolovných postupoch v rámci odvetvia, ktoré sú miestami spojené so značnými finančnými nákladmi. </w:t>
            </w:r>
            <w:r w:rsidRPr="0014456E">
              <w:rPr>
                <w:b/>
                <w:i/>
                <w:szCs w:val="20"/>
              </w:rPr>
              <w:t>Členské štáty</w:t>
            </w:r>
            <w:r w:rsidRPr="0014456E">
              <w:rPr>
                <w:szCs w:val="20"/>
              </w:rPr>
              <w:t xml:space="preserve"> by </w:t>
            </w:r>
            <w:r w:rsidRPr="0014456E">
              <w:rPr>
                <w:b/>
                <w:i/>
                <w:szCs w:val="20"/>
              </w:rPr>
              <w:t>preto mali využívať ENRF na poskytovanie maximálnej podpory inovácií</w:t>
            </w:r>
            <w:r w:rsidRPr="0014456E">
              <w:rPr>
                <w:szCs w:val="20"/>
              </w:rPr>
              <w:t xml:space="preserve"> a</w:t>
            </w:r>
            <w:r w:rsidRPr="0014456E">
              <w:rPr>
                <w:b/>
                <w:i/>
                <w:szCs w:val="20"/>
              </w:rPr>
              <w:t> investícií</w:t>
            </w:r>
            <w:r w:rsidRPr="0014456E">
              <w:rPr>
                <w:szCs w:val="20"/>
              </w:rPr>
              <w:t>, ktoré prispievajú k</w:t>
            </w:r>
            <w:r w:rsidRPr="0014456E">
              <w:rPr>
                <w:b/>
                <w:i/>
                <w:szCs w:val="20"/>
              </w:rPr>
              <w:t> plnohodnotnému a včasnému</w:t>
            </w:r>
            <w:r w:rsidRPr="0014456E">
              <w:rPr>
                <w:szCs w:val="20"/>
              </w:rPr>
              <w:t xml:space="preserve"> vykonávaniu povinnosti vylodiť úlovky, s</w:t>
            </w:r>
            <w:r w:rsidRPr="0014456E">
              <w:rPr>
                <w:b/>
                <w:i/>
                <w:szCs w:val="20"/>
              </w:rPr>
              <w:t xml:space="preserve"> podstatne</w:t>
            </w:r>
            <w:r w:rsidRPr="0014456E">
              <w:rPr>
                <w:szCs w:val="20"/>
              </w:rPr>
              <w:t xml:space="preserve"> vyššou intenzitou pomoci</w:t>
            </w:r>
            <w:r w:rsidRPr="0014456E">
              <w:rPr>
                <w:b/>
                <w:i/>
                <w:szCs w:val="20"/>
              </w:rPr>
              <w:t>, než aká</w:t>
            </w:r>
            <w:r w:rsidRPr="0014456E">
              <w:rPr>
                <w:szCs w:val="20"/>
              </w:rPr>
              <w:t xml:space="preserve"> sa uplatňuje na iné operácie (investície do selektívneho rybárskeho výstroja</w:t>
            </w:r>
            <w:r w:rsidRPr="0014456E">
              <w:rPr>
                <w:b/>
                <w:i/>
                <w:szCs w:val="20"/>
              </w:rPr>
              <w:t xml:space="preserve"> a do opatrení v oblasti časovej a priestorovej selektívnosti</w:t>
            </w:r>
            <w:r w:rsidRPr="0014456E">
              <w:rPr>
                <w:szCs w:val="20"/>
              </w:rPr>
              <w:t xml:space="preserve">, investície na zlepšenie prístavných infraštruktúr a na obchodovanie s nechcenými úlovkami). Okrem toho by mal poskytnúť maximálnu intenzitu pomoci vo výške 100 % pri navrhovaní, vývoji, monitorovaní, hodnotení a riadení transparentných </w:t>
            </w:r>
            <w:r w:rsidRPr="0014456E">
              <w:rPr>
                <w:szCs w:val="20"/>
              </w:rPr>
              <w:lastRenderedPageBreak/>
              <w:t>systémov výmeny rybolovných možností medzi členskými štátmi („výmena kvót“) s cieľom zmierniť účinok „blokačných druhov“ spôsobený povinnosťou vylodenia.</w:t>
            </w:r>
          </w:p>
        </w:tc>
      </w:tr>
    </w:tbl>
    <w:p w:rsidR="000A6903" w:rsidRPr="000A6903" w:rsidRDefault="000A6903" w:rsidP="000A6903">
      <w:r>
        <w:rPr>
          <w:rStyle w:val="HideTWBExt"/>
          <w:noProof w:val="0"/>
        </w:rPr>
        <w:lastRenderedPageBreak/>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17</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Odôvodnenie 21 a (nové)</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en-GB"/>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lang w:val="en-GB"/>
              </w:rPr>
            </w:pPr>
          </w:p>
        </w:tc>
        <w:tc>
          <w:tcPr>
            <w:tcW w:w="4876" w:type="dxa"/>
          </w:tcPr>
          <w:p w:rsidR="000A6903" w:rsidRPr="0014456E" w:rsidRDefault="000A6903" w:rsidP="000A6903">
            <w:pPr>
              <w:widowControl w:val="0"/>
              <w:spacing w:after="120"/>
              <w:rPr>
                <w:szCs w:val="20"/>
              </w:rPr>
            </w:pPr>
            <w:r w:rsidRPr="0014456E">
              <w:rPr>
                <w:b/>
                <w:i/>
                <w:szCs w:val="20"/>
              </w:rPr>
              <w:t>(21a)</w:t>
            </w:r>
            <w:r w:rsidRPr="0014456E">
              <w:rPr>
                <w:szCs w:val="20"/>
              </w:rPr>
              <w:tab/>
            </w:r>
            <w:r w:rsidRPr="0014456E">
              <w:rPr>
                <w:b/>
                <w:i/>
                <w:szCs w:val="20"/>
              </w:rPr>
              <w:t>Povinnosť vylodiť úlovky by sa mala monitorovať rovnako v celom spektre, od malých po veľké rybárske plavidlá, v každom členskom štáte Únie.</w:t>
            </w:r>
          </w:p>
        </w:tc>
      </w:tr>
    </w:tbl>
    <w:p w:rsidR="000A6903" w:rsidRPr="000A6903" w:rsidRDefault="000A6903" w:rsidP="000A6903">
      <w:pPr>
        <w:keepNext/>
        <w:widowControl w:val="0"/>
        <w:spacing w:before="240" w:after="240"/>
        <w:jc w:val="center"/>
        <w:rPr>
          <w:i/>
          <w:szCs w:val="20"/>
        </w:rPr>
      </w:pPr>
      <w:r>
        <w:rPr>
          <w:rStyle w:val="HideTWBExt"/>
          <w:noProof w:val="0"/>
        </w:rPr>
        <w:t>&lt;TitreJust&gt;</w:t>
      </w:r>
      <w:r w:rsidRPr="0014456E">
        <w:rPr>
          <w:i/>
          <w:szCs w:val="20"/>
        </w:rPr>
        <w:t>Odôvodnenie</w:t>
      </w:r>
      <w:r>
        <w:rPr>
          <w:rStyle w:val="HideTWBExt"/>
          <w:noProof w:val="0"/>
        </w:rPr>
        <w:t>&lt;/TitreJust&gt;</w:t>
      </w:r>
    </w:p>
    <w:p w:rsidR="000A6903" w:rsidRPr="000A6903" w:rsidRDefault="000A6903" w:rsidP="000A6903">
      <w:pPr>
        <w:widowControl w:val="0"/>
        <w:spacing w:after="240"/>
        <w:rPr>
          <w:i/>
          <w:szCs w:val="20"/>
        </w:rPr>
      </w:pPr>
      <w:r>
        <w:rPr>
          <w:i/>
          <w:szCs w:val="20"/>
        </w:rPr>
        <w:t>Neustále sa opakujúcou sťažnosťou od maloobjemových rybárov v Írsku aj inde je, že pokiaľ ide o kontroly a tresty, sú najľahším terčom, keďže sú zväčša pri pobreží, zatiaľ čo k väčším plavidlám je ťažší prístup a teda je zložitejšie kontrolovať ich.</w:t>
      </w:r>
    </w:p>
    <w:p w:rsidR="000A6903" w:rsidRPr="000A6903" w:rsidRDefault="000A6903" w:rsidP="000A6903">
      <w:r>
        <w:rPr>
          <w:rStyle w:val="HideTWBExt"/>
          <w:noProof w:val="0"/>
        </w:rPr>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18</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Odôvodnenie 22</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en-GB"/>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(22)</w:t>
            </w:r>
            <w:r w:rsidRPr="0014456E">
              <w:rPr>
                <w:szCs w:val="20"/>
              </w:rPr>
              <w:tab/>
              <w:t xml:space="preserve">Z ENRF by malo byť možné podporovať inovácie a investície do rybárskych plavidiel s cieľom zlepšiť zdravotné, bezpečnostné a pracovné podmienky, energetickú účinnosť a kvalitu úlovkov. Takáto podpora by však nemala viesť k zvýšeniu rybolovnej kapacity alebo schopnosti nájsť ryby a nemala by sa udeľovať iba na splnenie požiadaviek, ktoré sú povinné podľa právnych predpisov Únie alebo vnútroštátnych právnych predpisov. V rámci štruktúry bez normatívnych opatrení by rozhodnutie o vymedzení presných pravidiel oprávnenosti týchto investícií malo byť na členských </w:t>
            </w:r>
            <w:r w:rsidRPr="0014456E">
              <w:rPr>
                <w:szCs w:val="20"/>
              </w:rPr>
              <w:lastRenderedPageBreak/>
              <w:t>štátoch. Pokiaľ ide o zdravie, bezpečnosť a pracovné podmienky na palube rybárskych plavidiel, mala by sa povoliť vyššia intenzita pomoci ako v prípade iných operácií.</w:t>
            </w:r>
          </w:p>
        </w:tc>
        <w:tc>
          <w:tcPr>
            <w:tcW w:w="4876" w:type="dxa"/>
          </w:tcPr>
          <w:p w:rsidR="000A6903" w:rsidRPr="0014456E" w:rsidRDefault="000A6903" w:rsidP="000A6903">
            <w:pPr>
              <w:widowControl w:val="0"/>
              <w:spacing w:after="120"/>
              <w:rPr>
                <w:szCs w:val="20"/>
              </w:rPr>
            </w:pPr>
            <w:r w:rsidRPr="0014456E">
              <w:rPr>
                <w:szCs w:val="20"/>
              </w:rPr>
              <w:lastRenderedPageBreak/>
              <w:t>(22)</w:t>
            </w:r>
            <w:r w:rsidRPr="0014456E">
              <w:rPr>
                <w:szCs w:val="20"/>
              </w:rPr>
              <w:tab/>
              <w:t>Z ENRF by malo byť možné podporovať inovácie a investície do rybárskych plavidiel s cieľom zlepšiť zdravotné, bezpečnostné a pracovné podmienky, energetickú účinnosť a kvalitu úlovkov</w:t>
            </w:r>
            <w:r w:rsidRPr="0014456E">
              <w:rPr>
                <w:b/>
                <w:i/>
                <w:szCs w:val="20"/>
              </w:rPr>
              <w:t>, ako aj podporovať osobitné záležitosti v oblasti zdravotnej starostlivosti</w:t>
            </w:r>
            <w:r w:rsidRPr="0014456E">
              <w:rPr>
                <w:szCs w:val="20"/>
              </w:rPr>
              <w:t xml:space="preserve">. Takáto podpora by však nemala viesť k zvýšeniu rybolovnej kapacity alebo schopnosti nájsť ryby a nemala by sa udeľovať iba na splnenie požiadaviek, ktoré sú povinné podľa právnych predpisov Únie alebo vnútroštátnych právnych predpisov. V rámci štruktúry bez normatívnych opatrení </w:t>
            </w:r>
            <w:r w:rsidRPr="0014456E">
              <w:rPr>
                <w:szCs w:val="20"/>
              </w:rPr>
              <w:lastRenderedPageBreak/>
              <w:t>by rozhodnutie o vymedzení presných pravidiel oprávnenosti týchto investícií</w:t>
            </w:r>
            <w:r w:rsidRPr="0014456E">
              <w:rPr>
                <w:b/>
                <w:i/>
                <w:szCs w:val="20"/>
              </w:rPr>
              <w:t xml:space="preserve"> a tejto podpory</w:t>
            </w:r>
            <w:r w:rsidRPr="0014456E">
              <w:rPr>
                <w:szCs w:val="20"/>
              </w:rPr>
              <w:t xml:space="preserve"> malo byť na členských štátoch. Pokiaľ ide o zdravie, bezpečnosť a pracovné podmienky na palube rybárskych plavidiel, mala by sa povoliť vyššia intenzita pomoci ako v prípade iných operácií.</w:t>
            </w:r>
          </w:p>
        </w:tc>
      </w:tr>
    </w:tbl>
    <w:p w:rsidR="000A6903" w:rsidRPr="000A6903" w:rsidRDefault="000A6903" w:rsidP="000A6903">
      <w:r>
        <w:rPr>
          <w:rStyle w:val="HideTWBExt"/>
          <w:noProof w:val="0"/>
        </w:rPr>
        <w:lastRenderedPageBreak/>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19</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Odôvodnenie 28</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en-GB"/>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(28)</w:t>
            </w:r>
            <w:r w:rsidRPr="0014456E">
              <w:rPr>
                <w:szCs w:val="20"/>
              </w:rPr>
              <w:tab/>
              <w:t>Maloobjemový pobrežný rybolov vykonávajú rybárske plavidlá s dĺžkou menej ako 12 metrov, ktoré nepoužívajú vlečný rybársky výstroj. Toto odvetvie predstavuje takmer 75 % všetkých rybárskych plavidiel registrovaných v Únii a takmer polovicu všetkých zamestnancov v odvetví rybolovu. Prevádzkovatelia z odvetvia malooobjemového pobrežného rybolovu sú obzvlášť závislí od zdravých populácií rýb, ktoré predstavujú hlavný zdroj ich príjmu. ENRF by im preto mal poskytnúť preferenčné zaobchádzanie prostredníctvom 100% miery intenzity pomoci, a to aj na operácie súvisiace s kontrolou a presadzovaním, s cieľom podporiť udržateľné rybolovné postupy. Okrem toho by určité oblasti podpory mali byť vyhradené pre maloobjemový rybolov v segmente flotily, v ktorom je rybolovná kapacita v rovnováhe s dostupnými rybolovnými možnosťami, t. j. podpora na získanie použitého plavidla a výmenu alebo modernizáciu motora. Okrem toho by členské štáty mali do svojho programu zahrnúť akčný plán pre maloobjemový pobrežný rybolov, ktorý by sa mal monitorovať na základe ukazovateľov, pre ktoré by sa mali stanoviť čiastkové ciele a cieľové hodnoty.</w:t>
            </w:r>
          </w:p>
        </w:tc>
        <w:tc>
          <w:tcPr>
            <w:tcW w:w="4876" w:type="dxa"/>
          </w:tcPr>
          <w:p w:rsidR="000A6903" w:rsidRPr="0014456E" w:rsidRDefault="000A6903" w:rsidP="000A6903">
            <w:pPr>
              <w:widowControl w:val="0"/>
              <w:spacing w:after="120"/>
              <w:rPr>
                <w:szCs w:val="20"/>
              </w:rPr>
            </w:pPr>
            <w:r w:rsidRPr="0014456E">
              <w:rPr>
                <w:szCs w:val="20"/>
              </w:rPr>
              <w:t>(28)</w:t>
            </w:r>
            <w:r w:rsidRPr="0014456E">
              <w:rPr>
                <w:szCs w:val="20"/>
              </w:rPr>
              <w:tab/>
              <w:t>Maloobjemový pobrežný rybolov vykonávajú rybárske plavidlá s dĺžkou menej ako 12 metrov, ktoré nepoužívajú vlečný rybársky výstroj. Toto odvetvie predstavuje takmer 75 % všetkých rybárskych plavidiel registrovaných v Únii a takmer polovicu všetkých zamestnancov v odvetví rybolovu. Prevádzkovatelia z odvetvia malooobjemového pobrežného rybolovu sú obzvlášť závislí od zdravých populácií rýb, ktoré predstavujú hlavný zdroj ich príjmu. ENRF by im preto mal poskytnúť preferenčné zaobchádzanie prostredníctvom 100% miery intenzity pomoci, a to aj na operácie súvisiace s kontrolou a presadzovaním, s cieľom podporiť udržateľné rybolovné postupy</w:t>
            </w:r>
            <w:r w:rsidRPr="0014456E">
              <w:rPr>
                <w:b/>
                <w:i/>
                <w:szCs w:val="20"/>
              </w:rPr>
              <w:t xml:space="preserve"> v súlade s cieľmi SRP</w:t>
            </w:r>
            <w:r w:rsidRPr="0014456E">
              <w:rPr>
                <w:szCs w:val="20"/>
              </w:rPr>
              <w:t>. Okrem toho by určité oblasti podpory mali byť vyhradené pre maloobjemový rybolov v segmente flotily, v ktorom je rybolovná kapacita v rovnováhe s dostupnými rybolovnými možnosťami, t. j. podpora na získanie použitého plavidla a výmenu alebo modernizáciu motora</w:t>
            </w:r>
            <w:r w:rsidRPr="0014456E">
              <w:rPr>
                <w:b/>
                <w:i/>
                <w:szCs w:val="20"/>
              </w:rPr>
              <w:t>, ako aj pre mladých rybárov</w:t>
            </w:r>
            <w:r w:rsidRPr="0014456E">
              <w:rPr>
                <w:szCs w:val="20"/>
              </w:rPr>
              <w:t>. Okrem toho by členské štáty mali do svojho programu zahrnúť akčný plán pre maloobjemový pobrežný rybolov, ktorý by sa mal monitorovať na základe ukazovateľov, pre ktoré by sa mali stanoviť čiastkové ciele a cieľové hodnoty.</w:t>
            </w:r>
          </w:p>
        </w:tc>
      </w:tr>
    </w:tbl>
    <w:p w:rsidR="000A6903" w:rsidRPr="000A6903" w:rsidRDefault="000A6903" w:rsidP="000A6903">
      <w:r>
        <w:rPr>
          <w:rStyle w:val="HideTWBExt"/>
          <w:noProof w:val="0"/>
        </w:rPr>
        <w:lastRenderedPageBreak/>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20</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Odôvodnenie 31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en-GB"/>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(31)</w:t>
            </w:r>
            <w:r w:rsidRPr="0014456E">
              <w:rPr>
                <w:szCs w:val="20"/>
              </w:rPr>
              <w:tab/>
              <w:t>Rybolov a akvakultúra prispievajú k</w:t>
            </w:r>
            <w:r w:rsidRPr="0014456E">
              <w:rPr>
                <w:b/>
                <w:i/>
                <w:szCs w:val="20"/>
              </w:rPr>
              <w:t> </w:t>
            </w:r>
            <w:r w:rsidRPr="0014456E">
              <w:rPr>
                <w:szCs w:val="20"/>
              </w:rPr>
              <w:t>potravinovej bezpečnosti a výžive. Únia však v súčasnosti dováža viac ako 60 % svojich dodávok produktov rybolovu, a preto je vo veľkej miere závislá od tretích krajín. Dôležitou výzvou je podporiť spotrebu rybích bielkovín vyrábaných v Únii, ktoré spĺňajú vysoké normy kvality a sú dostupné spotrebiteľom za prijateľné ceny.</w:t>
            </w:r>
          </w:p>
        </w:tc>
        <w:tc>
          <w:tcPr>
            <w:tcW w:w="4876" w:type="dxa"/>
          </w:tcPr>
          <w:p w:rsidR="000A6903" w:rsidRPr="0014456E" w:rsidRDefault="000A6903" w:rsidP="000A6903">
            <w:pPr>
              <w:widowControl w:val="0"/>
              <w:spacing w:after="120"/>
              <w:rPr>
                <w:szCs w:val="20"/>
              </w:rPr>
            </w:pPr>
            <w:r w:rsidRPr="0014456E">
              <w:rPr>
                <w:szCs w:val="20"/>
              </w:rPr>
              <w:t>(31)</w:t>
            </w:r>
            <w:r w:rsidRPr="0014456E">
              <w:rPr>
                <w:szCs w:val="20"/>
              </w:rPr>
              <w:tab/>
              <w:t>Rybolov a</w:t>
            </w:r>
            <w:r w:rsidRPr="0014456E">
              <w:rPr>
                <w:b/>
                <w:i/>
                <w:szCs w:val="20"/>
              </w:rPr>
              <w:t> udržateľná</w:t>
            </w:r>
            <w:r w:rsidRPr="0014456E">
              <w:rPr>
                <w:szCs w:val="20"/>
              </w:rPr>
              <w:t xml:space="preserve"> akvakultúra prispievajú k</w:t>
            </w:r>
            <w:r w:rsidRPr="0014456E">
              <w:rPr>
                <w:b/>
                <w:i/>
                <w:szCs w:val="20"/>
              </w:rPr>
              <w:t xml:space="preserve"> </w:t>
            </w:r>
            <w:r w:rsidRPr="0014456E">
              <w:rPr>
                <w:szCs w:val="20"/>
              </w:rPr>
              <w:t>potravinovej bezpečnosti a výžive. Únia však v súčasnosti dováža viac ako 60 % svojich dodávok produktov rybolovu, a preto je vo veľkej miere závislá od tretích krajín. Dôležitou výzvou je podporiť spotrebu rybích bielkovín vyrábaných v Únii, ktoré spĺňajú vysoké normy kvality a sú dostupné spotrebiteľom za prijateľné ceny.</w:t>
            </w:r>
          </w:p>
        </w:tc>
      </w:tr>
    </w:tbl>
    <w:p w:rsidR="000A6903" w:rsidRPr="000A6903" w:rsidRDefault="000A6903" w:rsidP="000A6903">
      <w:r>
        <w:rPr>
          <w:rStyle w:val="HideTWBExt"/>
          <w:noProof w:val="0"/>
        </w:rPr>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21</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Odôvodnenie 32</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en-GB"/>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(32)</w:t>
            </w:r>
            <w:r w:rsidRPr="0014456E">
              <w:rPr>
                <w:szCs w:val="20"/>
              </w:rPr>
              <w:tab/>
              <w:t xml:space="preserve">Malo by byť možné financovať z ENRF podporu a udržateľný rozvoj akvakultúry vrátane sladkovodnej akvakultúry, na účely chovu vodných živočíchov a pestovania vodných rastlín určených na výrobu potravín a iných surovín. V niektorých členských štátoch sú aj naďalej v platnosti zložité administratívne postupy, ako napríklad problematický prístup do priestoru a zaťažujúce postupy udeľovania licencií, ktoré sťažujú odvetviu zlepšenie obrazu a konkurencieschopnosti produktov akvakultúry. Podpora z ENRF by mala byť v súlade s viacročnými národnými strategickými plánmi pre akvakultúru vypracovanými na základe nariadenia (EÚ) č. 1380/2013. Oprávnená by mala byť predovšetkým podpora environmentálnej udržateľnosti, produktívnych investícií, inovácií, získavaniu odborných zručností, </w:t>
            </w:r>
            <w:r w:rsidRPr="0014456E">
              <w:rPr>
                <w:szCs w:val="20"/>
              </w:rPr>
              <w:lastRenderedPageBreak/>
              <w:t>zlepšovania pracovných podmienok a kompenzačných opatrení, ktorými sa zabezpečujú dôležité služby v oblasti ochrany prírody a krajiny. Oprávnené by mali byť aj akcie v oblasti verejného zdravia, systémov poistenia populácií chovaných v akvakultúre, ako aj v oblasti zdravia zvierat a dobrých životných podmienok zvierat. V prípade produktívnych investícii by sa však podpora mala poskytovať len prostredníctvom finančných nástrojov a programu InvestEU, ktoré majú na trhoch vyšší pákový efekt, a preto sú na účely riešenia finančných problémov odvetvia relevantnejšie ako granty.</w:t>
            </w:r>
          </w:p>
        </w:tc>
        <w:tc>
          <w:tcPr>
            <w:tcW w:w="4876" w:type="dxa"/>
          </w:tcPr>
          <w:p w:rsidR="000A6903" w:rsidRPr="0014456E" w:rsidRDefault="000A6903" w:rsidP="000A6903">
            <w:pPr>
              <w:widowControl w:val="0"/>
              <w:spacing w:after="120"/>
              <w:rPr>
                <w:szCs w:val="20"/>
              </w:rPr>
            </w:pPr>
            <w:r w:rsidRPr="0014456E">
              <w:rPr>
                <w:szCs w:val="20"/>
              </w:rPr>
              <w:lastRenderedPageBreak/>
              <w:t>(32)</w:t>
            </w:r>
            <w:r w:rsidRPr="0014456E">
              <w:rPr>
                <w:szCs w:val="20"/>
              </w:rPr>
              <w:tab/>
              <w:t>Malo by byť možné financovať z ENRF podporu a udržateľný rozvoj akvakultúry vrátane sladkovodnej akvakultúry</w:t>
            </w:r>
            <w:r w:rsidRPr="0014456E">
              <w:rPr>
                <w:b/>
                <w:i/>
                <w:szCs w:val="20"/>
              </w:rPr>
              <w:t xml:space="preserve"> a ochranu akvakultúry pred inváznymi druhmi a chorobami</w:t>
            </w:r>
            <w:r w:rsidRPr="0014456E">
              <w:rPr>
                <w:szCs w:val="20"/>
              </w:rPr>
              <w:t xml:space="preserve">, na účely chovu vodných živočíchov a pestovania vodných rastlín určených na výrobu potravín a iných surovín. V niektorých členských štátoch sú aj naďalej v platnosti </w:t>
            </w:r>
            <w:r w:rsidRPr="0014456E">
              <w:rPr>
                <w:b/>
                <w:i/>
                <w:szCs w:val="20"/>
              </w:rPr>
              <w:t xml:space="preserve">príliš </w:t>
            </w:r>
            <w:r w:rsidRPr="0014456E">
              <w:rPr>
                <w:szCs w:val="20"/>
              </w:rPr>
              <w:t>zložité administratívne postupy, ako napríklad problematický prístup do priestoru a zaťažujúce postupy udeľovania licencií, ktoré</w:t>
            </w:r>
            <w:r w:rsidRPr="0014456E">
              <w:rPr>
                <w:b/>
                <w:i/>
                <w:szCs w:val="20"/>
              </w:rPr>
              <w:t xml:space="preserve"> zbytočne</w:t>
            </w:r>
            <w:r w:rsidRPr="0014456E">
              <w:rPr>
                <w:szCs w:val="20"/>
              </w:rPr>
              <w:t xml:space="preserve"> sťažujú odvetviu zlepšenie obrazu a konkurencieschopnosti produktov akvakultúry. Podpora z ENRF by mala byť v súlade s viacročnými národnými strategickými plánmi pre akvakultúru vypracovanými na základe nariadenia (EÚ) č. 1380/2013. Oprávnená by mala byť predovšetkým podpora environmentálnej udržateľnosti, </w:t>
            </w:r>
            <w:r w:rsidRPr="0014456E">
              <w:rPr>
                <w:szCs w:val="20"/>
              </w:rPr>
              <w:lastRenderedPageBreak/>
              <w:t>produktívnych investícií, inovácií</w:t>
            </w:r>
            <w:r w:rsidRPr="0014456E">
              <w:rPr>
                <w:b/>
                <w:i/>
                <w:szCs w:val="20"/>
              </w:rPr>
              <w:t>, kontroly konkrétnych chorôb a inváznych druhov, ktoré akvakultúre spôsobujú vážne škody</w:t>
            </w:r>
            <w:r w:rsidRPr="0014456E">
              <w:rPr>
                <w:szCs w:val="20"/>
              </w:rPr>
              <w:t>, získavaniu odborných zručností, zlepšovania pracovných podmienok a kompenzačných opatrení, ktorými sa zabezpečujú dôležité služby v oblasti ochrany prírody a krajiny. Oprávnené by mali byť aj akcie v oblasti verejného zdravia, systémov poistenia populácií chovaných v akvakultúre, ako aj v oblasti zdravia zvierat a dobrých životných podmienok zvierat. V prípade produktívnych investícii by sa však podpora mala poskytovať len prostredníctvom finančných nástrojov a programu InvestEU, ktoré majú na trhoch vyšší pákový efekt, a preto sú na účely riešenia finančných problémov odvetvia relevantnejšie ako granty.</w:t>
            </w:r>
          </w:p>
        </w:tc>
      </w:tr>
    </w:tbl>
    <w:p w:rsidR="000A6903" w:rsidRPr="000A6903" w:rsidRDefault="000A6903" w:rsidP="000A6903">
      <w:pPr>
        <w:keepNext/>
        <w:widowControl w:val="0"/>
        <w:spacing w:before="240" w:after="240"/>
        <w:jc w:val="center"/>
        <w:rPr>
          <w:i/>
          <w:szCs w:val="20"/>
        </w:rPr>
      </w:pPr>
      <w:r>
        <w:rPr>
          <w:rStyle w:val="HideTWBExt"/>
          <w:noProof w:val="0"/>
        </w:rPr>
        <w:lastRenderedPageBreak/>
        <w:t>&lt;TitreJust&gt;</w:t>
      </w:r>
      <w:r w:rsidRPr="0014456E">
        <w:rPr>
          <w:i/>
          <w:szCs w:val="20"/>
        </w:rPr>
        <w:t>Odôvodnenie</w:t>
      </w:r>
      <w:r>
        <w:rPr>
          <w:rStyle w:val="HideTWBExt"/>
          <w:noProof w:val="0"/>
        </w:rPr>
        <w:t>&lt;/TitreJust&gt;</w:t>
      </w:r>
    </w:p>
    <w:p w:rsidR="000A6903" w:rsidRPr="000A6903" w:rsidRDefault="000A6903" w:rsidP="000A6903">
      <w:pPr>
        <w:widowControl w:val="0"/>
        <w:spacing w:after="240"/>
        <w:rPr>
          <w:i/>
          <w:szCs w:val="20"/>
        </w:rPr>
      </w:pPr>
      <w:r>
        <w:rPr>
          <w:i/>
          <w:szCs w:val="20"/>
        </w:rPr>
        <w:t>V súlade s uznesením Európskeho parlamentu z 12. júna 2018 o vytváraní udržateľného a konkurencieschopného európskeho odvetvia akvakultúry: súčasný stav a budúce výzvy (2017/2118(INI)).</w:t>
      </w:r>
    </w:p>
    <w:p w:rsidR="000A6903" w:rsidRPr="000A6903" w:rsidRDefault="000A6903" w:rsidP="000A6903">
      <w:r>
        <w:rPr>
          <w:rStyle w:val="HideTWBExt"/>
          <w:noProof w:val="0"/>
        </w:rPr>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22</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Odôvodnenie 33</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en-GB"/>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(33)</w:t>
            </w:r>
            <w:r w:rsidRPr="0014456E">
              <w:rPr>
                <w:szCs w:val="20"/>
              </w:rPr>
              <w:tab/>
              <w:t>Potravinová bezpečnosť sa opiera o efektívne a dobre organizované trhy, ktoré zlepšujú transparentnosť, stabilitu, kvalitu a rozmanitosť dodávateľského reťazca, ako aj informácie pre spotrebiteľov. Na tento účel by malo byť možné podporovať z ENRF obchodovanie s produktmi rybolovu a akvakultúry v súlade s cieľmi nariadenia Európskeho parlamentu a Rady (EÚ) č. 1379/2013 („nariadenie o spoločnej organizácií trhov“)</w:t>
            </w:r>
            <w:r w:rsidRPr="0014456E">
              <w:rPr>
                <w:szCs w:val="20"/>
                <w:vertAlign w:val="superscript"/>
              </w:rPr>
              <w:t>15</w:t>
            </w:r>
            <w:r w:rsidRPr="0014456E">
              <w:rPr>
                <w:szCs w:val="20"/>
              </w:rPr>
              <w:t xml:space="preserve">. V prvom rade by mali byť k dispozícii finančné prostriedky určené na zakladanie organizácií výrobcov, </w:t>
            </w:r>
            <w:r w:rsidRPr="0014456E">
              <w:rPr>
                <w:szCs w:val="20"/>
              </w:rPr>
              <w:lastRenderedPageBreak/>
              <w:t>vykonávanie výrobných a marketingových plánov, podporu nových trhových odbytísk a rozvoj a šírenie informácií o trhu.</w:t>
            </w:r>
          </w:p>
        </w:tc>
        <w:tc>
          <w:tcPr>
            <w:tcW w:w="4876" w:type="dxa"/>
          </w:tcPr>
          <w:p w:rsidR="000A6903" w:rsidRPr="0014456E" w:rsidRDefault="000A6903" w:rsidP="000A6903">
            <w:pPr>
              <w:widowControl w:val="0"/>
              <w:spacing w:after="120"/>
              <w:rPr>
                <w:szCs w:val="20"/>
              </w:rPr>
            </w:pPr>
            <w:r w:rsidRPr="0014456E">
              <w:rPr>
                <w:szCs w:val="20"/>
              </w:rPr>
              <w:lastRenderedPageBreak/>
              <w:t>(33)</w:t>
            </w:r>
            <w:r w:rsidRPr="0014456E">
              <w:rPr>
                <w:szCs w:val="20"/>
              </w:rPr>
              <w:tab/>
              <w:t>Potravinová bezpečnosť sa opiera o</w:t>
            </w:r>
            <w:r w:rsidRPr="0014456E">
              <w:rPr>
                <w:b/>
                <w:i/>
                <w:szCs w:val="20"/>
              </w:rPr>
              <w:t> ochranu morského prostredia, udržateľné obhospodarovanie populácií rýb, plnohodnotné vykonávanie SRP,</w:t>
            </w:r>
            <w:r w:rsidRPr="0014456E">
              <w:rPr>
                <w:szCs w:val="20"/>
              </w:rPr>
              <w:t xml:space="preserve"> efektívne a dobre organizované trhy, ktoré zlepšujú transparentnosť, stabilitu, kvalitu a rozmanitosť dodávateľského reťazca, ako aj informácie pre spotrebiteľov. Na tento účel by malo byť možné podporovať z ENRF obchodovanie s produktmi rybolovu a akvakultúry v súlade s cieľmi nariadenia Európskeho parlamentu a Rady (EÚ) č. 1379/2013 („nariadenie o spoločnej </w:t>
            </w:r>
            <w:r w:rsidRPr="0014456E">
              <w:rPr>
                <w:szCs w:val="20"/>
              </w:rPr>
              <w:lastRenderedPageBreak/>
              <w:t>organizácií trhov“)</w:t>
            </w:r>
            <w:r w:rsidRPr="0014456E">
              <w:rPr>
                <w:szCs w:val="20"/>
                <w:vertAlign w:val="superscript"/>
              </w:rPr>
              <w:t>15</w:t>
            </w:r>
            <w:r w:rsidRPr="0014456E">
              <w:rPr>
                <w:szCs w:val="20"/>
              </w:rPr>
              <w:t>. V prvom rade by mali byť k dispozícii finančné prostriedky určené na zakladanie organizácií výrobcov, vykonávanie výrobných a marketingových plánov, podporu nových trhových odbytísk a rozvoj a šírenie informácií o trhu.</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lastRenderedPageBreak/>
              <w:t>_________________</w:t>
            </w:r>
          </w:p>
        </w:tc>
        <w:tc>
          <w:tcPr>
            <w:tcW w:w="4876" w:type="dxa"/>
          </w:tcPr>
          <w:p w:rsidR="000A6903" w:rsidRPr="0014456E" w:rsidRDefault="000A6903" w:rsidP="000A6903">
            <w:pPr>
              <w:widowControl w:val="0"/>
              <w:spacing w:after="120"/>
              <w:rPr>
                <w:szCs w:val="20"/>
              </w:rPr>
            </w:pPr>
            <w:r w:rsidRPr="0014456E">
              <w:rPr>
                <w:szCs w:val="20"/>
              </w:rPr>
              <w:t>_________________</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vertAlign w:val="superscript"/>
              </w:rPr>
              <w:t>15</w:t>
            </w:r>
            <w:r w:rsidRPr="0014456E">
              <w:rPr>
                <w:szCs w:val="20"/>
              </w:rPr>
              <w:t xml:space="preserve"> Nariadenie Európskeho parlamentu a Rady (EÚ) č. 1379/2013 z 11. decembra 2013 o spoločnej organizácii trhov s produktmi rybolovu a akvakultúry, ktorým sa menia nariadenia Rady (ES) č. 1184/2006 a (ES) č. 1224/2009 a zrušuje nariadenie Rady (ES) č. 104/2000 (Ú. v. EÚ L 354, 28.12.2013, s. 1).</w:t>
            </w:r>
          </w:p>
        </w:tc>
        <w:tc>
          <w:tcPr>
            <w:tcW w:w="4876" w:type="dxa"/>
          </w:tcPr>
          <w:p w:rsidR="000A6903" w:rsidRPr="0014456E" w:rsidRDefault="000A6903" w:rsidP="000A6903">
            <w:pPr>
              <w:widowControl w:val="0"/>
              <w:spacing w:after="120"/>
              <w:rPr>
                <w:szCs w:val="20"/>
              </w:rPr>
            </w:pPr>
            <w:r w:rsidRPr="0014456E">
              <w:rPr>
                <w:szCs w:val="20"/>
                <w:vertAlign w:val="superscript"/>
              </w:rPr>
              <w:t>15</w:t>
            </w:r>
            <w:r w:rsidRPr="0014456E">
              <w:rPr>
                <w:szCs w:val="20"/>
              </w:rPr>
              <w:t xml:space="preserve"> Nariadenie Európskeho parlamentu a Rady (EÚ) č. 1379/2013 z 11. decembra 2013 o spoločnej organizácii trhov s produktmi rybolovu a akvakultúry, ktorým sa menia nariadenia Rady (ES) č. 1184/2006 a (ES) č. 1224/2009 a zrušuje nariadenie Rady (ES) č. 104/2000 (Ú. v. EÚ L 354, 28.12.2013, s. 1).</w:t>
            </w:r>
          </w:p>
        </w:tc>
      </w:tr>
    </w:tbl>
    <w:p w:rsidR="000A6903" w:rsidRPr="000A6903" w:rsidRDefault="000A6903" w:rsidP="000A6903">
      <w:r>
        <w:rPr>
          <w:rStyle w:val="HideTWBExt"/>
          <w:noProof w:val="0"/>
        </w:rPr>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23</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Odôvodnenie 35</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en-GB"/>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(35)</w:t>
            </w:r>
            <w:r w:rsidRPr="0014456E">
              <w:rPr>
                <w:szCs w:val="20"/>
              </w:rPr>
              <w:tab/>
              <w:t>Vytváranie pracovných miest v pobrežných regiónoch závisí od miestneho rozvoja udržateľného modrého hospodárstva, ktoré oživuje sociálnu štruktúru týchto regiónov. Odvetvia a služby v oblasti námornej techniky pravdepodobne prekonajú rast globálneho hospodárstva a do roku 2030 významne prispejú k zamestnanosti a rastu. Z hľadiska udržateľnosti závisí modrý rast od inovácií a investícií do nových námorných podnikov a biohospodárstva vrátane modelov udržateľného cestovného ruchu, obnoviteľnej energie z oceánov, inovatívnych a špičkových techník stavby lodí a nových prístavných služieb, ktoré môžu vytvárať pracovné miesta</w:t>
            </w:r>
            <w:r w:rsidRPr="0014456E">
              <w:rPr>
                <w:b/>
                <w:i/>
                <w:szCs w:val="20"/>
              </w:rPr>
              <w:t xml:space="preserve"> a</w:t>
            </w:r>
            <w:r w:rsidRPr="0014456E">
              <w:rPr>
                <w:szCs w:val="20"/>
              </w:rPr>
              <w:t xml:space="preserve"> a súčasne zlepšiť miestny rozvoj. Zatiaľ čo verejné investície do udržateľného modrého hospodárstva by mali byť súčasťou rozpočtu Únie, ENRF by sa mal osobitne sústrediť na vytváranie podmienok pre rozvoj udržateľného modrého hospodárstva </w:t>
            </w:r>
            <w:r w:rsidRPr="0014456E">
              <w:rPr>
                <w:szCs w:val="20"/>
              </w:rPr>
              <w:lastRenderedPageBreak/>
              <w:t>a odstránenie prekážok s cieľom uľahčiť investície a rozvoj nových trhov a technológií alebo služieb. Podpora rozvoja udržateľného modrého hospodárstva by sa mala poskytovať prostredníctvom zdieľaného, priameho a nepriameho riadenia.</w:t>
            </w:r>
          </w:p>
        </w:tc>
        <w:tc>
          <w:tcPr>
            <w:tcW w:w="4876" w:type="dxa"/>
          </w:tcPr>
          <w:p w:rsidR="000A6903" w:rsidRPr="0014456E" w:rsidRDefault="000A6903" w:rsidP="000A6903">
            <w:pPr>
              <w:widowControl w:val="0"/>
              <w:spacing w:after="120"/>
              <w:rPr>
                <w:szCs w:val="20"/>
              </w:rPr>
            </w:pPr>
            <w:r w:rsidRPr="0014456E">
              <w:rPr>
                <w:szCs w:val="20"/>
              </w:rPr>
              <w:lastRenderedPageBreak/>
              <w:t>(35)</w:t>
            </w:r>
            <w:r w:rsidRPr="0014456E">
              <w:rPr>
                <w:szCs w:val="20"/>
              </w:rPr>
              <w:tab/>
              <w:t xml:space="preserve">Vytváranie pracovných miest v pobrežných regiónoch </w:t>
            </w:r>
            <w:r w:rsidRPr="0014456E">
              <w:rPr>
                <w:b/>
                <w:i/>
                <w:szCs w:val="20"/>
              </w:rPr>
              <w:t xml:space="preserve">a na ostrovoch často </w:t>
            </w:r>
            <w:r w:rsidRPr="0014456E">
              <w:rPr>
                <w:szCs w:val="20"/>
              </w:rPr>
              <w:t xml:space="preserve">závisí od miestneho rozvoja udržateľného modrého hospodárstva, ktoré oživuje sociálnu štruktúru týchto regiónov. Odvetvia a služby v oblasti námornej techniky pravdepodobne prekonajú rast globálneho hospodárstva a do roku 2030 významne prispejú k zamestnanosti a rastu. Z hľadiska udržateľnosti závisí modrý rast od inovácií a investícií do nových námorných podnikov a biohospodárstva vrátane modelov udržateľného cestovného ruchu, obnoviteľnej energie z oceánov, inovatívnych a špičkových techník stavby lodí a nových prístavných služieb, ktoré môžu vytvárať pracovné miesta a súčasne zlepšiť miestny rozvoj. Zatiaľ čo verejné investície do udržateľného modrého hospodárstva by mali byť súčasťou rozpočtu Únie, ENRF by sa mal osobitne sústrediť na vytváranie podmienok pre rozvoj udržateľného modrého hospodárstva </w:t>
            </w:r>
            <w:r w:rsidRPr="0014456E">
              <w:rPr>
                <w:szCs w:val="20"/>
              </w:rPr>
              <w:lastRenderedPageBreak/>
              <w:t>a odstránenie prekážok s cieľom uľahčiť investície a rozvoj nových trhov a technológií alebo služieb. Podpora rozvoja udržateľného modrého hospodárstva by sa mala poskytovať prostredníctvom zdieľaného, priameho a nepriameho riadenia.</w:t>
            </w:r>
          </w:p>
        </w:tc>
      </w:tr>
    </w:tbl>
    <w:p w:rsidR="000A6903" w:rsidRPr="000A6903" w:rsidRDefault="000A6903" w:rsidP="000A6903">
      <w:r>
        <w:rPr>
          <w:rStyle w:val="HideTWBExt"/>
          <w:noProof w:val="0"/>
        </w:rPr>
        <w:lastRenderedPageBreak/>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24</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Odôvodnenie 37</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en-GB"/>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(37)</w:t>
            </w:r>
            <w:r w:rsidRPr="0014456E">
              <w:rPr>
                <w:szCs w:val="20"/>
              </w:rPr>
              <w:tab/>
              <w:t>V rámci zdieľaného riadenia by malo byť možné podporovať z ENRF udržateľné modré hospodárstvo prostredníctvom zberu, správy a využívania údajov na účely prehĺbenia poznatkov o stave morského prostredia. Táto podpora by sa mala zamerať na plnenie požiadaviek smernice 92/43/EHS a smernice 2009/147/ES, podporu námorného územného plánovania a zvyšovanie kvality a zdieľania údajov prostredníctvom európskej námornej monitorovacej a dátovej siete.</w:t>
            </w:r>
          </w:p>
        </w:tc>
        <w:tc>
          <w:tcPr>
            <w:tcW w:w="4876" w:type="dxa"/>
          </w:tcPr>
          <w:p w:rsidR="000A6903" w:rsidRPr="0014456E" w:rsidRDefault="000A6903" w:rsidP="000A6903">
            <w:pPr>
              <w:widowControl w:val="0"/>
              <w:spacing w:after="120"/>
              <w:rPr>
                <w:szCs w:val="20"/>
              </w:rPr>
            </w:pPr>
            <w:r w:rsidRPr="0014456E">
              <w:rPr>
                <w:szCs w:val="20"/>
              </w:rPr>
              <w:t>(37)</w:t>
            </w:r>
            <w:r w:rsidRPr="0014456E">
              <w:rPr>
                <w:szCs w:val="20"/>
              </w:rPr>
              <w:tab/>
              <w:t>V rámci zdieľaného riadenia by malo byť možné podporovať z ENRF udržateľné modré hospodárstvo</w:t>
            </w:r>
            <w:r w:rsidRPr="0014456E">
              <w:rPr>
                <w:b/>
                <w:i/>
                <w:szCs w:val="20"/>
              </w:rPr>
              <w:t>, ktoré sa rozvíja v medziach ekologických limitov,</w:t>
            </w:r>
            <w:r w:rsidRPr="0014456E">
              <w:rPr>
                <w:szCs w:val="20"/>
              </w:rPr>
              <w:t xml:space="preserve"> prostredníctvom zberu, správy a využívania údajov na účely prehĺbenia poznatkov o stave morského prostredia. Táto podpora by sa mala zamerať na plnenie požiadaviek smernice 92/43/EHS a smernice 2009/147/ES, podporu námorného územného plánovania a zvyšovanie kvality a zdieľania údajov prostredníctvom európskej námornej monitorovacej a dátovej siete.</w:t>
            </w:r>
          </w:p>
        </w:tc>
      </w:tr>
    </w:tbl>
    <w:p w:rsidR="000A6903" w:rsidRPr="000A6903" w:rsidRDefault="000A6903" w:rsidP="000A6903">
      <w:r>
        <w:rPr>
          <w:rStyle w:val="HideTWBExt"/>
          <w:noProof w:val="0"/>
        </w:rPr>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25</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Odôvodnenie 40</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en-GB"/>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(40)</w:t>
            </w:r>
            <w:r w:rsidRPr="0014456E">
              <w:rPr>
                <w:szCs w:val="20"/>
              </w:rPr>
              <w:tab/>
              <w:t>Únia ako celosvetový aktér je pevne odhodlaná podporovať medzinárodnú správu oceánov v súlade so spoločným oznámením Komisie Rade, Európskemu parlamentu, Európskemu hospodárskemu a sociálnemu výboru a Výboru regiónov z 10. novembra 2016 s názvom „Medzinárodná správa oceánov: program pre budúcnosť našich oceánov“</w:t>
            </w:r>
            <w:r w:rsidRPr="0014456E">
              <w:rPr>
                <w:szCs w:val="20"/>
                <w:vertAlign w:val="superscript"/>
              </w:rPr>
              <w:t>17</w:t>
            </w:r>
            <w:r w:rsidRPr="0014456E">
              <w:rPr>
                <w:szCs w:val="20"/>
              </w:rPr>
              <w:t xml:space="preserve">. </w:t>
            </w:r>
            <w:r w:rsidRPr="0014456E">
              <w:rPr>
                <w:szCs w:val="20"/>
              </w:rPr>
              <w:lastRenderedPageBreak/>
              <w:t>Politika Únie v oblasti správy oceánov je novou politikou, ktorá pristupuje k oceánom uceleným spôsobom. Medzinárodná správa oceánov je podstatná nielen na dosiahnutie Agendy 2030 pre udržateľný rozvoj a najmä cieľa trvalo udržateľného rozvoja č. 14 („zachovať a udržateľne využívať oceány, moria a morské zdroje na účely trvalo udržateľného rozvoja“), ale aj na zaručenie bezpečných, chránených, čistých a udržateľne spravovaných morí a oceánov pre budúce generácie. Únia musí splniť tieto medzinárodné záväzky a</w:t>
            </w:r>
            <w:r w:rsidRPr="0014456E">
              <w:rPr>
                <w:b/>
                <w:i/>
                <w:szCs w:val="20"/>
              </w:rPr>
              <w:t xml:space="preserve"> vyvíjať aktívnu snahu na</w:t>
            </w:r>
            <w:r w:rsidRPr="0014456E">
              <w:rPr>
                <w:szCs w:val="20"/>
              </w:rPr>
              <w:t xml:space="preserve"> dosiahnutie lepšej medzinárodnej správy oceánov na bilaterálnej, regionálnej a multilaterálnej úrovni vrátane zabraňovania nezákonnému, nenahlásenému a neregulovanému rybolovu, odrádzania od neho a jeho odstránenia s cieľom zlepšiť rámec pre medzinárodnú správu oceánov, znížiť tlak na oceány a moria, vytvoriť podmienky pre udržateľné modré hospodárstvo a posilniť medzinárodný výskum a údaje o oceánoch.</w:t>
            </w:r>
          </w:p>
        </w:tc>
        <w:tc>
          <w:tcPr>
            <w:tcW w:w="4876" w:type="dxa"/>
          </w:tcPr>
          <w:p w:rsidR="000A6903" w:rsidRPr="0014456E" w:rsidRDefault="000A6903" w:rsidP="000A6903">
            <w:pPr>
              <w:widowControl w:val="0"/>
              <w:spacing w:after="120"/>
              <w:rPr>
                <w:szCs w:val="20"/>
              </w:rPr>
            </w:pPr>
            <w:r w:rsidRPr="0014456E">
              <w:rPr>
                <w:szCs w:val="20"/>
              </w:rPr>
              <w:lastRenderedPageBreak/>
              <w:t>(40)</w:t>
            </w:r>
            <w:r w:rsidRPr="0014456E">
              <w:rPr>
                <w:szCs w:val="20"/>
              </w:rPr>
              <w:tab/>
              <w:t>Únia ako celosvetový aktér je pevne odhodlaná podporovať medzinárodnú správu oceánov v súlade so spoločným oznámením Komisie Rade, Európskemu parlamentu, Európskemu hospodárskemu a sociálnemu výboru a Výboru regiónov z 10. novembra 2016 s názvom „Medzinárodná správa oceánov: program pre budúcnosť našich oceánov“</w:t>
            </w:r>
            <w:r w:rsidRPr="0014456E">
              <w:rPr>
                <w:szCs w:val="20"/>
                <w:vertAlign w:val="superscript"/>
              </w:rPr>
              <w:t>17</w:t>
            </w:r>
            <w:r w:rsidRPr="0014456E">
              <w:rPr>
                <w:szCs w:val="20"/>
              </w:rPr>
              <w:t xml:space="preserve">. </w:t>
            </w:r>
            <w:r w:rsidRPr="0014456E">
              <w:rPr>
                <w:szCs w:val="20"/>
              </w:rPr>
              <w:lastRenderedPageBreak/>
              <w:t>Politika Únie v oblasti správy oceánov je novou politikou, ktorá pristupuje k oceánom uceleným spôsobom. Medzinárodná správa oceánov je podstatná nielen na dosiahnutie Agendy 2030 pre udržateľný rozvoj a najmä cieľa trvalo udržateľného rozvoja č. 14 („zachovať a udržateľne využívať oceány, moria a morské zdroje na účely trvalo udržateľného rozvoja“), ale aj na zaručenie bezpečných, chránených, čistých a udržateľne spravovaných morí a oceánov pre budúce generácie. Únia musí splniť tieto medzinárodné záväzky a</w:t>
            </w:r>
            <w:r w:rsidRPr="0014456E">
              <w:rPr>
                <w:b/>
                <w:i/>
                <w:szCs w:val="20"/>
              </w:rPr>
              <w:t> byť hnacou a vedúcou silou úsilia o</w:t>
            </w:r>
            <w:r w:rsidRPr="0014456E">
              <w:rPr>
                <w:szCs w:val="20"/>
              </w:rPr>
              <w:t xml:space="preserve"> dosiahnutie lepšej medzinárodnej správy oceánov na bilaterálnej, regionálnej a multilaterálnej úrovni vrátane zabraňovania nezákonnému, nenahlásenému a neregulovanému rybolovu, odrádzania od neho a jeho odstránenia s cieľom zlepšiť rámec pre medzinárodnú správu oceánov, znížiť tlak na oceány a moria, vytvoriť podmienky pre udržateľné modré hospodárstvo a posilniť medzinárodný výskum a údaje o oceánoch.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lastRenderedPageBreak/>
              <w:t>_________________</w:t>
            </w:r>
          </w:p>
        </w:tc>
        <w:tc>
          <w:tcPr>
            <w:tcW w:w="4876" w:type="dxa"/>
          </w:tcPr>
          <w:p w:rsidR="000A6903" w:rsidRPr="0014456E" w:rsidRDefault="000A6903" w:rsidP="000A6903">
            <w:pPr>
              <w:widowControl w:val="0"/>
              <w:spacing w:after="120"/>
              <w:rPr>
                <w:szCs w:val="20"/>
              </w:rPr>
            </w:pPr>
            <w:r w:rsidRPr="0014456E">
              <w:rPr>
                <w:szCs w:val="20"/>
              </w:rPr>
              <w:t>_________________</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vertAlign w:val="superscript"/>
              </w:rPr>
              <w:t>17</w:t>
            </w:r>
            <w:r w:rsidRPr="0014456E">
              <w:rPr>
                <w:szCs w:val="20"/>
              </w:rPr>
              <w:t xml:space="preserve"> JOIN(2016) 49.</w:t>
            </w:r>
          </w:p>
        </w:tc>
        <w:tc>
          <w:tcPr>
            <w:tcW w:w="4876" w:type="dxa"/>
          </w:tcPr>
          <w:p w:rsidR="000A6903" w:rsidRPr="0014456E" w:rsidRDefault="000A6903" w:rsidP="000A6903">
            <w:pPr>
              <w:widowControl w:val="0"/>
              <w:spacing w:after="120"/>
              <w:rPr>
                <w:szCs w:val="20"/>
              </w:rPr>
            </w:pPr>
            <w:r w:rsidRPr="0014456E">
              <w:rPr>
                <w:szCs w:val="20"/>
                <w:vertAlign w:val="superscript"/>
              </w:rPr>
              <w:t>17</w:t>
            </w:r>
            <w:r w:rsidRPr="0014456E">
              <w:rPr>
                <w:szCs w:val="20"/>
              </w:rPr>
              <w:t xml:space="preserve"> JOIN(2016) 49.</w:t>
            </w:r>
          </w:p>
        </w:tc>
      </w:tr>
    </w:tbl>
    <w:p w:rsidR="000A6903" w:rsidRPr="000A6903" w:rsidRDefault="000A6903" w:rsidP="000A6903">
      <w:r>
        <w:rPr>
          <w:rStyle w:val="HideTWBExt"/>
          <w:noProof w:val="0"/>
        </w:rPr>
        <w:t>&lt;/Amend&gt;</w:t>
      </w:r>
    </w:p>
    <w:p w:rsidR="000A6903" w:rsidRPr="000A6903" w:rsidRDefault="000A6903" w:rsidP="000A6903">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26</w:t>
      </w:r>
      <w:r>
        <w:rPr>
          <w:rStyle w:val="HideTWBExt"/>
          <w:noProof w:val="0"/>
        </w:rPr>
        <w:t>&lt;/NumAm&gt;</w:t>
      </w:r>
    </w:p>
    <w:p w:rsidR="000A6903" w:rsidRPr="000A6903" w:rsidRDefault="000A6903" w:rsidP="000A6903">
      <w:pPr>
        <w:keepNext/>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Odôvodnenie 44 a (nové)</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A6903" w:rsidRPr="000A6903" w:rsidTr="009E1AE8">
        <w:trPr>
          <w:jc w:val="center"/>
        </w:trPr>
        <w:tc>
          <w:tcPr>
            <w:tcW w:w="9752" w:type="dxa"/>
            <w:gridSpan w:val="2"/>
          </w:tcPr>
          <w:p w:rsidR="000A6903" w:rsidRPr="000A6903" w:rsidRDefault="000A6903" w:rsidP="000A6903">
            <w:pPr>
              <w:keepNext/>
              <w:rPr>
                <w:lang w:val="en-GB"/>
              </w:rPr>
            </w:pPr>
          </w:p>
        </w:tc>
      </w:tr>
      <w:tr w:rsidR="000A6903" w:rsidRPr="000A6903" w:rsidTr="009E1AE8">
        <w:trPr>
          <w:jc w:val="center"/>
        </w:trPr>
        <w:tc>
          <w:tcPr>
            <w:tcW w:w="4876" w:type="dxa"/>
          </w:tcPr>
          <w:p w:rsidR="000A6903" w:rsidRPr="0014456E" w:rsidRDefault="000A6903" w:rsidP="000A6903">
            <w:pPr>
              <w:keepNext/>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keepNext/>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lang w:val="en-GB"/>
              </w:rPr>
            </w:pPr>
          </w:p>
        </w:tc>
        <w:tc>
          <w:tcPr>
            <w:tcW w:w="4876" w:type="dxa"/>
          </w:tcPr>
          <w:p w:rsidR="000A6903" w:rsidRPr="0014456E" w:rsidRDefault="000A6903" w:rsidP="000A6903">
            <w:pPr>
              <w:widowControl w:val="0"/>
              <w:spacing w:after="120"/>
            </w:pPr>
            <w:r w:rsidRPr="0014456E">
              <w:rPr>
                <w:b/>
                <w:i/>
                <w:szCs w:val="20"/>
              </w:rPr>
              <w:t>(44a)</w:t>
            </w:r>
            <w:r w:rsidRPr="0014456E">
              <w:rPr>
                <w:b/>
                <w:i/>
                <w:szCs w:val="20"/>
              </w:rPr>
              <w:tab/>
              <w:t>Platobný postup v rámci súčasného ENRF je považovaný za nedostatočný, pretože po 4 rokoch jeho uplatňovania sa využilo iba 11 %. Tento postup treba vylepšiť, aby sa urýchlili platby príjemcom, najmä pokiaľ ide o jednotlivcov alebo rodiny.</w:t>
            </w:r>
          </w:p>
        </w:tc>
      </w:tr>
    </w:tbl>
    <w:p w:rsidR="000A6903" w:rsidRPr="000A6903" w:rsidRDefault="000A6903" w:rsidP="000A6903">
      <w:r>
        <w:rPr>
          <w:rStyle w:val="HideTWBExt"/>
          <w:noProof w:val="0"/>
        </w:rPr>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27</w:t>
      </w:r>
      <w:r>
        <w:rPr>
          <w:rStyle w:val="HideTWBExt"/>
          <w:noProof w:val="0"/>
        </w:rPr>
        <w:t>&lt;/NumAm&gt;</w:t>
      </w:r>
    </w:p>
    <w:p w:rsidR="000A6903" w:rsidRPr="000A6903" w:rsidRDefault="000A6903" w:rsidP="000A6903">
      <w:pPr>
        <w:widowControl w:val="0"/>
        <w:spacing w:before="240"/>
        <w:rPr>
          <w:b/>
          <w:szCs w:val="20"/>
        </w:rPr>
      </w:pPr>
      <w:r>
        <w:rPr>
          <w:rStyle w:val="HideTWBExt"/>
          <w:noProof w:val="0"/>
        </w:rPr>
        <w:lastRenderedPageBreak/>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Odôvodnenie 47</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en-GB"/>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(47)</w:t>
            </w:r>
            <w:r w:rsidRPr="0014456E">
              <w:rPr>
                <w:szCs w:val="20"/>
              </w:rPr>
              <w:tab/>
              <w:t>V súlade s nariadením (EÚ) xx/xx [nariadenie o rozpočtových pravidlách, ktoré sa vzťahujú na všeobecný rozpočet Únie], nariadením Európskeho parlamentu a Rady (EÚ, Euratom) č. 883/2013</w:t>
            </w:r>
            <w:r w:rsidRPr="0014456E">
              <w:rPr>
                <w:szCs w:val="20"/>
                <w:vertAlign w:val="superscript"/>
              </w:rPr>
              <w:t>19</w:t>
            </w:r>
            <w:r w:rsidRPr="0014456E">
              <w:rPr>
                <w:szCs w:val="20"/>
              </w:rPr>
              <w:t>, nariadením Rady (Euratom, ES) č. 2988/95</w:t>
            </w:r>
            <w:r w:rsidRPr="0014456E">
              <w:rPr>
                <w:szCs w:val="20"/>
                <w:vertAlign w:val="superscript"/>
              </w:rPr>
              <w:t>20</w:t>
            </w:r>
            <w:r w:rsidRPr="0014456E">
              <w:rPr>
                <w:szCs w:val="20"/>
              </w:rPr>
              <w:t>, nariadením Rady (Euratom, ES) č. 2185/96</w:t>
            </w:r>
            <w:r w:rsidRPr="0014456E">
              <w:rPr>
                <w:szCs w:val="20"/>
                <w:vertAlign w:val="superscript"/>
              </w:rPr>
              <w:t>21</w:t>
            </w:r>
            <w:r w:rsidRPr="0014456E">
              <w:rPr>
                <w:szCs w:val="20"/>
              </w:rPr>
              <w:t xml:space="preserve"> a nariadením Rady (EÚ) 2017/1939</w:t>
            </w:r>
            <w:r w:rsidRPr="0014456E">
              <w:rPr>
                <w:szCs w:val="20"/>
                <w:vertAlign w:val="superscript"/>
              </w:rPr>
              <w:t>22</w:t>
            </w:r>
            <w:r w:rsidRPr="0014456E">
              <w:rPr>
                <w:szCs w:val="20"/>
              </w:rPr>
              <w:t xml:space="preserve"> sa finančné záujmy Únie majú chrániť primeranými opatreniami, ku ktorým patrí prevencia, odhaľovanie, náprava a vyšetrovanie nezrovnalostí vrátane podvodov, vymáhanie stratených, nesprávne vyplatených alebo nesprávne použitých finančných prostriedkov a prípadné uloženie administratívnych sankcií. Najmä v súlade s nariadením (EÚ, Euratom) č. 883/2013 a nariadením (Euratom, ES) č. 2185/96 by Európsky úrad pre boj proti podvodom (OLAF) mohol vykonávať vyšetrovania vrátane kontrol na mieste a aby sa zistilo, či došlo k podvodu, korupcii alebo akejkoľvek inej protiprávnej činnosti ovplyvňujúcej finančné záujmy Únie. V súlade s nariadením Rady (EÚ) č. 2017/1939 by Európska prokuratúra (EPPO) </w:t>
            </w:r>
            <w:r w:rsidRPr="0014456E">
              <w:rPr>
                <w:b/>
                <w:i/>
                <w:szCs w:val="20"/>
              </w:rPr>
              <w:t>mohla</w:t>
            </w:r>
            <w:r w:rsidRPr="0014456E">
              <w:rPr>
                <w:szCs w:val="20"/>
              </w:rPr>
              <w:t xml:space="preserve"> vyšetrovať a stíhať podvody a iné trestné činy, ktoré majú vplyv na finančné záujmy Únie, v zmysle smernice Európskeho parlamentu a Rady 2017/1371</w:t>
            </w:r>
            <w:r w:rsidRPr="0014456E">
              <w:rPr>
                <w:szCs w:val="20"/>
                <w:vertAlign w:val="superscript"/>
              </w:rPr>
              <w:t>23</w:t>
            </w:r>
            <w:r w:rsidRPr="0014456E">
              <w:rPr>
                <w:szCs w:val="20"/>
              </w:rPr>
              <w:t xml:space="preserve">. V súlade s nariadením (EÚ) č. [nariadenie o rozpočtových pravidlách, ktoré sa vzťahujú na všeobecný rozpočet Únie] má každá osoba alebo subjekt prijímajúci finančné prostriedky Únie plne spolupracovať pri ochrane finančných záujmov Únie, poskytnúť a zabezpečiť Komisii, OLAF, EPPO a Európskemu dvoru audítorov (EDA) potrebné práva a prístupy a zabezpečiť, aby každej tretej strane, ktorá je zapojená do využívania finančných prostriedkov Únie, boli priznané rovnaké </w:t>
            </w:r>
            <w:r w:rsidRPr="0014456E">
              <w:rPr>
                <w:szCs w:val="20"/>
              </w:rPr>
              <w:lastRenderedPageBreak/>
              <w:t>práva. Členské štáty by mali zabezpečiť, aby boli pri riadení a využívaní ENRF chránené finančné záujmy Únie v súlade s nariadením (EÚ) č. [nariadenie o rozpočtových pravidlách, ktoré sa vzťahujú na všeobecný rozpočet Únie] a nariadením (EÚ) č. [nariadenie, ktorým sa stanovujú spoločné ustanovenia].</w:t>
            </w:r>
          </w:p>
        </w:tc>
        <w:tc>
          <w:tcPr>
            <w:tcW w:w="4876" w:type="dxa"/>
          </w:tcPr>
          <w:p w:rsidR="000A6903" w:rsidRPr="0014456E" w:rsidRDefault="000A6903" w:rsidP="000A6903">
            <w:pPr>
              <w:widowControl w:val="0"/>
              <w:spacing w:after="120"/>
              <w:rPr>
                <w:szCs w:val="20"/>
              </w:rPr>
            </w:pPr>
            <w:r w:rsidRPr="0014456E">
              <w:rPr>
                <w:szCs w:val="20"/>
              </w:rPr>
              <w:lastRenderedPageBreak/>
              <w:t>(47)</w:t>
            </w:r>
            <w:r w:rsidRPr="0014456E">
              <w:rPr>
                <w:szCs w:val="20"/>
              </w:rPr>
              <w:tab/>
              <w:t>V súlade s nariadením (EÚ) xx/xx [nariadenie o rozpočtových pravidlách, ktoré sa vzťahujú na všeobecný rozpočet Únie], nariadením Európskeho parlamentu a Rady (EÚ, Euratom) č. 883/2013</w:t>
            </w:r>
            <w:r w:rsidRPr="0014456E">
              <w:rPr>
                <w:szCs w:val="20"/>
                <w:vertAlign w:val="superscript"/>
              </w:rPr>
              <w:t>19</w:t>
            </w:r>
            <w:r w:rsidRPr="0014456E">
              <w:rPr>
                <w:szCs w:val="20"/>
              </w:rPr>
              <w:t>, nariadením Rady (Euratom, ES) č. 2988/95</w:t>
            </w:r>
            <w:r w:rsidRPr="0014456E">
              <w:rPr>
                <w:szCs w:val="20"/>
                <w:vertAlign w:val="superscript"/>
              </w:rPr>
              <w:t>20</w:t>
            </w:r>
            <w:r w:rsidRPr="0014456E">
              <w:rPr>
                <w:szCs w:val="20"/>
              </w:rPr>
              <w:t>, nariadením Rady (Euratom, ES) č. 2185/96</w:t>
            </w:r>
            <w:r w:rsidRPr="0014456E">
              <w:rPr>
                <w:szCs w:val="20"/>
                <w:vertAlign w:val="superscript"/>
              </w:rPr>
              <w:t>21</w:t>
            </w:r>
            <w:r w:rsidRPr="0014456E">
              <w:rPr>
                <w:szCs w:val="20"/>
              </w:rPr>
              <w:t xml:space="preserve"> a nariadením Rady (EÚ) 2017/1939</w:t>
            </w:r>
            <w:r w:rsidRPr="0014456E">
              <w:rPr>
                <w:szCs w:val="20"/>
                <w:vertAlign w:val="superscript"/>
              </w:rPr>
              <w:t>22</w:t>
            </w:r>
            <w:r w:rsidRPr="0014456E">
              <w:rPr>
                <w:szCs w:val="20"/>
              </w:rPr>
              <w:t xml:space="preserve"> sa finančné záujmy Únie majú chrániť primeranými opatreniami, ku ktorým patrí prevencia, odhaľovanie, náprava a vyšetrovanie nezrovnalostí vrátane podvodov, vymáhanie stratených, nesprávne vyplatených alebo nesprávne použitých finančných prostriedkov a prípadné uloženie administratívnych sankcií. Najmä v súlade s nariadením (EÚ, Euratom) č. 883/2013 a nariadením (Euratom, ES) č. 2185/96 by Európsky úrad pre boj proti podvodom (OLAF) mohol vykonávať vyšetrovania vrátane kontrol na mieste a aby sa zistilo, či došlo k podvodu, korupcii alebo akejkoľvek inej protiprávnej činnosti ovplyvňujúcej finančné záujmy Únie. V súlade s nariadením Rady (EÚ) č. 2017/1939 by Európska prokuratúra (EPPO) </w:t>
            </w:r>
            <w:r w:rsidRPr="0014456E">
              <w:rPr>
                <w:b/>
                <w:i/>
                <w:szCs w:val="20"/>
              </w:rPr>
              <w:t>mala</w:t>
            </w:r>
            <w:r w:rsidRPr="0014456E">
              <w:rPr>
                <w:szCs w:val="20"/>
              </w:rPr>
              <w:t xml:space="preserve"> vyšetrovať a stíhať podvody a iné trestné činy, ktoré majú vplyv na finančné záujmy Únie, v zmysle smernice Európskeho parlamentu a Rady 2017/1371</w:t>
            </w:r>
            <w:r w:rsidRPr="0014456E">
              <w:rPr>
                <w:szCs w:val="20"/>
                <w:vertAlign w:val="superscript"/>
              </w:rPr>
              <w:t>23</w:t>
            </w:r>
            <w:r w:rsidRPr="0014456E">
              <w:rPr>
                <w:szCs w:val="20"/>
              </w:rPr>
              <w:t xml:space="preserve">. V súlade s nariadením (EÚ) č. [nariadenie o rozpočtových pravidlách, ktoré sa vzťahujú na všeobecný rozpočet Únie] má každá osoba alebo subjekt prijímajúci finančné prostriedky Únie plne spolupracovať pri ochrane finančných záujmov Únie, poskytnúť a zabezpečiť Komisii, OLAF, EPPO a Európskemu dvoru audítorov (EDA) potrebné práva a prístupy a zabezpečiť, aby každej tretej strane, ktorá je zapojená do využívania finančných prostriedkov Únie, boli priznané rovnaké </w:t>
            </w:r>
            <w:r w:rsidRPr="0014456E">
              <w:rPr>
                <w:szCs w:val="20"/>
              </w:rPr>
              <w:lastRenderedPageBreak/>
              <w:t>práva. Členské štáty by mali zabezpečiť, aby boli pri riadení a využívaní ENRF chránené finančné záujmy Únie v súlade s nariadením (EÚ) č. [nariadenie o rozpočtových pravidlách, ktoré sa vzťahujú na všeobecný rozpočet Únie] a nariadením (EÚ) č. [nariadenie, ktorým sa stanovujú spoločné ustanovenia].</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lastRenderedPageBreak/>
              <w:t>_________________</w:t>
            </w:r>
          </w:p>
        </w:tc>
        <w:tc>
          <w:tcPr>
            <w:tcW w:w="4876" w:type="dxa"/>
          </w:tcPr>
          <w:p w:rsidR="000A6903" w:rsidRPr="0014456E" w:rsidRDefault="000A6903" w:rsidP="000A6903">
            <w:pPr>
              <w:widowControl w:val="0"/>
              <w:spacing w:after="120"/>
              <w:rPr>
                <w:szCs w:val="20"/>
              </w:rPr>
            </w:pPr>
            <w:r w:rsidRPr="0014456E">
              <w:rPr>
                <w:szCs w:val="20"/>
              </w:rPr>
              <w:t>_________________</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vertAlign w:val="superscript"/>
              </w:rPr>
              <w:t>19</w:t>
            </w:r>
            <w:r w:rsidRPr="0014456E">
              <w:rPr>
                <w:szCs w:val="20"/>
              </w:rPr>
              <w:t xml:space="preserve"> Nariadenie Európskeho parlamentu a Rady (EÚ, Euratom) č. 883/2013 z 11. septembra 2013 o vyšetrovaniach vykonávaných Európskym úradom pre boj proti podvodom (OLAF) a ktorým sa zrušuje nariadenie Európskeho parlamentu a Rady (ES) č. 1073/1999 a nariadenie Rady (Euratom) č. 1074/1999 (Ú. v. EÚ L 248, 18.09.2013, s. 1).</w:t>
            </w:r>
          </w:p>
        </w:tc>
        <w:tc>
          <w:tcPr>
            <w:tcW w:w="4876" w:type="dxa"/>
          </w:tcPr>
          <w:p w:rsidR="000A6903" w:rsidRPr="0014456E" w:rsidRDefault="000A6903" w:rsidP="000A6903">
            <w:pPr>
              <w:widowControl w:val="0"/>
              <w:spacing w:after="120"/>
              <w:rPr>
                <w:szCs w:val="20"/>
              </w:rPr>
            </w:pPr>
            <w:r w:rsidRPr="0014456E">
              <w:rPr>
                <w:szCs w:val="20"/>
                <w:vertAlign w:val="superscript"/>
              </w:rPr>
              <w:t>19</w:t>
            </w:r>
            <w:r w:rsidRPr="0014456E">
              <w:rPr>
                <w:szCs w:val="20"/>
              </w:rPr>
              <w:t xml:space="preserve"> Nariadenie Európskeho parlamentu a Rady (EÚ, Euratom) č. 883/2013 z 11. septembra 2013 o vyšetrovaniach vykonávaných Európskym úradom pre boj proti podvodom (OLAF) a ktorým sa zrušuje nariadenie Európskeho parlamentu a Rady (ES) č. 1073/1999 a nariadenie Rady (Euratom) č. 1074/1999 (Ú. v. EÚ L 248, 18.09.2013, s. 1).</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vertAlign w:val="superscript"/>
              </w:rPr>
              <w:t>20</w:t>
            </w:r>
            <w:r w:rsidRPr="0014456E">
              <w:rPr>
                <w:szCs w:val="20"/>
              </w:rPr>
              <w:t xml:space="preserve"> Nariadenie Rady (ES, Euratom) č. 2988/95 z 18. decembra 1995 o ochrane finančných záujmov Európskych spoločenstiev (Ú. v. EÚ L 312, 23.12.95, s. 1).</w:t>
            </w:r>
          </w:p>
        </w:tc>
        <w:tc>
          <w:tcPr>
            <w:tcW w:w="4876" w:type="dxa"/>
          </w:tcPr>
          <w:p w:rsidR="000A6903" w:rsidRPr="0014456E" w:rsidRDefault="000A6903" w:rsidP="000A6903">
            <w:pPr>
              <w:widowControl w:val="0"/>
              <w:spacing w:after="120"/>
              <w:rPr>
                <w:szCs w:val="20"/>
              </w:rPr>
            </w:pPr>
            <w:r w:rsidRPr="0014456E">
              <w:rPr>
                <w:szCs w:val="20"/>
                <w:vertAlign w:val="superscript"/>
              </w:rPr>
              <w:t>20</w:t>
            </w:r>
            <w:r w:rsidRPr="0014456E">
              <w:rPr>
                <w:szCs w:val="20"/>
              </w:rPr>
              <w:t xml:space="preserve"> Nariadenie Rady (ES, Euratom) č. 2988/95 z 18. decembra 1995 o ochrane finančných záujmov Európskych spoločenstiev (Ú. v. EÚ L 312, 23.12.95, s. 1).</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vertAlign w:val="superscript"/>
              </w:rPr>
              <w:t>21</w:t>
            </w:r>
            <w:r w:rsidRPr="0014456E">
              <w:rPr>
                <w:szCs w:val="20"/>
              </w:rPr>
              <w:t xml:space="preserve"> Nariadenie Rady (Euratom, ES) č. 2185/96 z 11. novembra 1996 o kontrolách a inšpekciách na mieste, vykonávaných Komisiou s cieľom ochrany finančných záujmov Európskych spoločenstiev pred spreneverou a inými podvodmi (Ú. v. EÚ L 292, 15.11.1996, s. 2).</w:t>
            </w:r>
          </w:p>
        </w:tc>
        <w:tc>
          <w:tcPr>
            <w:tcW w:w="4876" w:type="dxa"/>
          </w:tcPr>
          <w:p w:rsidR="000A6903" w:rsidRPr="0014456E" w:rsidRDefault="000A6903" w:rsidP="000A6903">
            <w:pPr>
              <w:widowControl w:val="0"/>
              <w:spacing w:after="120"/>
              <w:rPr>
                <w:szCs w:val="20"/>
              </w:rPr>
            </w:pPr>
            <w:r w:rsidRPr="0014456E">
              <w:rPr>
                <w:szCs w:val="20"/>
                <w:vertAlign w:val="superscript"/>
              </w:rPr>
              <w:t>21</w:t>
            </w:r>
            <w:r w:rsidRPr="0014456E">
              <w:rPr>
                <w:szCs w:val="20"/>
              </w:rPr>
              <w:t xml:space="preserve"> Nariadenie Rady (Euratom, ES) č. 2185/96 z 11. novembra 1996 o kontrolách a inšpekciách na mieste, vykonávaných Komisiou s cieľom ochrany finančných záujmov Európskych spoločenstiev pred spreneverou a inými podvodmi (Ú. v. EÚ L 292, 15.11.1996, s. 2).</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vertAlign w:val="superscript"/>
              </w:rPr>
              <w:t>22</w:t>
            </w:r>
            <w:r w:rsidRPr="0014456E">
              <w:rPr>
                <w:szCs w:val="20"/>
              </w:rPr>
              <w:t xml:space="preserve"> Nariadenie Rady (EÚ) 2017/1939 z 12. októbra 2017, ktorým sa vykonáva posilnená spolupráca na účely zriadenia Európskej prokuratúry (Ú. v. EÚ L 283, 31.10.2017, s. 1).</w:t>
            </w:r>
          </w:p>
        </w:tc>
        <w:tc>
          <w:tcPr>
            <w:tcW w:w="4876" w:type="dxa"/>
          </w:tcPr>
          <w:p w:rsidR="000A6903" w:rsidRPr="0014456E" w:rsidRDefault="000A6903" w:rsidP="000A6903">
            <w:pPr>
              <w:widowControl w:val="0"/>
              <w:spacing w:after="120"/>
              <w:rPr>
                <w:szCs w:val="20"/>
              </w:rPr>
            </w:pPr>
            <w:r w:rsidRPr="0014456E">
              <w:rPr>
                <w:szCs w:val="20"/>
                <w:vertAlign w:val="superscript"/>
              </w:rPr>
              <w:t>22</w:t>
            </w:r>
            <w:r w:rsidRPr="0014456E">
              <w:rPr>
                <w:szCs w:val="20"/>
              </w:rPr>
              <w:t xml:space="preserve"> Nariadenie Rady (EÚ) 2017/1939 z 12. októbra 2017, ktorým sa vykonáva posilnená spolupráca na účely zriadenia Európskej prokuratúry (Ú. v. EÚ L 283, 31.10.2017, s. 1).</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vertAlign w:val="superscript"/>
              </w:rPr>
              <w:t>23</w:t>
            </w:r>
            <w:r w:rsidRPr="0014456E">
              <w:rPr>
                <w:szCs w:val="20"/>
              </w:rPr>
              <w:t xml:space="preserve"> Smernica Európskeho parlamentu a Rady (EÚ) 2017/1371 z 5. júla 2017 o boji proti podvodom, ktoré poškodzujú finančné záujmy Únie, prostredníctvom trestného práva (Ú. v. EÚ L 198, 28.7.2017, s. 29).</w:t>
            </w:r>
          </w:p>
        </w:tc>
        <w:tc>
          <w:tcPr>
            <w:tcW w:w="4876" w:type="dxa"/>
          </w:tcPr>
          <w:p w:rsidR="000A6903" w:rsidRPr="0014456E" w:rsidRDefault="000A6903" w:rsidP="000A6903">
            <w:pPr>
              <w:widowControl w:val="0"/>
              <w:spacing w:after="120"/>
              <w:rPr>
                <w:szCs w:val="20"/>
              </w:rPr>
            </w:pPr>
            <w:r w:rsidRPr="0014456E">
              <w:rPr>
                <w:szCs w:val="20"/>
                <w:vertAlign w:val="superscript"/>
              </w:rPr>
              <w:t>23</w:t>
            </w:r>
            <w:r w:rsidRPr="0014456E">
              <w:rPr>
                <w:szCs w:val="20"/>
              </w:rPr>
              <w:t xml:space="preserve"> Smernica Európskeho parlamentu a Rady (EÚ) 2017/1371 z 5. júla 2017 o boji proti podvodom, ktoré poškodzujú finančné záujmy Únie, prostredníctvom trestného práva (Ú. v. EÚ L 198, 28.7.2017, s. 29).</w:t>
            </w:r>
          </w:p>
        </w:tc>
      </w:tr>
    </w:tbl>
    <w:p w:rsidR="000A6903" w:rsidRPr="000A6903" w:rsidRDefault="000A6903" w:rsidP="000A6903">
      <w:r>
        <w:rPr>
          <w:rStyle w:val="HideTWBExt"/>
          <w:noProof w:val="0"/>
        </w:rPr>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28</w:t>
      </w:r>
      <w:r>
        <w:rPr>
          <w:rStyle w:val="HideTWBExt"/>
          <w:noProof w:val="0"/>
        </w:rPr>
        <w:t>&lt;/NumAm&gt;</w:t>
      </w:r>
    </w:p>
    <w:p w:rsidR="000A6903" w:rsidRPr="000A6903" w:rsidRDefault="000A6903" w:rsidP="000A6903">
      <w:pPr>
        <w:widowControl w:val="0"/>
        <w:spacing w:before="240"/>
        <w:rPr>
          <w:b/>
          <w:szCs w:val="20"/>
        </w:rPr>
      </w:pPr>
      <w:r>
        <w:rPr>
          <w:rStyle w:val="HideTWBExt"/>
          <w:noProof w:val="0"/>
        </w:rPr>
        <w:lastRenderedPageBreak/>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Odôvodnenie 48</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en-GB"/>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(48)</w:t>
            </w:r>
            <w:r w:rsidRPr="0014456E">
              <w:rPr>
                <w:szCs w:val="20"/>
              </w:rPr>
              <w:tab/>
              <w:t xml:space="preserve">S cieľom zvýšiť transparentnosť využívania fondov Únie a ich správneho finančného riadenia, najmä z hľadiska posilnenia verejnej kontroly používaných finančných prostriedkov, by sa </w:t>
            </w:r>
            <w:r w:rsidRPr="0014456E">
              <w:rPr>
                <w:b/>
                <w:i/>
                <w:szCs w:val="20"/>
              </w:rPr>
              <w:t>niektoré</w:t>
            </w:r>
            <w:r w:rsidRPr="0014456E">
              <w:rPr>
                <w:szCs w:val="20"/>
              </w:rPr>
              <w:t xml:space="preserve"> informácie o operáciách financovaných z ENRF mali uverejniť na webovom sídle členského štátu v súlade s nariadením (EÚ) č. [všeobecné nariadenie]. Keď členský štát uverejní informácie o operáciách financovaných z ENRF, treba dodržať pravidlá o ochrane osobných údajov stanovené v nariadení Európskeho parlamentu a Rady (EÚ) č. 2016/679</w:t>
            </w:r>
            <w:r w:rsidRPr="0014456E">
              <w:rPr>
                <w:szCs w:val="20"/>
                <w:vertAlign w:val="superscript"/>
              </w:rPr>
              <w:t>24</w:t>
            </w:r>
            <w:r w:rsidRPr="0014456E">
              <w:rPr>
                <w:szCs w:val="20"/>
              </w:rPr>
              <w:t>.</w:t>
            </w:r>
          </w:p>
        </w:tc>
        <w:tc>
          <w:tcPr>
            <w:tcW w:w="4876" w:type="dxa"/>
          </w:tcPr>
          <w:p w:rsidR="000A6903" w:rsidRPr="0014456E" w:rsidRDefault="000A6903" w:rsidP="000A6903">
            <w:pPr>
              <w:widowControl w:val="0"/>
              <w:spacing w:after="120"/>
              <w:rPr>
                <w:szCs w:val="20"/>
              </w:rPr>
            </w:pPr>
            <w:r w:rsidRPr="0014456E">
              <w:rPr>
                <w:szCs w:val="20"/>
              </w:rPr>
              <w:t>(48)</w:t>
            </w:r>
            <w:r w:rsidRPr="0014456E">
              <w:rPr>
                <w:szCs w:val="20"/>
              </w:rPr>
              <w:tab/>
              <w:t xml:space="preserve">S cieľom zvýšiť transparentnosť využívania fondov Únie a ich správneho finančného riadenia, najmä z hľadiska posilnenia verejnej kontroly používaných finančných prostriedkov, by sa </w:t>
            </w:r>
            <w:r w:rsidRPr="0014456E">
              <w:rPr>
                <w:b/>
                <w:i/>
                <w:szCs w:val="20"/>
              </w:rPr>
              <w:t>všetky</w:t>
            </w:r>
            <w:r w:rsidRPr="0014456E">
              <w:rPr>
                <w:szCs w:val="20"/>
              </w:rPr>
              <w:t xml:space="preserve"> informácie o operáciách financovaných z ENRF mali uverejniť na webovom sídle členského štátu v súlade s nariadením (EÚ) č. [všeobecné nariadenie]. Keď členský štát uverejní informácie o operáciách financovaných z ENRF, treba dodržať pravidlá o ochrane osobných údajov stanovené v nariadení Európskeho parlamentu a Rady (EÚ) č. 2016/679</w:t>
            </w:r>
            <w:r w:rsidRPr="0014456E">
              <w:rPr>
                <w:szCs w:val="20"/>
                <w:vertAlign w:val="superscript"/>
              </w:rPr>
              <w:t>24</w:t>
            </w:r>
            <w:r w:rsidRPr="0014456E">
              <w:rPr>
                <w:szCs w:val="20"/>
              </w:rPr>
              <w:t>.</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_________________</w:t>
            </w:r>
          </w:p>
        </w:tc>
        <w:tc>
          <w:tcPr>
            <w:tcW w:w="4876" w:type="dxa"/>
          </w:tcPr>
          <w:p w:rsidR="000A6903" w:rsidRPr="0014456E" w:rsidRDefault="000A6903" w:rsidP="000A6903">
            <w:pPr>
              <w:widowControl w:val="0"/>
              <w:spacing w:after="120"/>
              <w:rPr>
                <w:szCs w:val="20"/>
              </w:rPr>
            </w:pPr>
            <w:r w:rsidRPr="0014456E">
              <w:rPr>
                <w:szCs w:val="20"/>
              </w:rPr>
              <w:t>_________________</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vertAlign w:val="superscript"/>
              </w:rPr>
              <w:t>24</w:t>
            </w:r>
            <w:r w:rsidRPr="0014456E">
              <w:rPr>
                <w:szCs w:val="20"/>
              </w:rPr>
              <w:t xml:space="preserve"> Nariadenie Európskeho Parlamentu a Rady (EÚ) 2016/679 z 27. apríla 2016 o ochrane fyzických osôb pri spracúvaní osobných údajov a o voľnom pohybe takýchto údajov, ktorým sa zrušuje smernica 95/46/ES (všeobecné nariadenie o ochrane údajov) (Ú. v. EÚ L 119, 4.5.2016, s. 1).</w:t>
            </w:r>
          </w:p>
        </w:tc>
        <w:tc>
          <w:tcPr>
            <w:tcW w:w="4876" w:type="dxa"/>
          </w:tcPr>
          <w:p w:rsidR="000A6903" w:rsidRPr="0014456E" w:rsidRDefault="000A6903" w:rsidP="000A6903">
            <w:pPr>
              <w:widowControl w:val="0"/>
              <w:spacing w:after="120"/>
              <w:rPr>
                <w:szCs w:val="20"/>
              </w:rPr>
            </w:pPr>
            <w:r w:rsidRPr="0014456E">
              <w:rPr>
                <w:szCs w:val="20"/>
                <w:vertAlign w:val="superscript"/>
              </w:rPr>
              <w:t>24</w:t>
            </w:r>
            <w:r w:rsidRPr="0014456E">
              <w:rPr>
                <w:szCs w:val="20"/>
              </w:rPr>
              <w:t xml:space="preserve"> Nariadenie Európskeho Parlamentu a Rady (EÚ) 2016/679 z 27. apríla 2016 o ochrane fyzických osôb pri spracúvaní osobných údajov a o voľnom pohybe takýchto údajov, ktorým sa zrušuje smernica 95/46/ES (všeobecné nariadenie o ochrane údajov) (Ú. v. EÚ L 119, 4.5.2016, s. 1).</w:t>
            </w:r>
          </w:p>
        </w:tc>
      </w:tr>
    </w:tbl>
    <w:p w:rsidR="000A6903" w:rsidRPr="000A6903" w:rsidRDefault="000A6903" w:rsidP="000A6903">
      <w:r>
        <w:rPr>
          <w:rStyle w:val="HideTWBExt"/>
          <w:noProof w:val="0"/>
        </w:rPr>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29</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Článok 3 – odsek 2 – bod 12</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fr-FR"/>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(12)</w:t>
            </w:r>
            <w:r w:rsidRPr="0014456E">
              <w:rPr>
                <w:szCs w:val="20"/>
              </w:rPr>
              <w:tab/>
              <w:t xml:space="preserve">„produktívne investície do akvakultúry“ sú investície do výstavby, rozširovania </w:t>
            </w:r>
            <w:r w:rsidRPr="0014456E">
              <w:rPr>
                <w:b/>
                <w:i/>
                <w:szCs w:val="20"/>
              </w:rPr>
              <w:t>a</w:t>
            </w:r>
            <w:r w:rsidRPr="0014456E">
              <w:rPr>
                <w:szCs w:val="20"/>
              </w:rPr>
              <w:t> modernizácie alebo do vybavenia zariadení na produkciu v rámci akvakultúry;</w:t>
            </w:r>
          </w:p>
        </w:tc>
        <w:tc>
          <w:tcPr>
            <w:tcW w:w="4876" w:type="dxa"/>
          </w:tcPr>
          <w:p w:rsidR="000A6903" w:rsidRPr="0014456E" w:rsidRDefault="000A6903" w:rsidP="000A6903">
            <w:pPr>
              <w:widowControl w:val="0"/>
              <w:spacing w:after="120"/>
              <w:rPr>
                <w:szCs w:val="20"/>
              </w:rPr>
            </w:pPr>
            <w:r w:rsidRPr="0014456E">
              <w:rPr>
                <w:szCs w:val="20"/>
              </w:rPr>
              <w:t>(12)</w:t>
            </w:r>
            <w:r w:rsidRPr="0014456E">
              <w:rPr>
                <w:szCs w:val="20"/>
              </w:rPr>
              <w:tab/>
              <w:t>„produktívne investície do akvakultúry“ sú investície do výstavby, rozširovania</w:t>
            </w:r>
            <w:r w:rsidRPr="0014456E">
              <w:rPr>
                <w:b/>
                <w:i/>
                <w:szCs w:val="20"/>
              </w:rPr>
              <w:t>, modernizácie</w:t>
            </w:r>
            <w:r w:rsidRPr="0014456E">
              <w:rPr>
                <w:szCs w:val="20"/>
              </w:rPr>
              <w:t xml:space="preserve"> </w:t>
            </w:r>
            <w:r w:rsidRPr="0014456E">
              <w:rPr>
                <w:b/>
                <w:i/>
                <w:szCs w:val="20"/>
              </w:rPr>
              <w:t>a inovácie</w:t>
            </w:r>
            <w:r w:rsidRPr="0014456E">
              <w:rPr>
                <w:szCs w:val="20"/>
              </w:rPr>
              <w:t xml:space="preserve"> alebo do vybavenia zariadení na produkciu v rámci akvakultúry;</w:t>
            </w:r>
          </w:p>
        </w:tc>
      </w:tr>
    </w:tbl>
    <w:p w:rsidR="000A6903" w:rsidRPr="000A6903" w:rsidRDefault="000A6903" w:rsidP="000A6903">
      <w:r>
        <w:rPr>
          <w:rStyle w:val="HideTWBExt"/>
          <w:noProof w:val="0"/>
        </w:rPr>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30</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Článok 3 – odsek 2 – bod 15</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fr-FR"/>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(15)</w:t>
            </w:r>
            <w:r w:rsidRPr="0014456E">
              <w:rPr>
                <w:szCs w:val="20"/>
              </w:rPr>
              <w:tab/>
              <w:t>„udržateľné modré hospodárstvo“ sú všetky odvetvové a medziodvetvové hospodárske činnosti v rámci jednotného trhu súvisiace s oceánmi, morami, pobrežiami a vnútrozemskými vodami, a to aj v najvzdialenejších regiónoch Únie a vo vnútrozemských krajinách, vrátane rozvíjajúcich sa odvetví a </w:t>
            </w:r>
            <w:r w:rsidRPr="0014456E">
              <w:rPr>
                <w:b/>
                <w:i/>
                <w:szCs w:val="20"/>
              </w:rPr>
              <w:t>nekomerčné tovary</w:t>
            </w:r>
            <w:r w:rsidRPr="0014456E">
              <w:rPr>
                <w:szCs w:val="20"/>
              </w:rPr>
              <w:t xml:space="preserve"> a</w:t>
            </w:r>
            <w:r w:rsidRPr="0014456E">
              <w:rPr>
                <w:b/>
                <w:i/>
                <w:szCs w:val="20"/>
              </w:rPr>
              <w:t> služby</w:t>
            </w:r>
            <w:r w:rsidRPr="0014456E">
              <w:rPr>
                <w:szCs w:val="20"/>
              </w:rPr>
              <w:t>, ktoré sú v súlade s environmentálnymi právnymi predpismi Únie.</w:t>
            </w:r>
          </w:p>
        </w:tc>
        <w:tc>
          <w:tcPr>
            <w:tcW w:w="4876" w:type="dxa"/>
          </w:tcPr>
          <w:p w:rsidR="000A6903" w:rsidRPr="0014456E" w:rsidRDefault="000A6903" w:rsidP="000A6903">
            <w:pPr>
              <w:widowControl w:val="0"/>
              <w:spacing w:after="120"/>
              <w:rPr>
                <w:szCs w:val="20"/>
              </w:rPr>
            </w:pPr>
            <w:r w:rsidRPr="0014456E">
              <w:rPr>
                <w:szCs w:val="20"/>
              </w:rPr>
              <w:t>(15)</w:t>
            </w:r>
            <w:r w:rsidRPr="0014456E">
              <w:rPr>
                <w:szCs w:val="20"/>
              </w:rPr>
              <w:tab/>
              <w:t xml:space="preserve">„udržateľné modré hospodárstvo“ sú všetky odvetvové a medziodvetvové hospodárske činnosti </w:t>
            </w:r>
            <w:r w:rsidRPr="0014456E">
              <w:rPr>
                <w:b/>
                <w:i/>
                <w:szCs w:val="20"/>
              </w:rPr>
              <w:t xml:space="preserve">uskutočňované v medziach ekologických limitov </w:t>
            </w:r>
            <w:r w:rsidRPr="0014456E">
              <w:rPr>
                <w:szCs w:val="20"/>
              </w:rPr>
              <w:t>v rámci jednotného trhu súvisiace s oceánmi, morami, pobrežiami a vnútrozemskými vodami, a to aj v najvzdialenejších regiónoch Únie a vo vnútrozemských krajinách, vrátane rozvíjajúcich sa odvetví a </w:t>
            </w:r>
            <w:r w:rsidRPr="0014456E">
              <w:rPr>
                <w:b/>
                <w:i/>
                <w:szCs w:val="20"/>
              </w:rPr>
              <w:t>nekomerčného tovaru</w:t>
            </w:r>
            <w:r w:rsidRPr="0014456E">
              <w:rPr>
                <w:szCs w:val="20"/>
              </w:rPr>
              <w:t xml:space="preserve"> a</w:t>
            </w:r>
            <w:r w:rsidRPr="0014456E">
              <w:rPr>
                <w:b/>
                <w:i/>
                <w:szCs w:val="20"/>
              </w:rPr>
              <w:t xml:space="preserve"> služieb</w:t>
            </w:r>
            <w:r w:rsidRPr="0014456E">
              <w:rPr>
                <w:szCs w:val="20"/>
              </w:rPr>
              <w:t>, ktoré sú v súlade s environmentálnymi právnymi predpismi Únie</w:t>
            </w:r>
            <w:r w:rsidRPr="0014456E">
              <w:rPr>
                <w:b/>
                <w:i/>
                <w:szCs w:val="20"/>
              </w:rPr>
              <w:t xml:space="preserve"> zameranými na obnovu a zachovanie morských ekosystémov a ochranu zraniteľných prírodných zdrojov, tovaru a služieb</w:t>
            </w:r>
            <w:r w:rsidRPr="0014456E">
              <w:rPr>
                <w:szCs w:val="20"/>
              </w:rPr>
              <w:t>.</w:t>
            </w:r>
          </w:p>
        </w:tc>
      </w:tr>
    </w:tbl>
    <w:p w:rsidR="000A6903" w:rsidRPr="000A6903" w:rsidRDefault="000A6903" w:rsidP="000A6903">
      <w:r>
        <w:rPr>
          <w:rStyle w:val="HideTWBExt"/>
          <w:noProof w:val="0"/>
        </w:rPr>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31</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Článok 3 – odsek 2 – bod 15 a (nový)</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fr-FR"/>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lang w:val="en-GB"/>
              </w:rPr>
            </w:pPr>
          </w:p>
        </w:tc>
        <w:tc>
          <w:tcPr>
            <w:tcW w:w="4876" w:type="dxa"/>
          </w:tcPr>
          <w:p w:rsidR="000A6903" w:rsidRPr="0014456E" w:rsidRDefault="000A6903" w:rsidP="000A6903">
            <w:pPr>
              <w:widowControl w:val="0"/>
              <w:spacing w:after="120"/>
              <w:rPr>
                <w:szCs w:val="20"/>
              </w:rPr>
            </w:pPr>
            <w:r w:rsidRPr="0014456E">
              <w:rPr>
                <w:b/>
                <w:i/>
                <w:szCs w:val="20"/>
              </w:rPr>
              <w:t>(15a)</w:t>
            </w:r>
            <w:r w:rsidRPr="0014456E">
              <w:rPr>
                <w:szCs w:val="20"/>
              </w:rPr>
              <w:tab/>
            </w:r>
            <w:r w:rsidRPr="0014456E">
              <w:rPr>
                <w:b/>
                <w:i/>
                <w:szCs w:val="20"/>
              </w:rPr>
              <w:t>„spoločné riadenie“ je partnerský režim, v ktorom sa vláda, komunita miestnych používateľov zdrojov (rybárov), externé subjekty (mimovládne organizácie, výskumné inštitúcie) a niekedy aj iné subjekty so záujmom o rybné hospodárstvo a pobrežné zdroje (vlastníci lodí, obchodníci s rybami, úverové agentúry či subjekty poskytujúce pôžičky, odvetvie cestovného ruchu atď.) delia o zodpovednosť a rozhodovaciu právomoc v oblasti riadenia danej oblasti rybolovu.</w:t>
            </w:r>
          </w:p>
        </w:tc>
      </w:tr>
    </w:tbl>
    <w:p w:rsidR="000A6903" w:rsidRPr="000A6903" w:rsidRDefault="000A6903" w:rsidP="000A6903">
      <w:pPr>
        <w:keepNext/>
        <w:widowControl w:val="0"/>
        <w:spacing w:before="240" w:after="240"/>
        <w:jc w:val="center"/>
        <w:rPr>
          <w:i/>
          <w:szCs w:val="20"/>
        </w:rPr>
      </w:pPr>
      <w:r>
        <w:rPr>
          <w:rStyle w:val="HideTWBExt"/>
          <w:noProof w:val="0"/>
        </w:rPr>
        <w:t>&lt;TitreJust&gt;</w:t>
      </w:r>
      <w:r w:rsidRPr="0014456E">
        <w:rPr>
          <w:i/>
          <w:szCs w:val="20"/>
        </w:rPr>
        <w:t>Odôvodnenie</w:t>
      </w:r>
      <w:r>
        <w:rPr>
          <w:rStyle w:val="HideTWBExt"/>
          <w:noProof w:val="0"/>
        </w:rPr>
        <w:t>&lt;/TitreJust&gt;</w:t>
      </w:r>
    </w:p>
    <w:p w:rsidR="000A6903" w:rsidRPr="000A6903" w:rsidRDefault="000A6903" w:rsidP="000A6903">
      <w:pPr>
        <w:widowControl w:val="0"/>
        <w:spacing w:after="240"/>
        <w:rPr>
          <w:i/>
          <w:szCs w:val="20"/>
        </w:rPr>
      </w:pPr>
      <w:r>
        <w:rPr>
          <w:i/>
          <w:szCs w:val="20"/>
        </w:rPr>
        <w:t>Vymedzenie FAO prevzaté z pojmového portálu FAO: http://www.fao.org/faoterm/en/</w:t>
      </w:r>
    </w:p>
    <w:p w:rsidR="000A6903" w:rsidRPr="000A6903" w:rsidRDefault="000A6903" w:rsidP="000A6903">
      <w:r>
        <w:rPr>
          <w:rStyle w:val="HideTWBExt"/>
          <w:noProof w:val="0"/>
        </w:rPr>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32</w:t>
      </w:r>
      <w:r>
        <w:rPr>
          <w:rStyle w:val="HideTWBExt"/>
          <w:noProof w:val="0"/>
        </w:rPr>
        <w:t>&lt;/NumAm&gt;</w:t>
      </w:r>
    </w:p>
    <w:p w:rsidR="000A6903" w:rsidRPr="000A6903" w:rsidRDefault="000A6903" w:rsidP="000A6903">
      <w:pPr>
        <w:widowControl w:val="0"/>
        <w:spacing w:before="240"/>
        <w:rPr>
          <w:b/>
          <w:szCs w:val="20"/>
        </w:rPr>
      </w:pPr>
      <w:r>
        <w:rPr>
          <w:rStyle w:val="HideTWBExt"/>
          <w:noProof w:val="0"/>
        </w:rPr>
        <w:lastRenderedPageBreak/>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Článok 4 – odsek 1 – bod 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fr-FR"/>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(1)</w:t>
            </w:r>
            <w:r w:rsidRPr="0014456E">
              <w:rPr>
                <w:szCs w:val="20"/>
              </w:rPr>
              <w:tab/>
              <w:t>podpora udržateľného rybolovu a ochrany morských biologických zdrojov;</w:t>
            </w:r>
          </w:p>
        </w:tc>
        <w:tc>
          <w:tcPr>
            <w:tcW w:w="4876" w:type="dxa"/>
          </w:tcPr>
          <w:p w:rsidR="000A6903" w:rsidRPr="0014456E" w:rsidRDefault="000A6903" w:rsidP="000A6903">
            <w:pPr>
              <w:widowControl w:val="0"/>
              <w:spacing w:after="120"/>
              <w:rPr>
                <w:szCs w:val="20"/>
              </w:rPr>
            </w:pPr>
            <w:r w:rsidRPr="0014456E">
              <w:rPr>
                <w:szCs w:val="20"/>
              </w:rPr>
              <w:t>(1)</w:t>
            </w:r>
            <w:r w:rsidRPr="0014456E">
              <w:rPr>
                <w:szCs w:val="20"/>
              </w:rPr>
              <w:tab/>
              <w:t>podpora udržateľného rybolovu a ochrany morských biologických zdrojov</w:t>
            </w:r>
            <w:r w:rsidRPr="0014456E">
              <w:rPr>
                <w:b/>
                <w:i/>
                <w:szCs w:val="20"/>
              </w:rPr>
              <w:t>, a to so zreteľom na sociálno-ekonomické aspekty</w:t>
            </w:r>
            <w:r w:rsidRPr="0014456E">
              <w:rPr>
                <w:szCs w:val="20"/>
              </w:rPr>
              <w:t>;</w:t>
            </w:r>
          </w:p>
        </w:tc>
      </w:tr>
    </w:tbl>
    <w:p w:rsidR="000A6903" w:rsidRPr="000A6903" w:rsidRDefault="000A6903" w:rsidP="000A6903">
      <w:r>
        <w:rPr>
          <w:rStyle w:val="HideTWBExt"/>
          <w:noProof w:val="0"/>
        </w:rPr>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33</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Článok 4 – odsek 1 – bod 2</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fr-FR"/>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(2)</w:t>
            </w:r>
            <w:r w:rsidRPr="0014456E">
              <w:rPr>
                <w:szCs w:val="20"/>
              </w:rPr>
              <w:tab/>
              <w:t>prispievanie k potravinovej bezpečnosti v Únii prostredníctvom konkurencieschopných a udržateľných akvakultúr a trhov;</w:t>
            </w:r>
          </w:p>
        </w:tc>
        <w:tc>
          <w:tcPr>
            <w:tcW w:w="4876" w:type="dxa"/>
          </w:tcPr>
          <w:p w:rsidR="000A6903" w:rsidRPr="0014456E" w:rsidRDefault="000A6903" w:rsidP="000A6903">
            <w:pPr>
              <w:widowControl w:val="0"/>
              <w:spacing w:after="120"/>
              <w:rPr>
                <w:szCs w:val="20"/>
              </w:rPr>
            </w:pPr>
            <w:r w:rsidRPr="0014456E">
              <w:rPr>
                <w:szCs w:val="20"/>
              </w:rPr>
              <w:t>(2)</w:t>
            </w:r>
            <w:r w:rsidRPr="0014456E">
              <w:rPr>
                <w:szCs w:val="20"/>
              </w:rPr>
              <w:tab/>
              <w:t>prispievanie k </w:t>
            </w:r>
            <w:r w:rsidRPr="0014456E">
              <w:rPr>
                <w:b/>
                <w:i/>
                <w:szCs w:val="20"/>
              </w:rPr>
              <w:t xml:space="preserve">bezpečnosti potravín a </w:t>
            </w:r>
            <w:r w:rsidRPr="0014456E">
              <w:rPr>
                <w:szCs w:val="20"/>
              </w:rPr>
              <w:t>potravinovej bezpečnosti v Únii prostredníctvom konkurencieschopných a udržateľných akvakultúr a trhov;</w:t>
            </w:r>
          </w:p>
        </w:tc>
      </w:tr>
    </w:tbl>
    <w:p w:rsidR="000A6903" w:rsidRPr="000A6903" w:rsidRDefault="000A6903" w:rsidP="000A6903">
      <w:r>
        <w:rPr>
          <w:rStyle w:val="HideTWBExt"/>
          <w:noProof w:val="0"/>
        </w:rPr>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34</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Článok 4 – odsek 1 – bod 3</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fr-FR"/>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(3)</w:t>
            </w:r>
            <w:r w:rsidRPr="0014456E">
              <w:rPr>
                <w:szCs w:val="20"/>
              </w:rPr>
              <w:tab/>
              <w:t>umožnenie rastu udržateľného modrého hospodárstva a podpora prosperujúcich pobrežných komunít;</w:t>
            </w:r>
          </w:p>
        </w:tc>
        <w:tc>
          <w:tcPr>
            <w:tcW w:w="4876" w:type="dxa"/>
          </w:tcPr>
          <w:p w:rsidR="000A6903" w:rsidRPr="0014456E" w:rsidRDefault="000A6903" w:rsidP="000A6903">
            <w:pPr>
              <w:widowControl w:val="0"/>
              <w:spacing w:after="120"/>
              <w:rPr>
                <w:szCs w:val="20"/>
              </w:rPr>
            </w:pPr>
            <w:r w:rsidRPr="0014456E">
              <w:rPr>
                <w:szCs w:val="20"/>
              </w:rPr>
              <w:t>(3)</w:t>
            </w:r>
            <w:r w:rsidRPr="0014456E">
              <w:rPr>
                <w:szCs w:val="20"/>
              </w:rPr>
              <w:tab/>
              <w:t>umožnenie rastu udržateľného modrého hospodárstva a podpora prosperujúcich pobrežných komunít</w:t>
            </w:r>
            <w:r w:rsidRPr="0014456E">
              <w:rPr>
                <w:b/>
                <w:i/>
                <w:szCs w:val="20"/>
              </w:rPr>
              <w:t xml:space="preserve"> a oblastí rybolovu</w:t>
            </w:r>
            <w:r w:rsidRPr="0014456E">
              <w:rPr>
                <w:szCs w:val="20"/>
              </w:rPr>
              <w:t>;</w:t>
            </w:r>
          </w:p>
        </w:tc>
      </w:tr>
    </w:tbl>
    <w:p w:rsidR="000A6903" w:rsidRPr="000A6903" w:rsidRDefault="000A6903" w:rsidP="000A6903">
      <w:r>
        <w:rPr>
          <w:rStyle w:val="HideTWBExt"/>
          <w:noProof w:val="0"/>
        </w:rPr>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35</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Článok 5 – odsek 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en-GB"/>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1.</w:t>
            </w:r>
            <w:r w:rsidRPr="0014456E">
              <w:rPr>
                <w:szCs w:val="20"/>
              </w:rPr>
              <w:tab/>
              <w:t>Finančné krytie na implementáciu ENRF v období 2021 – 2027 je 6 140 000 000 EUR v bežných cenách.</w:t>
            </w:r>
          </w:p>
        </w:tc>
        <w:tc>
          <w:tcPr>
            <w:tcW w:w="4876" w:type="dxa"/>
          </w:tcPr>
          <w:p w:rsidR="000A6903" w:rsidRPr="0014456E" w:rsidRDefault="000A6903" w:rsidP="000A6903">
            <w:pPr>
              <w:widowControl w:val="0"/>
              <w:spacing w:after="120"/>
              <w:rPr>
                <w:szCs w:val="20"/>
              </w:rPr>
            </w:pPr>
            <w:r w:rsidRPr="0014456E">
              <w:rPr>
                <w:szCs w:val="20"/>
              </w:rPr>
              <w:t>1.</w:t>
            </w:r>
            <w:r w:rsidRPr="0014456E">
              <w:rPr>
                <w:szCs w:val="20"/>
              </w:rPr>
              <w:tab/>
              <w:t xml:space="preserve">Finančné krytie na </w:t>
            </w:r>
            <w:r w:rsidRPr="0014456E">
              <w:rPr>
                <w:b/>
                <w:i/>
                <w:szCs w:val="20"/>
              </w:rPr>
              <w:t xml:space="preserve">viacročnú </w:t>
            </w:r>
            <w:r w:rsidRPr="0014456E">
              <w:rPr>
                <w:szCs w:val="20"/>
              </w:rPr>
              <w:t>implementáciu ENRF v období 2021 – 2027 je 6 140 000 000 EUR v bežných cenách.</w:t>
            </w:r>
          </w:p>
        </w:tc>
      </w:tr>
    </w:tbl>
    <w:p w:rsidR="000A6903" w:rsidRPr="000A6903" w:rsidRDefault="000A6903" w:rsidP="000A6903">
      <w:r>
        <w:rPr>
          <w:rStyle w:val="HideTWBExt"/>
          <w:noProof w:val="0"/>
        </w:rPr>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lastRenderedPageBreak/>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36</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Článok 6 – odsek 4</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en-GB"/>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b/>
                <w:i/>
                <w:szCs w:val="20"/>
              </w:rPr>
              <w:t>4.</w:t>
            </w:r>
            <w:r w:rsidRPr="0014456E">
              <w:rPr>
                <w:szCs w:val="20"/>
              </w:rPr>
              <w:tab/>
            </w:r>
            <w:r w:rsidRPr="0014456E">
              <w:rPr>
                <w:b/>
                <w:i/>
                <w:szCs w:val="20"/>
              </w:rPr>
              <w:t>Najmenej 15 % finančnej podpory Únie alokovanej na členský štát sa alokuje na oblasti podpory uvedené v článkoch 19 a 20. Členské štáty, ktoré nemajú prístup k vodám Únie, môžu uplatňovať nižší percentuálny podiel, pokiaľ ide o rozsah ich úloh v oblasti kontroly a zberu údajov.</w:t>
            </w:r>
          </w:p>
        </w:tc>
        <w:tc>
          <w:tcPr>
            <w:tcW w:w="4876" w:type="dxa"/>
          </w:tcPr>
          <w:p w:rsidR="000A6903" w:rsidRPr="0014456E" w:rsidRDefault="000A6903" w:rsidP="000A6903">
            <w:pPr>
              <w:widowControl w:val="0"/>
              <w:spacing w:after="120"/>
              <w:rPr>
                <w:szCs w:val="20"/>
              </w:rPr>
            </w:pPr>
            <w:r w:rsidRPr="0014456E">
              <w:rPr>
                <w:b/>
                <w:i/>
                <w:szCs w:val="20"/>
              </w:rPr>
              <w:t>vypúšťa sa</w:t>
            </w:r>
          </w:p>
        </w:tc>
      </w:tr>
    </w:tbl>
    <w:p w:rsidR="000A6903" w:rsidRPr="000A6903" w:rsidRDefault="000A6903" w:rsidP="000A6903">
      <w:pPr>
        <w:keepNext/>
        <w:widowControl w:val="0"/>
        <w:spacing w:before="240" w:after="240"/>
        <w:jc w:val="center"/>
        <w:rPr>
          <w:i/>
          <w:szCs w:val="20"/>
        </w:rPr>
      </w:pPr>
      <w:r>
        <w:rPr>
          <w:rStyle w:val="HideTWBExt"/>
          <w:noProof w:val="0"/>
        </w:rPr>
        <w:t>&lt;TitreJust&gt;</w:t>
      </w:r>
      <w:r w:rsidRPr="0014456E">
        <w:rPr>
          <w:i/>
          <w:szCs w:val="20"/>
        </w:rPr>
        <w:t>Odôvodnenie</w:t>
      </w:r>
      <w:r>
        <w:rPr>
          <w:rStyle w:val="HideTWBExt"/>
          <w:noProof w:val="0"/>
        </w:rPr>
        <w:t>&lt;/TitreJust&gt;</w:t>
      </w:r>
    </w:p>
    <w:p w:rsidR="000A6903" w:rsidRPr="000A6903" w:rsidRDefault="000A6903" w:rsidP="000A6903">
      <w:pPr>
        <w:widowControl w:val="0"/>
        <w:spacing w:after="240"/>
        <w:rPr>
          <w:i/>
          <w:szCs w:val="20"/>
        </w:rPr>
      </w:pPr>
      <w:r>
        <w:rPr>
          <w:i/>
          <w:szCs w:val="20"/>
        </w:rPr>
        <w:t>Alokácia by sa mala určovať podľa zistených potrieb každého členského štátu. Akákoľvek nadmerná alokácia by viedla k nevyužitým finančným prostriedkom alebo ku zbytočným výdavkom.</w:t>
      </w:r>
    </w:p>
    <w:p w:rsidR="000A6903" w:rsidRPr="000A6903" w:rsidRDefault="000A6903" w:rsidP="000A6903">
      <w:r>
        <w:rPr>
          <w:rStyle w:val="HideTWBExt"/>
          <w:noProof w:val="0"/>
        </w:rPr>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37</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Článok 6 – odsek 4 a (nový)</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fr-FR"/>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lang w:val="en-GB"/>
              </w:rPr>
            </w:pPr>
          </w:p>
        </w:tc>
        <w:tc>
          <w:tcPr>
            <w:tcW w:w="4876" w:type="dxa"/>
          </w:tcPr>
          <w:p w:rsidR="000A6903" w:rsidRPr="0014456E" w:rsidRDefault="000A6903" w:rsidP="000A6903">
            <w:pPr>
              <w:widowControl w:val="0"/>
              <w:spacing w:after="120"/>
              <w:rPr>
                <w:szCs w:val="20"/>
              </w:rPr>
            </w:pPr>
            <w:r w:rsidRPr="0014456E">
              <w:rPr>
                <w:b/>
                <w:i/>
                <w:szCs w:val="20"/>
              </w:rPr>
              <w:t>4a.</w:t>
            </w:r>
            <w:r w:rsidRPr="0014456E">
              <w:rPr>
                <w:szCs w:val="20"/>
              </w:rPr>
              <w:tab/>
            </w:r>
            <w:r w:rsidRPr="0014456E">
              <w:rPr>
                <w:b/>
                <w:i/>
                <w:szCs w:val="20"/>
              </w:rPr>
              <w:t>Finančné prostriedky nevynaložené podľa článkov 19 a 20 na kontrolu a zber údajov možno prerozdeliť Európskej agentúre pre kontrolu rybárstva.</w:t>
            </w:r>
          </w:p>
        </w:tc>
      </w:tr>
    </w:tbl>
    <w:p w:rsidR="000A6903" w:rsidRPr="000A6903" w:rsidRDefault="000A6903" w:rsidP="000A6903">
      <w:r>
        <w:rPr>
          <w:rStyle w:val="HideTWBExt"/>
          <w:noProof w:val="0"/>
        </w:rPr>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38</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Článok 9 – odsek 4 – písmeno 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fr-FR"/>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a)</w:t>
            </w:r>
            <w:r w:rsidRPr="0014456E">
              <w:rPr>
                <w:szCs w:val="20"/>
              </w:rPr>
              <w:tab/>
              <w:t>stratégia udržateľného využívania rybolovných zdrojov a udržateľného rozvoja odvetví modrého hospodárstva;</w:t>
            </w:r>
          </w:p>
        </w:tc>
        <w:tc>
          <w:tcPr>
            <w:tcW w:w="4876" w:type="dxa"/>
          </w:tcPr>
          <w:p w:rsidR="000A6903" w:rsidRPr="0014456E" w:rsidRDefault="000A6903" w:rsidP="000A6903">
            <w:pPr>
              <w:widowControl w:val="0"/>
              <w:spacing w:after="120"/>
              <w:rPr>
                <w:szCs w:val="20"/>
              </w:rPr>
            </w:pPr>
            <w:r w:rsidRPr="0014456E">
              <w:rPr>
                <w:szCs w:val="20"/>
              </w:rPr>
              <w:t>a)</w:t>
            </w:r>
            <w:r w:rsidRPr="0014456E">
              <w:rPr>
                <w:szCs w:val="20"/>
              </w:rPr>
              <w:tab/>
              <w:t>stratégia udržateľného využívania rybolovných zdrojov a udržateľného rozvoja odvetví modrého hospodárstva</w:t>
            </w:r>
            <w:r w:rsidRPr="0014456E">
              <w:rPr>
                <w:b/>
                <w:i/>
                <w:szCs w:val="20"/>
              </w:rPr>
              <w:t xml:space="preserve">, ktoré sa rozvíjajú v medziach </w:t>
            </w:r>
            <w:r w:rsidRPr="0014456E">
              <w:rPr>
                <w:b/>
                <w:i/>
                <w:szCs w:val="20"/>
              </w:rPr>
              <w:lastRenderedPageBreak/>
              <w:t>ekologických limitov</w:t>
            </w:r>
            <w:r w:rsidRPr="0014456E">
              <w:rPr>
                <w:szCs w:val="20"/>
              </w:rPr>
              <w:t>;</w:t>
            </w:r>
          </w:p>
        </w:tc>
      </w:tr>
    </w:tbl>
    <w:p w:rsidR="000A6903" w:rsidRPr="000A6903" w:rsidRDefault="000A6903" w:rsidP="000A6903">
      <w:r>
        <w:rPr>
          <w:rStyle w:val="HideTWBExt"/>
          <w:noProof w:val="0"/>
        </w:rPr>
        <w:lastRenderedPageBreak/>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39</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Článok 9 – odsek 5</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en-GB"/>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5.</w:t>
            </w:r>
            <w:r w:rsidRPr="0014456E">
              <w:rPr>
                <w:szCs w:val="20"/>
              </w:rPr>
              <w:tab/>
              <w:t>Komisia vypracuje analýzu pre každú morskú oblasť, v ktorej uvedie spoločné silné a slabé stránky danej morskej oblasti z hľadiska dosiahnutia cieľov SRP uvedených v článku 2 nariadenia (EÚ) č. 1380/2013. V tejto analýze sa prípadne zohľadnia existujúce stratégie pre morské oblasti a makroregionálne stratégie.</w:t>
            </w:r>
          </w:p>
        </w:tc>
        <w:tc>
          <w:tcPr>
            <w:tcW w:w="4876" w:type="dxa"/>
          </w:tcPr>
          <w:p w:rsidR="000A6903" w:rsidRPr="0014456E" w:rsidRDefault="000A6903" w:rsidP="000A6903">
            <w:pPr>
              <w:widowControl w:val="0"/>
              <w:spacing w:after="120"/>
              <w:rPr>
                <w:szCs w:val="20"/>
              </w:rPr>
            </w:pPr>
            <w:r w:rsidRPr="0014456E">
              <w:rPr>
                <w:szCs w:val="20"/>
              </w:rPr>
              <w:t>5.</w:t>
            </w:r>
            <w:r w:rsidRPr="0014456E">
              <w:rPr>
                <w:szCs w:val="20"/>
              </w:rPr>
              <w:tab/>
              <w:t xml:space="preserve">Komisia </w:t>
            </w:r>
            <w:r w:rsidRPr="0014456E">
              <w:rPr>
                <w:b/>
                <w:i/>
                <w:szCs w:val="20"/>
              </w:rPr>
              <w:t xml:space="preserve">po získaní stanovísk relevantných poradných rád </w:t>
            </w:r>
            <w:r w:rsidRPr="0014456E">
              <w:rPr>
                <w:szCs w:val="20"/>
              </w:rPr>
              <w:t>vypracuje analýzu pre každú morskú oblasť, v ktorej uvedie spoločné silné a slabé stránky danej morskej oblasti z hľadiska dosiahnutia cieľov SRP</w:t>
            </w:r>
            <w:r w:rsidRPr="0014456E">
              <w:rPr>
                <w:b/>
                <w:i/>
                <w:szCs w:val="20"/>
              </w:rPr>
              <w:t>,</w:t>
            </w:r>
            <w:r w:rsidRPr="0014456E">
              <w:rPr>
                <w:szCs w:val="20"/>
              </w:rPr>
              <w:t xml:space="preserve"> uvedených v článku 2 nariadenia (EÚ) č. 1380/2013</w:t>
            </w:r>
            <w:r w:rsidRPr="0014456E">
              <w:rPr>
                <w:b/>
                <w:i/>
                <w:szCs w:val="20"/>
              </w:rPr>
              <w:t>, a dosiahnutia dobrého environmentálneho stavu, ako sa uvádza v smernici 2008/56/ES</w:t>
            </w:r>
            <w:r w:rsidRPr="0014456E">
              <w:rPr>
                <w:szCs w:val="20"/>
              </w:rPr>
              <w:t>. V tejto analýze sa prípadne zohľadnia existujúce stratégie pre morské oblasti a makroregionálne stratégie.</w:t>
            </w:r>
          </w:p>
        </w:tc>
      </w:tr>
    </w:tbl>
    <w:p w:rsidR="000A6903" w:rsidRPr="000A6903" w:rsidRDefault="000A6903" w:rsidP="000A6903">
      <w:r>
        <w:rPr>
          <w:rStyle w:val="HideTWBExt"/>
          <w:noProof w:val="0"/>
        </w:rPr>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40</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Článok 9 – odsek 6 – písmeno d a (nové)</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fr-FR"/>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lang w:val="en-GB"/>
              </w:rPr>
            </w:pPr>
          </w:p>
        </w:tc>
        <w:tc>
          <w:tcPr>
            <w:tcW w:w="4876" w:type="dxa"/>
          </w:tcPr>
          <w:p w:rsidR="000A6903" w:rsidRPr="0014456E" w:rsidRDefault="000A6903" w:rsidP="000A6903">
            <w:pPr>
              <w:widowControl w:val="0"/>
              <w:spacing w:after="120"/>
              <w:rPr>
                <w:szCs w:val="20"/>
              </w:rPr>
            </w:pPr>
            <w:r w:rsidRPr="0014456E">
              <w:rPr>
                <w:b/>
                <w:i/>
                <w:szCs w:val="20"/>
              </w:rPr>
              <w:t>(da)</w:t>
            </w:r>
            <w:r w:rsidRPr="0014456E">
              <w:rPr>
                <w:szCs w:val="20"/>
              </w:rPr>
              <w:tab/>
            </w:r>
            <w:r w:rsidRPr="0014456E">
              <w:rPr>
                <w:b/>
                <w:i/>
                <w:szCs w:val="20"/>
              </w:rPr>
              <w:t>cielenú kontrolu inváznych nepôvodných druhov, ktoré významne poškodzujú produktivitu odvetvia akvakultúry a rybného hospodárstva;</w:t>
            </w:r>
          </w:p>
        </w:tc>
      </w:tr>
    </w:tbl>
    <w:p w:rsidR="000A6903" w:rsidRPr="000A6903" w:rsidRDefault="000A6903" w:rsidP="000A6903">
      <w:r>
        <w:rPr>
          <w:rStyle w:val="HideTWBExt"/>
          <w:noProof w:val="0"/>
        </w:rPr>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41</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Článok 9 – odsek 6 – písmeno d b (nové)</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fr-FR"/>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lang w:val="en-GB"/>
              </w:rPr>
            </w:pPr>
          </w:p>
        </w:tc>
        <w:tc>
          <w:tcPr>
            <w:tcW w:w="4876" w:type="dxa"/>
          </w:tcPr>
          <w:p w:rsidR="000A6903" w:rsidRPr="0014456E" w:rsidRDefault="000A6903" w:rsidP="000A6903">
            <w:pPr>
              <w:widowControl w:val="0"/>
              <w:spacing w:after="120"/>
              <w:rPr>
                <w:szCs w:val="20"/>
              </w:rPr>
            </w:pPr>
            <w:r w:rsidRPr="0014456E">
              <w:rPr>
                <w:b/>
                <w:i/>
                <w:szCs w:val="20"/>
              </w:rPr>
              <w:t>db)</w:t>
            </w:r>
            <w:r w:rsidRPr="0014456E">
              <w:rPr>
                <w:szCs w:val="20"/>
              </w:rPr>
              <w:tab/>
            </w:r>
            <w:r w:rsidRPr="0014456E">
              <w:rPr>
                <w:b/>
                <w:i/>
                <w:szCs w:val="20"/>
              </w:rPr>
              <w:t xml:space="preserve">podporu výskumu a využívania inovatívneho selektívneho rybárskeho výstroja v celej Únii, a to nielen v súlade s článkom 27 nariadenia (EÚ) </w:t>
            </w:r>
            <w:r w:rsidRPr="0014456E">
              <w:rPr>
                <w:b/>
                <w:i/>
                <w:szCs w:val="20"/>
              </w:rPr>
              <w:lastRenderedPageBreak/>
              <w:t>č. 1380/2013;</w:t>
            </w:r>
          </w:p>
        </w:tc>
      </w:tr>
    </w:tbl>
    <w:p w:rsidR="000A6903" w:rsidRPr="000A6903" w:rsidRDefault="000A6903" w:rsidP="000A6903">
      <w:r>
        <w:rPr>
          <w:rStyle w:val="HideTWBExt"/>
          <w:noProof w:val="0"/>
        </w:rPr>
        <w:lastRenderedPageBreak/>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42</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Článok 9 – odsek 6 – písmeno e</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fr-FR"/>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e)</w:t>
            </w:r>
            <w:r w:rsidRPr="0014456E">
              <w:rPr>
                <w:szCs w:val="20"/>
              </w:rPr>
              <w:tab/>
              <w:t>najnovšie dôkazy o sociálno-ekonomickej výkonnosti modrého hospodárstva, najmä odvetví rybolovu a akvakultúry;</w:t>
            </w:r>
          </w:p>
        </w:tc>
        <w:tc>
          <w:tcPr>
            <w:tcW w:w="4876" w:type="dxa"/>
          </w:tcPr>
          <w:p w:rsidR="000A6903" w:rsidRPr="0014456E" w:rsidRDefault="00736D58" w:rsidP="000A6903">
            <w:pPr>
              <w:widowControl w:val="0"/>
              <w:spacing w:after="120"/>
              <w:rPr>
                <w:szCs w:val="20"/>
              </w:rPr>
            </w:pPr>
            <w:r>
              <w:t>e)</w:t>
            </w:r>
            <w:r w:rsidR="000A6903" w:rsidRPr="00736D58">
              <w:tab/>
            </w:r>
            <w:r w:rsidR="000A6903" w:rsidRPr="0014456E">
              <w:rPr>
                <w:szCs w:val="20"/>
              </w:rPr>
              <w:t>najnovšie dôkazy o </w:t>
            </w:r>
            <w:r w:rsidR="000A6903" w:rsidRPr="0014456E">
              <w:rPr>
                <w:b/>
                <w:i/>
                <w:szCs w:val="20"/>
              </w:rPr>
              <w:t>rovnováhe medzi environmentálnymi prioritami a o </w:t>
            </w:r>
            <w:r w:rsidR="000A6903" w:rsidRPr="0014456E">
              <w:rPr>
                <w:szCs w:val="20"/>
              </w:rPr>
              <w:t>sociálno-ekonomickej výkonnosti</w:t>
            </w:r>
            <w:r w:rsidR="000A6903" w:rsidRPr="0014456E">
              <w:rPr>
                <w:b/>
                <w:i/>
                <w:szCs w:val="20"/>
              </w:rPr>
              <w:t xml:space="preserve"> udržateľného</w:t>
            </w:r>
            <w:r w:rsidR="000A6903" w:rsidRPr="0014456E">
              <w:rPr>
                <w:szCs w:val="20"/>
              </w:rPr>
              <w:t xml:space="preserve"> modrého hospodárstva, najmä odvetví rybolovu a akvakultúry;</w:t>
            </w:r>
          </w:p>
        </w:tc>
      </w:tr>
    </w:tbl>
    <w:p w:rsidR="000A6903" w:rsidRPr="000A6903" w:rsidRDefault="000A6903" w:rsidP="000A6903">
      <w:r>
        <w:rPr>
          <w:rStyle w:val="HideTWBExt"/>
          <w:noProof w:val="0"/>
        </w:rPr>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43</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Článok 9 – odsek 6 – písmeno i</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fr-FR"/>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i)</w:t>
            </w:r>
            <w:r w:rsidRPr="0014456E">
              <w:rPr>
                <w:szCs w:val="20"/>
              </w:rPr>
              <w:tab/>
              <w:t>prínos programu k zmierneniu zmeny klímy a adaptácii na túto zmenu.</w:t>
            </w:r>
          </w:p>
        </w:tc>
        <w:tc>
          <w:tcPr>
            <w:tcW w:w="4876" w:type="dxa"/>
          </w:tcPr>
          <w:p w:rsidR="000A6903" w:rsidRPr="0014456E" w:rsidRDefault="000A6903" w:rsidP="000A6903">
            <w:pPr>
              <w:widowControl w:val="0"/>
              <w:spacing w:after="120"/>
              <w:rPr>
                <w:szCs w:val="20"/>
              </w:rPr>
            </w:pPr>
            <w:r w:rsidRPr="0014456E">
              <w:rPr>
                <w:szCs w:val="20"/>
              </w:rPr>
              <w:t>i)</w:t>
            </w:r>
            <w:r w:rsidRPr="0014456E">
              <w:rPr>
                <w:szCs w:val="20"/>
              </w:rPr>
              <w:tab/>
              <w:t>prínos programu k zmierneniu zmeny klímy a adaptácii na túto zmenu</w:t>
            </w:r>
            <w:r w:rsidRPr="0014456E">
              <w:rPr>
                <w:b/>
                <w:i/>
                <w:szCs w:val="20"/>
              </w:rPr>
              <w:t>, a to aj znižovaním emisií CO</w:t>
            </w:r>
            <w:r w:rsidRPr="0014456E">
              <w:rPr>
                <w:b/>
                <w:i/>
                <w:szCs w:val="20"/>
                <w:vertAlign w:val="subscript"/>
              </w:rPr>
              <w:t>2</w:t>
            </w:r>
            <w:r w:rsidRPr="0014456E">
              <w:rPr>
                <w:b/>
                <w:i/>
                <w:szCs w:val="20"/>
              </w:rPr>
              <w:t xml:space="preserve"> vďaka úspore paliva</w:t>
            </w:r>
            <w:r w:rsidRPr="0014456E">
              <w:rPr>
                <w:szCs w:val="20"/>
              </w:rPr>
              <w:t>.</w:t>
            </w:r>
          </w:p>
        </w:tc>
      </w:tr>
    </w:tbl>
    <w:p w:rsidR="000A6903" w:rsidRPr="000A6903" w:rsidRDefault="000A6903" w:rsidP="000A6903">
      <w:r>
        <w:rPr>
          <w:rStyle w:val="HideTWBExt"/>
          <w:noProof w:val="0"/>
        </w:rPr>
        <w:t>&lt;/Amend&gt;</w:t>
      </w:r>
    </w:p>
    <w:p w:rsidR="000A6903" w:rsidRPr="000A6903" w:rsidRDefault="000A6903" w:rsidP="000A6903">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44</w:t>
      </w:r>
      <w:r>
        <w:rPr>
          <w:rStyle w:val="HideTWBExt"/>
          <w:noProof w:val="0"/>
        </w:rPr>
        <w:t>&lt;/NumAm&gt;</w:t>
      </w:r>
    </w:p>
    <w:p w:rsidR="000A6903" w:rsidRPr="000A6903" w:rsidRDefault="000A6903" w:rsidP="000A6903">
      <w:pPr>
        <w:keepNext/>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Článok 11 – odsek 2</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A6903" w:rsidRPr="000A6903" w:rsidTr="009E1AE8">
        <w:trPr>
          <w:jc w:val="center"/>
        </w:trPr>
        <w:tc>
          <w:tcPr>
            <w:tcW w:w="9752" w:type="dxa"/>
            <w:gridSpan w:val="2"/>
          </w:tcPr>
          <w:p w:rsidR="000A6903" w:rsidRPr="000A6903" w:rsidRDefault="000A6903" w:rsidP="000A6903">
            <w:pPr>
              <w:keepNext/>
              <w:rPr>
                <w:lang w:val="en-GB"/>
              </w:rPr>
            </w:pPr>
          </w:p>
        </w:tc>
      </w:tr>
      <w:tr w:rsidR="000A6903" w:rsidRPr="000A6903" w:rsidTr="009E1AE8">
        <w:trPr>
          <w:jc w:val="center"/>
        </w:trPr>
        <w:tc>
          <w:tcPr>
            <w:tcW w:w="4876" w:type="dxa"/>
          </w:tcPr>
          <w:p w:rsidR="000A6903" w:rsidRPr="0014456E" w:rsidRDefault="000A6903" w:rsidP="000A6903">
            <w:pPr>
              <w:keepNext/>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keepNext/>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2.</w:t>
            </w:r>
            <w:r w:rsidRPr="0014456E">
              <w:rPr>
                <w:szCs w:val="20"/>
              </w:rPr>
              <w:tab/>
              <w:t>Články 107, 108 a</w:t>
            </w:r>
            <w:r w:rsidRPr="0014456E">
              <w:rPr>
                <w:b/>
                <w:i/>
                <w:szCs w:val="20"/>
              </w:rPr>
              <w:t> </w:t>
            </w:r>
            <w:r w:rsidRPr="0014456E">
              <w:rPr>
                <w:szCs w:val="20"/>
              </w:rPr>
              <w:t>109 zmluvy sa však nevzťahujú na platby vykonané členskými štátmi podľa tohto nariadenia</w:t>
            </w:r>
            <w:r w:rsidRPr="0014456E">
              <w:rPr>
                <w:b/>
                <w:i/>
                <w:szCs w:val="20"/>
              </w:rPr>
              <w:t>, ktoré patria do rozsahu pôsobnosti článku 42 zmluvy</w:t>
            </w:r>
            <w:r w:rsidRPr="0014456E">
              <w:rPr>
                <w:szCs w:val="20"/>
              </w:rPr>
              <w:t>.</w:t>
            </w:r>
          </w:p>
        </w:tc>
        <w:tc>
          <w:tcPr>
            <w:tcW w:w="4876" w:type="dxa"/>
          </w:tcPr>
          <w:p w:rsidR="000A6903" w:rsidRPr="0014456E" w:rsidRDefault="000A6903" w:rsidP="000A6903">
            <w:pPr>
              <w:widowControl w:val="0"/>
              <w:spacing w:after="120"/>
            </w:pPr>
            <w:r w:rsidRPr="0014456E">
              <w:rPr>
                <w:szCs w:val="20"/>
              </w:rPr>
              <w:t>2.</w:t>
            </w:r>
            <w:r w:rsidRPr="0014456E">
              <w:rPr>
                <w:szCs w:val="20"/>
              </w:rPr>
              <w:tab/>
              <w:t>Články 107, 108 a</w:t>
            </w:r>
            <w:r w:rsidRPr="0014456E">
              <w:rPr>
                <w:b/>
                <w:i/>
                <w:szCs w:val="20"/>
              </w:rPr>
              <w:t xml:space="preserve"> </w:t>
            </w:r>
            <w:r w:rsidRPr="0014456E">
              <w:rPr>
                <w:szCs w:val="20"/>
              </w:rPr>
              <w:t>109 zmluvy sa však nevzťahujú na platby vykonané členskými štátmi podľa tohto nariadenia.</w:t>
            </w:r>
          </w:p>
        </w:tc>
      </w:tr>
    </w:tbl>
    <w:p w:rsidR="000A6903" w:rsidRPr="000A6903" w:rsidRDefault="000A6903" w:rsidP="000A6903">
      <w:r>
        <w:rPr>
          <w:rStyle w:val="HideTWBExt"/>
          <w:noProof w:val="0"/>
        </w:rPr>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45</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Článok 12 – odsek 1 – písmeno 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fr-FR"/>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a)</w:t>
            </w:r>
            <w:r w:rsidRPr="0014456E">
              <w:rPr>
                <w:szCs w:val="20"/>
              </w:rPr>
              <w:tab/>
              <w:t xml:space="preserve">sa dopustil </w:t>
            </w:r>
            <w:r w:rsidRPr="0014456E">
              <w:rPr>
                <w:b/>
                <w:i/>
                <w:szCs w:val="20"/>
              </w:rPr>
              <w:t xml:space="preserve">závažného </w:t>
            </w:r>
            <w:r w:rsidRPr="0014456E">
              <w:rPr>
                <w:szCs w:val="20"/>
              </w:rPr>
              <w:t>porušenia predpisov podľa článku 42 nariadenia (ES) č. 1005/2008</w:t>
            </w:r>
            <w:r w:rsidRPr="0014456E">
              <w:rPr>
                <w:szCs w:val="20"/>
                <w:vertAlign w:val="superscript"/>
              </w:rPr>
              <w:t>28</w:t>
            </w:r>
            <w:r w:rsidRPr="0014456E">
              <w:rPr>
                <w:szCs w:val="20"/>
              </w:rPr>
              <w:t xml:space="preserve"> alebo článku 90 nariadenia Rady (ES) č. 1224/2009 alebo podľa iných právnych predpisov prijatých Európskym parlamentom a Radou;</w:t>
            </w:r>
          </w:p>
        </w:tc>
        <w:tc>
          <w:tcPr>
            <w:tcW w:w="4876" w:type="dxa"/>
          </w:tcPr>
          <w:p w:rsidR="000A6903" w:rsidRPr="0014456E" w:rsidRDefault="000A6903" w:rsidP="000A6903">
            <w:pPr>
              <w:widowControl w:val="0"/>
              <w:spacing w:after="120"/>
              <w:rPr>
                <w:szCs w:val="20"/>
              </w:rPr>
            </w:pPr>
            <w:r w:rsidRPr="0014456E">
              <w:rPr>
                <w:szCs w:val="20"/>
              </w:rPr>
              <w:t>a)</w:t>
            </w:r>
            <w:r w:rsidRPr="0014456E">
              <w:rPr>
                <w:szCs w:val="20"/>
              </w:rPr>
              <w:tab/>
              <w:t>sa dopustil porušenia predpisov podľa článku 42 nariadenia (ES) č. 1005/2008</w:t>
            </w:r>
            <w:r w:rsidRPr="0014456E">
              <w:rPr>
                <w:szCs w:val="20"/>
                <w:vertAlign w:val="superscript"/>
              </w:rPr>
              <w:t>28</w:t>
            </w:r>
            <w:r w:rsidRPr="0014456E">
              <w:rPr>
                <w:szCs w:val="20"/>
              </w:rPr>
              <w:t xml:space="preserve"> alebo článku 90 nariadenia Rady (ES) č. 1224/2009 alebo podľa iných právnych predpisov prijatých Európskym parlamentom a Radou;</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_________________</w:t>
            </w:r>
          </w:p>
        </w:tc>
        <w:tc>
          <w:tcPr>
            <w:tcW w:w="4876" w:type="dxa"/>
          </w:tcPr>
          <w:p w:rsidR="000A6903" w:rsidRPr="0014456E" w:rsidRDefault="000A6903" w:rsidP="000A6903">
            <w:pPr>
              <w:widowControl w:val="0"/>
              <w:spacing w:after="120"/>
              <w:rPr>
                <w:szCs w:val="20"/>
              </w:rPr>
            </w:pPr>
            <w:r w:rsidRPr="0014456E">
              <w:rPr>
                <w:szCs w:val="20"/>
              </w:rPr>
              <w:t>_________________</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vertAlign w:val="superscript"/>
              </w:rPr>
              <w:t>28</w:t>
            </w:r>
            <w:r w:rsidRPr="0014456E">
              <w:rPr>
                <w:szCs w:val="20"/>
              </w:rPr>
              <w:t xml:space="preserve"> Nariadenie Rady (ES) č. 1005/2008 z 29. septembra 2008, ktorým sa ustanovuje systém Spoločenstva na zabraňovanie nezákonnému, nenahlásenému a neregulovanému rybolovu, na odrádzanie od neho a jeho odstránenie, ktorým sa menia a dopĺňajú nariadenia (EHS) č. 2847/93, (ES) č. 1936/2001 a (ES) č. 601/2004 a ktorým sa zrušujú nariadenia (ES) č. 1093/94 a (ES) č. 1447/1999 (Ú. v. EÚ L 286, 29.10.2008, s. 1).</w:t>
            </w:r>
          </w:p>
        </w:tc>
        <w:tc>
          <w:tcPr>
            <w:tcW w:w="4876" w:type="dxa"/>
          </w:tcPr>
          <w:p w:rsidR="000A6903" w:rsidRPr="0014456E" w:rsidRDefault="000A6903" w:rsidP="000A6903">
            <w:pPr>
              <w:widowControl w:val="0"/>
              <w:spacing w:after="120"/>
              <w:rPr>
                <w:szCs w:val="20"/>
              </w:rPr>
            </w:pPr>
            <w:r w:rsidRPr="0014456E">
              <w:rPr>
                <w:szCs w:val="20"/>
                <w:vertAlign w:val="superscript"/>
              </w:rPr>
              <w:t>28</w:t>
            </w:r>
            <w:r w:rsidRPr="0014456E">
              <w:rPr>
                <w:szCs w:val="20"/>
              </w:rPr>
              <w:t xml:space="preserve"> Nariadenie Rady (ES) č. 1005/2008 z 29. septembra 2008, ktorým sa ustanovuje systém Spoločenstva na zabraňovanie nezákonnému, nenahlásenému a neregulovanému rybolovu, na odrádzanie od neho a jeho odstránenie, ktorým sa menia a dopĺňajú nariadenia (EHS) č. 2847/93, (ES) č. 1936/2001 a (ES) č. 601/2004 a ktorým sa zrušujú nariadenia (ES) č. 1093/94 a (ES) č. 1447/1999 (Ú. v. EÚ L 286, 29.10.2008, s. 1).</w:t>
            </w:r>
          </w:p>
        </w:tc>
      </w:tr>
    </w:tbl>
    <w:p w:rsidR="000A6903" w:rsidRPr="000A6903" w:rsidRDefault="000A6903" w:rsidP="000A6903">
      <w:r>
        <w:rPr>
          <w:rStyle w:val="HideTWBExt"/>
          <w:noProof w:val="0"/>
        </w:rPr>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46</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Článok 12 – odsek 2</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en-GB"/>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2.</w:t>
            </w:r>
            <w:r w:rsidRPr="0014456E">
              <w:rPr>
                <w:szCs w:val="20"/>
              </w:rPr>
              <w:tab/>
              <w:t xml:space="preserve">Po predložení žiadosti musí prijímateľ aj naďalej spĺňať podmienky prípustnosti uvedené v odseku 1 počas celého obdobia implementácie operácie, ako aj </w:t>
            </w:r>
            <w:r w:rsidRPr="0014456E">
              <w:rPr>
                <w:b/>
                <w:i/>
                <w:szCs w:val="20"/>
              </w:rPr>
              <w:t xml:space="preserve">počas obdobia piatich rokov </w:t>
            </w:r>
            <w:r w:rsidRPr="0014456E">
              <w:rPr>
                <w:szCs w:val="20"/>
              </w:rPr>
              <w:t>po záverečnej platbe tomuto prijímateľovi.</w:t>
            </w:r>
          </w:p>
        </w:tc>
        <w:tc>
          <w:tcPr>
            <w:tcW w:w="4876" w:type="dxa"/>
          </w:tcPr>
          <w:p w:rsidR="000A6903" w:rsidRPr="0014456E" w:rsidRDefault="000A6903" w:rsidP="000A6903">
            <w:pPr>
              <w:widowControl w:val="0"/>
              <w:spacing w:after="120"/>
              <w:rPr>
                <w:szCs w:val="20"/>
              </w:rPr>
            </w:pPr>
            <w:r w:rsidRPr="0014456E">
              <w:rPr>
                <w:szCs w:val="20"/>
              </w:rPr>
              <w:t>2.</w:t>
            </w:r>
            <w:r w:rsidRPr="0014456E">
              <w:rPr>
                <w:szCs w:val="20"/>
              </w:rPr>
              <w:tab/>
              <w:t>Po predložení žiadosti musí prijímateľ aj naďalej spĺňať podmienky prípustnosti uvedené v odseku 1 počas celého obdobia implementácie operácie, ako aj po záverečnej platbe tomuto prijímateľovi.</w:t>
            </w:r>
          </w:p>
        </w:tc>
      </w:tr>
    </w:tbl>
    <w:p w:rsidR="000A6903" w:rsidRPr="000A6903" w:rsidRDefault="000A6903" w:rsidP="000A6903">
      <w:pPr>
        <w:keepNext/>
        <w:widowControl w:val="0"/>
        <w:spacing w:before="240" w:after="240"/>
        <w:jc w:val="center"/>
        <w:rPr>
          <w:i/>
          <w:szCs w:val="20"/>
        </w:rPr>
      </w:pPr>
      <w:r>
        <w:rPr>
          <w:rStyle w:val="HideTWBExt"/>
          <w:noProof w:val="0"/>
        </w:rPr>
        <w:t>&lt;TitreJust&gt;</w:t>
      </w:r>
      <w:r w:rsidRPr="0014456E">
        <w:rPr>
          <w:i/>
          <w:szCs w:val="20"/>
        </w:rPr>
        <w:t>Odôvodnenie</w:t>
      </w:r>
      <w:r>
        <w:rPr>
          <w:rStyle w:val="HideTWBExt"/>
          <w:noProof w:val="0"/>
        </w:rPr>
        <w:t>&lt;/TitreJust&gt;</w:t>
      </w:r>
    </w:p>
    <w:p w:rsidR="000A6903" w:rsidRPr="000A6903" w:rsidRDefault="000A6903" w:rsidP="000A6903">
      <w:pPr>
        <w:widowControl w:val="0"/>
        <w:spacing w:after="240"/>
        <w:rPr>
          <w:i/>
          <w:szCs w:val="20"/>
        </w:rPr>
      </w:pPr>
      <w:r>
        <w:rPr>
          <w:i/>
          <w:szCs w:val="20"/>
        </w:rPr>
        <w:t>Žiaden prevádzkovateľ či prijímateľ by sa nikdy nemal dopúšťať závažných porušení, podieľať na NNN rybolove, a nemal by páchať ani iné trestné činy proti životnému prostrediu.</w:t>
      </w:r>
    </w:p>
    <w:p w:rsidR="000A6903" w:rsidRPr="000A6903" w:rsidRDefault="000A6903" w:rsidP="000A6903">
      <w:r>
        <w:rPr>
          <w:rStyle w:val="HideTWBExt"/>
          <w:noProof w:val="0"/>
        </w:rPr>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47</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Článok 12 – odsek 4 – písmeno 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fr-FR"/>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a)</w:t>
            </w:r>
            <w:r w:rsidRPr="0014456E">
              <w:rPr>
                <w:szCs w:val="20"/>
              </w:rPr>
              <w:tab/>
              <w:t xml:space="preserve">určenia prahovej hodnoty, po prekročení ktorej je žiadosť neprípustná, a obdobia neprípustnosti uvedeného v odsekoch 1 a 3, ktoré musí zodpovedať povahe, závažnosti, trvaniu a opakovanému výskytu </w:t>
            </w:r>
            <w:r w:rsidRPr="0014456E">
              <w:rPr>
                <w:b/>
                <w:i/>
                <w:szCs w:val="20"/>
              </w:rPr>
              <w:t xml:space="preserve">závažných </w:t>
            </w:r>
            <w:r w:rsidRPr="0014456E">
              <w:rPr>
                <w:szCs w:val="20"/>
              </w:rPr>
              <w:t>porušení predpisov, trestných činov alebo podvodu, a ktoré predstavuje minimálne jeden rok;</w:t>
            </w:r>
          </w:p>
        </w:tc>
        <w:tc>
          <w:tcPr>
            <w:tcW w:w="4876" w:type="dxa"/>
          </w:tcPr>
          <w:p w:rsidR="000A6903" w:rsidRPr="0014456E" w:rsidRDefault="000A6903" w:rsidP="000A6903">
            <w:pPr>
              <w:widowControl w:val="0"/>
              <w:spacing w:after="120"/>
              <w:rPr>
                <w:szCs w:val="20"/>
              </w:rPr>
            </w:pPr>
            <w:r w:rsidRPr="0014456E">
              <w:rPr>
                <w:szCs w:val="20"/>
              </w:rPr>
              <w:t>a)</w:t>
            </w:r>
            <w:r w:rsidRPr="0014456E">
              <w:rPr>
                <w:szCs w:val="20"/>
              </w:rPr>
              <w:tab/>
              <w:t>určenia prahovej hodnoty, po prekročení ktorej je žiadosť neprípustná, a obdobia neprípustnosti uvedeného v odsekoch 1 a 3, ktoré musí zodpovedať povahe, závažnosti, trvaniu a opakovanému výskytu porušení predpisov, trestných činov alebo podvodu, a ktoré predstavuje minimálne jeden rok;</w:t>
            </w:r>
          </w:p>
        </w:tc>
      </w:tr>
    </w:tbl>
    <w:p w:rsidR="000A6903" w:rsidRPr="000A6903" w:rsidRDefault="000A6903" w:rsidP="000A6903">
      <w:r>
        <w:rPr>
          <w:rStyle w:val="HideTWBExt"/>
          <w:noProof w:val="0"/>
        </w:rPr>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48</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Článok 13 – odsek 1 – písmeno b</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fr-FR"/>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b)</w:t>
            </w:r>
            <w:r w:rsidRPr="0014456E">
              <w:rPr>
                <w:szCs w:val="20"/>
              </w:rPr>
              <w:tab/>
              <w:t xml:space="preserve">výstavba </w:t>
            </w:r>
            <w:r w:rsidRPr="0014456E">
              <w:rPr>
                <w:b/>
                <w:i/>
                <w:szCs w:val="20"/>
              </w:rPr>
              <w:t>a </w:t>
            </w:r>
            <w:r w:rsidRPr="0014456E">
              <w:rPr>
                <w:szCs w:val="20"/>
              </w:rPr>
              <w:t>nadobudnutie rybárskych plavidiel alebo dovoz rybárskych plavidiel, ak v tomto nariadení nie je stanovené inak;</w:t>
            </w:r>
          </w:p>
        </w:tc>
        <w:tc>
          <w:tcPr>
            <w:tcW w:w="4876" w:type="dxa"/>
          </w:tcPr>
          <w:p w:rsidR="000A6903" w:rsidRPr="0014456E" w:rsidRDefault="000A6903" w:rsidP="000A6903">
            <w:pPr>
              <w:widowControl w:val="0"/>
              <w:spacing w:after="120"/>
              <w:rPr>
                <w:szCs w:val="20"/>
              </w:rPr>
            </w:pPr>
            <w:r w:rsidRPr="0014456E">
              <w:rPr>
                <w:szCs w:val="20"/>
              </w:rPr>
              <w:t>b)</w:t>
            </w:r>
            <w:r w:rsidRPr="0014456E">
              <w:rPr>
                <w:szCs w:val="20"/>
              </w:rPr>
              <w:tab/>
              <w:t>výstavba</w:t>
            </w:r>
            <w:r w:rsidRPr="0014456E">
              <w:rPr>
                <w:b/>
                <w:i/>
                <w:szCs w:val="20"/>
              </w:rPr>
              <w:t>,</w:t>
            </w:r>
            <w:r w:rsidRPr="0014456E">
              <w:rPr>
                <w:szCs w:val="20"/>
              </w:rPr>
              <w:t xml:space="preserve"> nadobudnutie </w:t>
            </w:r>
            <w:r w:rsidRPr="0014456E">
              <w:rPr>
                <w:b/>
                <w:i/>
                <w:szCs w:val="20"/>
              </w:rPr>
              <w:t xml:space="preserve">alebo modernizovanie </w:t>
            </w:r>
            <w:r w:rsidRPr="0014456E">
              <w:rPr>
                <w:szCs w:val="20"/>
              </w:rPr>
              <w:t>rybárskych plavidiel</w:t>
            </w:r>
            <w:r w:rsidRPr="0014456E">
              <w:rPr>
                <w:b/>
                <w:i/>
                <w:szCs w:val="20"/>
              </w:rPr>
              <w:t>, a to aj výmenou motora,</w:t>
            </w:r>
            <w:r w:rsidRPr="0014456E">
              <w:rPr>
                <w:szCs w:val="20"/>
              </w:rPr>
              <w:t xml:space="preserve"> alebo dovoz rybárskych plavidiel, ak v tomto nariadení nie je stanovené inak;</w:t>
            </w:r>
          </w:p>
        </w:tc>
      </w:tr>
    </w:tbl>
    <w:p w:rsidR="000A6903" w:rsidRPr="000A6903" w:rsidRDefault="000A6903" w:rsidP="000A6903">
      <w:pPr>
        <w:keepNext/>
        <w:widowControl w:val="0"/>
        <w:spacing w:before="240" w:after="240"/>
        <w:jc w:val="center"/>
        <w:rPr>
          <w:i/>
          <w:szCs w:val="20"/>
        </w:rPr>
      </w:pPr>
      <w:r>
        <w:rPr>
          <w:rStyle w:val="HideTWBExt"/>
          <w:noProof w:val="0"/>
        </w:rPr>
        <w:t>&lt;TitreJust&gt;</w:t>
      </w:r>
      <w:r w:rsidRPr="0014456E">
        <w:rPr>
          <w:i/>
          <w:szCs w:val="20"/>
        </w:rPr>
        <w:t>Odôvodnenie</w:t>
      </w:r>
      <w:r>
        <w:rPr>
          <w:rStyle w:val="HideTWBExt"/>
          <w:noProof w:val="0"/>
        </w:rPr>
        <w:t>&lt;/TitreJust&gt;</w:t>
      </w:r>
    </w:p>
    <w:p w:rsidR="000A6903" w:rsidRPr="000A6903" w:rsidRDefault="000A6903" w:rsidP="000A6903">
      <w:pPr>
        <w:widowControl w:val="0"/>
        <w:spacing w:after="240"/>
        <w:rPr>
          <w:i/>
          <w:szCs w:val="20"/>
        </w:rPr>
      </w:pPr>
      <w:r>
        <w:rPr>
          <w:i/>
          <w:szCs w:val="20"/>
        </w:rPr>
        <w:t>Modernizovanie alebo nahrádzanie vybavenia je často spojené s väčšou efektívnosťou a väčšou schopnosťou loviť ryby. Modernizácie a výmeny motorov by tak ohrozovali cieľ trvalo udržateľného rozvoja č. 14.6, ktorý zakazuje dotácie zvyšujúce rybolovnú kapacitu. Aj v prípade, ak by modernizácia alebo výmena starých motorov bola podmienená tým, že budú mať rovnaký alebo nižší výkon, nutne sa to neprejaví znížením schopnosti plavidla loviť ryby. Európsky dvor audítorov konštatoval, že plavidlá vybavené motormi efektívne využívajúcimi palivo majú stále motiváciu zvyšovať svoje rybolovné úsilie.</w:t>
      </w:r>
    </w:p>
    <w:p w:rsidR="000A6903" w:rsidRPr="000A6903" w:rsidRDefault="000A6903" w:rsidP="000A6903">
      <w:r>
        <w:rPr>
          <w:rStyle w:val="HideTWBExt"/>
          <w:noProof w:val="0"/>
        </w:rPr>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49</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Článok 13 – odsek 1 – písmeno e a (nové)</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fr-FR"/>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lang w:val="en-GB"/>
              </w:rPr>
            </w:pPr>
          </w:p>
        </w:tc>
        <w:tc>
          <w:tcPr>
            <w:tcW w:w="4876" w:type="dxa"/>
          </w:tcPr>
          <w:p w:rsidR="000A6903" w:rsidRPr="0014456E" w:rsidRDefault="000A6903" w:rsidP="000A6903">
            <w:pPr>
              <w:widowControl w:val="0"/>
              <w:spacing w:after="120"/>
              <w:rPr>
                <w:szCs w:val="20"/>
              </w:rPr>
            </w:pPr>
            <w:r w:rsidRPr="0014456E">
              <w:rPr>
                <w:b/>
                <w:i/>
                <w:szCs w:val="20"/>
              </w:rPr>
              <w:t>ea)</w:t>
            </w:r>
            <w:r w:rsidRPr="0014456E">
              <w:rPr>
                <w:szCs w:val="20"/>
              </w:rPr>
              <w:tab/>
            </w:r>
            <w:r w:rsidRPr="0014456E">
              <w:rPr>
                <w:b/>
                <w:i/>
                <w:szCs w:val="20"/>
              </w:rPr>
              <w:t>operácie zahŕňajúce akúkoľvek formu elektrického impulzového rybolovu;</w:t>
            </w:r>
          </w:p>
        </w:tc>
      </w:tr>
    </w:tbl>
    <w:p w:rsidR="000A6903" w:rsidRPr="000A6903" w:rsidRDefault="000A6903" w:rsidP="000A6903">
      <w:r>
        <w:rPr>
          <w:rStyle w:val="HideTWBExt"/>
          <w:noProof w:val="0"/>
        </w:rPr>
        <w:lastRenderedPageBreak/>
        <w:t>&lt;/Amend&gt;</w:t>
      </w:r>
    </w:p>
    <w:p w:rsidR="000A6903" w:rsidRPr="000A6903" w:rsidRDefault="000A6903" w:rsidP="000A6903">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50</w:t>
      </w:r>
      <w:r>
        <w:rPr>
          <w:rStyle w:val="HideTWBExt"/>
          <w:noProof w:val="0"/>
        </w:rPr>
        <w:t>&lt;/NumAm&gt;</w:t>
      </w:r>
    </w:p>
    <w:p w:rsidR="000A6903" w:rsidRPr="000A6903" w:rsidRDefault="000A6903" w:rsidP="000A6903">
      <w:pPr>
        <w:keepNext/>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Článok 13 – odsek 1 – písmeno g</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A6903" w:rsidRPr="000A6903" w:rsidTr="009E1AE8">
        <w:trPr>
          <w:jc w:val="center"/>
        </w:trPr>
        <w:tc>
          <w:tcPr>
            <w:tcW w:w="9752" w:type="dxa"/>
            <w:gridSpan w:val="2"/>
          </w:tcPr>
          <w:p w:rsidR="000A6903" w:rsidRPr="000A6903" w:rsidRDefault="000A6903" w:rsidP="000A6903">
            <w:pPr>
              <w:keepNext/>
              <w:rPr>
                <w:lang w:val="fr-FR"/>
              </w:rPr>
            </w:pPr>
          </w:p>
        </w:tc>
      </w:tr>
      <w:tr w:rsidR="000A6903" w:rsidRPr="000A6903" w:rsidTr="009E1AE8">
        <w:trPr>
          <w:jc w:val="center"/>
        </w:trPr>
        <w:tc>
          <w:tcPr>
            <w:tcW w:w="4876" w:type="dxa"/>
          </w:tcPr>
          <w:p w:rsidR="000A6903" w:rsidRPr="0014456E" w:rsidRDefault="000A6903" w:rsidP="000A6903">
            <w:pPr>
              <w:keepNext/>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keepNext/>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g)</w:t>
            </w:r>
            <w:r w:rsidRPr="0014456E">
              <w:rPr>
                <w:szCs w:val="20"/>
              </w:rPr>
              <w:tab/>
              <w:t>priame opätovné zarybňovanie</w:t>
            </w:r>
            <w:r w:rsidRPr="0014456E">
              <w:rPr>
                <w:b/>
                <w:i/>
                <w:szCs w:val="20"/>
              </w:rPr>
              <w:t xml:space="preserve"> s výnimkou prípadov, keď ide o opatrenie, ktoré je</w:t>
            </w:r>
            <w:r w:rsidRPr="0014456E">
              <w:rPr>
                <w:szCs w:val="20"/>
              </w:rPr>
              <w:t xml:space="preserve"> v</w:t>
            </w:r>
            <w:r w:rsidRPr="0014456E">
              <w:rPr>
                <w:b/>
                <w:i/>
                <w:szCs w:val="20"/>
              </w:rPr>
              <w:t> </w:t>
            </w:r>
            <w:r w:rsidRPr="0014456E">
              <w:rPr>
                <w:szCs w:val="20"/>
              </w:rPr>
              <w:t xml:space="preserve">právnom akte Únie </w:t>
            </w:r>
            <w:r w:rsidRPr="0014456E">
              <w:rPr>
                <w:b/>
                <w:i/>
                <w:szCs w:val="20"/>
              </w:rPr>
              <w:t xml:space="preserve">výslovne uvedené ako ochranné opatrenie, </w:t>
            </w:r>
            <w:r w:rsidRPr="0014456E">
              <w:rPr>
                <w:szCs w:val="20"/>
              </w:rPr>
              <w:t xml:space="preserve">alebo </w:t>
            </w:r>
            <w:r w:rsidRPr="0014456E">
              <w:rPr>
                <w:b/>
                <w:i/>
                <w:szCs w:val="20"/>
              </w:rPr>
              <w:t>keď ide</w:t>
            </w:r>
            <w:r w:rsidRPr="0014456E">
              <w:rPr>
                <w:szCs w:val="20"/>
              </w:rPr>
              <w:t xml:space="preserve"> o experimentálne opätovné zarybňovanie;</w:t>
            </w:r>
          </w:p>
        </w:tc>
        <w:tc>
          <w:tcPr>
            <w:tcW w:w="4876" w:type="dxa"/>
          </w:tcPr>
          <w:p w:rsidR="000A6903" w:rsidRPr="0014456E" w:rsidRDefault="000A6903" w:rsidP="000A6903">
            <w:pPr>
              <w:widowControl w:val="0"/>
              <w:spacing w:after="120"/>
            </w:pPr>
            <w:r w:rsidRPr="0014456E">
              <w:rPr>
                <w:szCs w:val="20"/>
              </w:rPr>
              <w:t>g)</w:t>
            </w:r>
            <w:r w:rsidRPr="0014456E">
              <w:rPr>
                <w:szCs w:val="20"/>
              </w:rPr>
              <w:tab/>
              <w:t>priame opätovné zarybňovanie</w:t>
            </w:r>
            <w:r w:rsidRPr="0014456E">
              <w:rPr>
                <w:b/>
                <w:i/>
                <w:szCs w:val="20"/>
              </w:rPr>
              <w:t>, pokiaľ sa výslovne neustanovuje ako ochranné alebo presídľovacie opatrenie</w:t>
            </w:r>
            <w:r w:rsidRPr="0014456E">
              <w:rPr>
                <w:szCs w:val="20"/>
              </w:rPr>
              <w:t xml:space="preserve"> v právnom akte Únie alebo </w:t>
            </w:r>
            <w:r w:rsidRPr="0014456E">
              <w:rPr>
                <w:b/>
                <w:i/>
                <w:szCs w:val="20"/>
              </w:rPr>
              <w:t>pokiaľ nejde</w:t>
            </w:r>
            <w:r w:rsidRPr="0014456E">
              <w:rPr>
                <w:szCs w:val="20"/>
              </w:rPr>
              <w:t xml:space="preserve"> o experimentálne opätovné zarybňovanie;</w:t>
            </w:r>
          </w:p>
        </w:tc>
      </w:tr>
    </w:tbl>
    <w:p w:rsidR="000A6903" w:rsidRPr="000A6903" w:rsidRDefault="000A6903" w:rsidP="000A6903">
      <w:r>
        <w:rPr>
          <w:rStyle w:val="HideTWBExt"/>
          <w:noProof w:val="0"/>
        </w:rPr>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51</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Článok 13 – odsek 1 – písmeno j</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fr-FR"/>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b/>
                <w:i/>
                <w:szCs w:val="20"/>
              </w:rPr>
              <w:t>j)</w:t>
            </w:r>
            <w:r w:rsidRPr="0014456E">
              <w:rPr>
                <w:szCs w:val="20"/>
              </w:rPr>
              <w:tab/>
            </w:r>
            <w:r w:rsidRPr="0014456E">
              <w:rPr>
                <w:b/>
                <w:i/>
                <w:szCs w:val="20"/>
              </w:rPr>
              <w:t>investície do rybárskych plavidiel potrebné na splnenie požiadaviek vyplývajúcich z práva Únie alebo vnútroštátneho práva vrátane požiadaviek vyplývajúcich z povinností Únie v kontexte regionálnych organizácií pre riadenie rybárstva;</w:t>
            </w:r>
          </w:p>
        </w:tc>
        <w:tc>
          <w:tcPr>
            <w:tcW w:w="4876" w:type="dxa"/>
          </w:tcPr>
          <w:p w:rsidR="000A6903" w:rsidRPr="0014456E" w:rsidRDefault="000A6903" w:rsidP="000A6903">
            <w:pPr>
              <w:widowControl w:val="0"/>
              <w:spacing w:after="120"/>
              <w:rPr>
                <w:szCs w:val="20"/>
              </w:rPr>
            </w:pPr>
            <w:r w:rsidRPr="0014456E">
              <w:rPr>
                <w:b/>
                <w:i/>
                <w:szCs w:val="20"/>
              </w:rPr>
              <w:t>vypúšťa sa</w:t>
            </w:r>
          </w:p>
        </w:tc>
      </w:tr>
    </w:tbl>
    <w:p w:rsidR="000A6903" w:rsidRPr="000A6903" w:rsidRDefault="000A6903" w:rsidP="000A6903">
      <w:pPr>
        <w:keepNext/>
        <w:widowControl w:val="0"/>
        <w:spacing w:before="240" w:after="240"/>
        <w:jc w:val="center"/>
        <w:rPr>
          <w:i/>
          <w:szCs w:val="20"/>
        </w:rPr>
      </w:pPr>
      <w:r>
        <w:rPr>
          <w:rStyle w:val="HideTWBExt"/>
          <w:noProof w:val="0"/>
        </w:rPr>
        <w:t>&lt;TitreJust&gt;</w:t>
      </w:r>
      <w:r w:rsidRPr="0014456E">
        <w:rPr>
          <w:i/>
          <w:szCs w:val="20"/>
        </w:rPr>
        <w:t>Odôvodnenie</w:t>
      </w:r>
      <w:r>
        <w:rPr>
          <w:rStyle w:val="HideTWBExt"/>
          <w:noProof w:val="0"/>
        </w:rPr>
        <w:t>&lt;/TitreJust&gt;</w:t>
      </w:r>
    </w:p>
    <w:p w:rsidR="000A6903" w:rsidRPr="000A6903" w:rsidRDefault="000A6903" w:rsidP="000A6903">
      <w:pPr>
        <w:widowControl w:val="0"/>
        <w:spacing w:after="240"/>
        <w:rPr>
          <w:i/>
          <w:szCs w:val="20"/>
        </w:rPr>
      </w:pPr>
      <w:r>
        <w:rPr>
          <w:i/>
          <w:szCs w:val="20"/>
        </w:rPr>
        <w:t>Je ťažké pochopiť, prečo by investície nemali byť oprávnené na podporu, keď sú potrebné na splnenie právnych požiadaviek súvisiacich napríklad s novým výstrojom, monitorovacími systémami alebo úpravami výstroja.</w:t>
      </w:r>
    </w:p>
    <w:p w:rsidR="000A6903" w:rsidRPr="000A6903" w:rsidRDefault="000A6903" w:rsidP="000A6903">
      <w:r>
        <w:rPr>
          <w:rStyle w:val="HideTWBExt"/>
          <w:noProof w:val="0"/>
        </w:rPr>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52</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Článok 13 – odsek 1 – písmeno k</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fr-FR"/>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b/>
                <w:i/>
                <w:szCs w:val="20"/>
              </w:rPr>
              <w:t>k)</w:t>
            </w:r>
            <w:r w:rsidRPr="0014456E">
              <w:rPr>
                <w:szCs w:val="20"/>
              </w:rPr>
              <w:tab/>
            </w:r>
            <w:r w:rsidRPr="0014456E">
              <w:rPr>
                <w:b/>
                <w:i/>
                <w:szCs w:val="20"/>
              </w:rPr>
              <w:t xml:space="preserve">investície do rybárskych plavidiel, ktoré vykonávali činnosti na mori menej </w:t>
            </w:r>
            <w:r w:rsidRPr="0014456E">
              <w:rPr>
                <w:b/>
                <w:i/>
                <w:szCs w:val="20"/>
              </w:rPr>
              <w:lastRenderedPageBreak/>
              <w:t>než 60 dní v oboch kalendárnych rokoch predchádzajúcich roku predloženia žiadosti o podporu.</w:t>
            </w:r>
          </w:p>
        </w:tc>
        <w:tc>
          <w:tcPr>
            <w:tcW w:w="4876" w:type="dxa"/>
          </w:tcPr>
          <w:p w:rsidR="000A6903" w:rsidRPr="0014456E" w:rsidRDefault="000A6903" w:rsidP="000A6903">
            <w:pPr>
              <w:widowControl w:val="0"/>
              <w:spacing w:after="120"/>
              <w:rPr>
                <w:szCs w:val="20"/>
              </w:rPr>
            </w:pPr>
            <w:r w:rsidRPr="0014456E">
              <w:rPr>
                <w:b/>
                <w:i/>
                <w:szCs w:val="20"/>
              </w:rPr>
              <w:lastRenderedPageBreak/>
              <w:t>vypúšťa sa</w:t>
            </w:r>
          </w:p>
        </w:tc>
      </w:tr>
    </w:tbl>
    <w:p w:rsidR="000A6903" w:rsidRPr="000A6903" w:rsidRDefault="000A6903" w:rsidP="000A6903">
      <w:r>
        <w:rPr>
          <w:rStyle w:val="HideTWBExt"/>
          <w:noProof w:val="0"/>
        </w:rPr>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53</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Článok 13 – odsek 1 – písmeno k a (nové)</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fr-FR"/>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lang w:val="en-GB"/>
              </w:rPr>
            </w:pPr>
          </w:p>
        </w:tc>
        <w:tc>
          <w:tcPr>
            <w:tcW w:w="4876" w:type="dxa"/>
          </w:tcPr>
          <w:p w:rsidR="000A6903" w:rsidRPr="0014456E" w:rsidRDefault="000A6903" w:rsidP="000A6903">
            <w:pPr>
              <w:widowControl w:val="0"/>
              <w:spacing w:after="120"/>
              <w:rPr>
                <w:szCs w:val="20"/>
              </w:rPr>
            </w:pPr>
            <w:r w:rsidRPr="0014456E">
              <w:rPr>
                <w:b/>
                <w:i/>
                <w:szCs w:val="20"/>
              </w:rPr>
              <w:t>ka)</w:t>
            </w:r>
            <w:r w:rsidRPr="0014456E">
              <w:rPr>
                <w:szCs w:val="20"/>
              </w:rPr>
              <w:tab/>
            </w:r>
            <w:r w:rsidRPr="0014456E">
              <w:rPr>
                <w:b/>
                <w:i/>
                <w:szCs w:val="20"/>
              </w:rPr>
              <w:t>prevádzkové náklady ako poistenie, režijné náklady, náklady na palivo alebo na vybavenie rybárskych plavidiel, vďaka ktorému sú vôbec prevádzkyschopné alebo plavbyschopné, ako sú laná, povinné bezpečnostné alebo zabezpečovacie požiadavky a služby údržby.</w:t>
            </w:r>
          </w:p>
        </w:tc>
      </w:tr>
    </w:tbl>
    <w:p w:rsidR="000A6903" w:rsidRPr="000A6903" w:rsidRDefault="000A6903" w:rsidP="000A6903">
      <w:r>
        <w:rPr>
          <w:rStyle w:val="HideTWBExt"/>
          <w:noProof w:val="0"/>
        </w:rPr>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54</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Článok 14 – odsek 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en-GB"/>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1.</w:t>
            </w:r>
            <w:r w:rsidRPr="0014456E">
              <w:rPr>
                <w:szCs w:val="20"/>
              </w:rPr>
              <w:tab/>
              <w:t>Podpora podľa tejto kapitoly prispieva k plneniu cieľov SRP v environmentálnej, hospodárskej a sociálnej oblasti, ako aj v oblasti zamestnanosti, ktoré sú stanovené v článku 2 nariadenia (EÚ) č. 1380/2013.</w:t>
            </w:r>
          </w:p>
        </w:tc>
        <w:tc>
          <w:tcPr>
            <w:tcW w:w="4876" w:type="dxa"/>
          </w:tcPr>
          <w:p w:rsidR="000A6903" w:rsidRPr="0014456E" w:rsidRDefault="000A6903" w:rsidP="000A6903">
            <w:pPr>
              <w:widowControl w:val="0"/>
              <w:spacing w:after="120"/>
              <w:rPr>
                <w:szCs w:val="20"/>
              </w:rPr>
            </w:pPr>
            <w:r w:rsidRPr="0014456E">
              <w:rPr>
                <w:szCs w:val="20"/>
              </w:rPr>
              <w:t>1.</w:t>
            </w:r>
            <w:r w:rsidRPr="0014456E">
              <w:rPr>
                <w:szCs w:val="20"/>
              </w:rPr>
              <w:tab/>
              <w:t>Podpora podľa tejto kapitoly prispieva k plneniu cieľov SRP v environmentálnej, hospodárskej a sociálnej oblasti, ako aj v oblasti zamestnanosti, ktoré sú stanovené v článku 2 nariadenia (EÚ) č. 1380/2013</w:t>
            </w:r>
            <w:r w:rsidRPr="0014456E">
              <w:rPr>
                <w:b/>
                <w:i/>
                <w:szCs w:val="20"/>
              </w:rPr>
              <w:t>, a podnecuje sociálny dialóg medzi zainteresovanými stranami</w:t>
            </w:r>
            <w:r w:rsidRPr="0014456E">
              <w:rPr>
                <w:szCs w:val="20"/>
              </w:rPr>
              <w:t>.</w:t>
            </w:r>
          </w:p>
        </w:tc>
      </w:tr>
    </w:tbl>
    <w:p w:rsidR="000A6903" w:rsidRPr="000A6903" w:rsidRDefault="000A6903" w:rsidP="000A6903">
      <w:r>
        <w:rPr>
          <w:rStyle w:val="HideTWBExt"/>
          <w:noProof w:val="0"/>
        </w:rPr>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55</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Článok 15 – odsek 1 – písmeno c</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fr-FR"/>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c)</w:t>
            </w:r>
            <w:r w:rsidRPr="0014456E">
              <w:rPr>
                <w:szCs w:val="20"/>
              </w:rPr>
              <w:tab/>
              <w:t xml:space="preserve">posilnenie hodnotového reťazca odvetvia a podpora marketingových </w:t>
            </w:r>
            <w:r w:rsidRPr="0014456E">
              <w:rPr>
                <w:szCs w:val="20"/>
              </w:rPr>
              <w:lastRenderedPageBreak/>
              <w:t>stratégií;</w:t>
            </w:r>
          </w:p>
        </w:tc>
        <w:tc>
          <w:tcPr>
            <w:tcW w:w="4876" w:type="dxa"/>
          </w:tcPr>
          <w:p w:rsidR="000A6903" w:rsidRPr="0014456E" w:rsidRDefault="000A6903" w:rsidP="000A6903">
            <w:pPr>
              <w:widowControl w:val="0"/>
              <w:spacing w:after="120"/>
              <w:rPr>
                <w:szCs w:val="20"/>
              </w:rPr>
            </w:pPr>
            <w:r w:rsidRPr="0014456E">
              <w:rPr>
                <w:szCs w:val="20"/>
              </w:rPr>
              <w:lastRenderedPageBreak/>
              <w:t>c)</w:t>
            </w:r>
            <w:r w:rsidRPr="0014456E">
              <w:rPr>
                <w:szCs w:val="20"/>
              </w:rPr>
              <w:tab/>
            </w:r>
            <w:r w:rsidRPr="0014456E">
              <w:rPr>
                <w:b/>
                <w:i/>
                <w:szCs w:val="20"/>
              </w:rPr>
              <w:t>vytvorenie a</w:t>
            </w:r>
            <w:r w:rsidRPr="0014456E">
              <w:rPr>
                <w:szCs w:val="20"/>
              </w:rPr>
              <w:t xml:space="preserve"> posilnenie hodnotového reťazca odvetvia a podpora </w:t>
            </w:r>
            <w:r w:rsidRPr="0014456E">
              <w:rPr>
                <w:szCs w:val="20"/>
              </w:rPr>
              <w:lastRenderedPageBreak/>
              <w:t>marketingových stratégií;</w:t>
            </w:r>
          </w:p>
        </w:tc>
      </w:tr>
    </w:tbl>
    <w:p w:rsidR="000A6903" w:rsidRPr="000A6903" w:rsidRDefault="000A6903" w:rsidP="000A6903">
      <w:r>
        <w:rPr>
          <w:rStyle w:val="HideTWBExt"/>
          <w:noProof w:val="0"/>
        </w:rPr>
        <w:lastRenderedPageBreak/>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56</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Článok 15 – odsek 1 – písmeno d a (nové)</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fr-FR"/>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lang w:val="en-GB"/>
              </w:rPr>
            </w:pPr>
          </w:p>
        </w:tc>
        <w:tc>
          <w:tcPr>
            <w:tcW w:w="4876" w:type="dxa"/>
          </w:tcPr>
          <w:p w:rsidR="000A6903" w:rsidRPr="0014456E" w:rsidRDefault="000A6903" w:rsidP="000A6903">
            <w:pPr>
              <w:widowControl w:val="0"/>
              <w:spacing w:after="120"/>
              <w:rPr>
                <w:szCs w:val="20"/>
              </w:rPr>
            </w:pPr>
            <w:r w:rsidRPr="0014456E">
              <w:rPr>
                <w:b/>
                <w:i/>
                <w:szCs w:val="20"/>
              </w:rPr>
              <w:t>da)</w:t>
            </w:r>
            <w:r w:rsidRPr="0014456E">
              <w:rPr>
                <w:szCs w:val="20"/>
              </w:rPr>
              <w:tab/>
            </w:r>
            <w:r w:rsidRPr="0014456E">
              <w:rPr>
                <w:b/>
                <w:i/>
                <w:szCs w:val="20"/>
              </w:rPr>
              <w:t>uľahčovanie prístupu k úverom, poistným produktom a finančným nástrojom;</w:t>
            </w:r>
          </w:p>
        </w:tc>
      </w:tr>
    </w:tbl>
    <w:p w:rsidR="000A6903" w:rsidRPr="000A6903" w:rsidRDefault="000A6903" w:rsidP="000A6903">
      <w:r>
        <w:rPr>
          <w:rStyle w:val="HideTWBExt"/>
          <w:noProof w:val="0"/>
        </w:rPr>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57</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Článok 15 – odsek 1 – písmeno e</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fr-FR"/>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e)</w:t>
            </w:r>
            <w:r w:rsidRPr="0014456E">
              <w:rPr>
                <w:szCs w:val="20"/>
              </w:rPr>
              <w:tab/>
              <w:t>zlepšenie zdravotných, bezpečnostných a pracovných podmienok na palube rybárskych plavidiel;</w:t>
            </w:r>
          </w:p>
        </w:tc>
        <w:tc>
          <w:tcPr>
            <w:tcW w:w="4876" w:type="dxa"/>
          </w:tcPr>
          <w:p w:rsidR="000A6903" w:rsidRPr="0014456E" w:rsidRDefault="000A6903" w:rsidP="000A6903">
            <w:pPr>
              <w:widowControl w:val="0"/>
              <w:spacing w:after="120"/>
              <w:rPr>
                <w:szCs w:val="20"/>
              </w:rPr>
            </w:pPr>
            <w:r w:rsidRPr="0014456E">
              <w:rPr>
                <w:szCs w:val="20"/>
              </w:rPr>
              <w:t>e)</w:t>
            </w:r>
            <w:r w:rsidRPr="0014456E">
              <w:rPr>
                <w:szCs w:val="20"/>
              </w:rPr>
              <w:tab/>
              <w:t>zlepšenie zdravotných, bezpečnostných a pracovných podmienok na palube rybárskych plavidiel</w:t>
            </w:r>
            <w:r w:rsidRPr="0014456E">
              <w:rPr>
                <w:b/>
                <w:i/>
                <w:szCs w:val="20"/>
              </w:rPr>
              <w:t>, čo umožní prilákať viac mladých ľudí a výrazne znížiť príčiny morských incidentov</w:t>
            </w:r>
            <w:r w:rsidRPr="0014456E">
              <w:rPr>
                <w:szCs w:val="20"/>
              </w:rPr>
              <w:t>;</w:t>
            </w:r>
          </w:p>
        </w:tc>
      </w:tr>
    </w:tbl>
    <w:p w:rsidR="000A6903" w:rsidRPr="000A6903" w:rsidRDefault="000A6903" w:rsidP="000A6903">
      <w:r>
        <w:rPr>
          <w:rStyle w:val="HideTWBExt"/>
          <w:noProof w:val="0"/>
        </w:rPr>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58</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Článok 15 – odsek 1 – písmeno h</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fr-FR"/>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h)</w:t>
            </w:r>
            <w:r w:rsidRPr="0014456E">
              <w:rPr>
                <w:szCs w:val="20"/>
              </w:rPr>
              <w:tab/>
              <w:t>diverzifikácia činností v širšom kontexte udržateľného modrého hospodárstva;</w:t>
            </w:r>
          </w:p>
        </w:tc>
        <w:tc>
          <w:tcPr>
            <w:tcW w:w="4876" w:type="dxa"/>
          </w:tcPr>
          <w:p w:rsidR="000A6903" w:rsidRPr="0014456E" w:rsidRDefault="000A6903" w:rsidP="000A6903">
            <w:pPr>
              <w:widowControl w:val="0"/>
              <w:spacing w:after="120"/>
              <w:rPr>
                <w:szCs w:val="20"/>
              </w:rPr>
            </w:pPr>
            <w:r w:rsidRPr="0014456E">
              <w:rPr>
                <w:szCs w:val="20"/>
              </w:rPr>
              <w:t>h)</w:t>
            </w:r>
            <w:r w:rsidRPr="0014456E">
              <w:rPr>
                <w:szCs w:val="20"/>
              </w:rPr>
              <w:tab/>
              <w:t>diverzifikácia činností v širšom kontexte udržateľného modrého hospodárstva</w:t>
            </w:r>
            <w:r w:rsidRPr="0014456E">
              <w:rPr>
                <w:b/>
                <w:i/>
                <w:szCs w:val="20"/>
              </w:rPr>
              <w:t>, ktoré sa rozvíja v medziach ekologických limitov</w:t>
            </w:r>
            <w:r w:rsidRPr="0014456E">
              <w:rPr>
                <w:szCs w:val="20"/>
              </w:rPr>
              <w:t>;</w:t>
            </w:r>
          </w:p>
        </w:tc>
      </w:tr>
    </w:tbl>
    <w:p w:rsidR="000A6903" w:rsidRPr="000A6903" w:rsidRDefault="000A6903" w:rsidP="000A6903">
      <w:r>
        <w:rPr>
          <w:rStyle w:val="HideTWBExt"/>
          <w:noProof w:val="0"/>
        </w:rPr>
        <w:t>&lt;/Amend&gt;</w:t>
      </w:r>
    </w:p>
    <w:p w:rsidR="000A6903" w:rsidRPr="000A6903" w:rsidRDefault="000A6903" w:rsidP="000A6903">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59</w:t>
      </w:r>
      <w:r>
        <w:rPr>
          <w:rStyle w:val="HideTWBExt"/>
          <w:noProof w:val="0"/>
        </w:rPr>
        <w:t>&lt;/NumAm&gt;</w:t>
      </w:r>
    </w:p>
    <w:p w:rsidR="000A6903" w:rsidRPr="000A6903" w:rsidRDefault="000A6903" w:rsidP="000A6903">
      <w:pPr>
        <w:keepNext/>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Článok 15 – odsek 1 – písmeno i a (nové)</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A6903" w:rsidRPr="000A6903" w:rsidTr="009E1AE8">
        <w:trPr>
          <w:jc w:val="center"/>
        </w:trPr>
        <w:tc>
          <w:tcPr>
            <w:tcW w:w="9752" w:type="dxa"/>
            <w:gridSpan w:val="2"/>
          </w:tcPr>
          <w:p w:rsidR="000A6903" w:rsidRPr="000A6903" w:rsidRDefault="000A6903" w:rsidP="000A6903">
            <w:pPr>
              <w:keepNext/>
              <w:rPr>
                <w:lang w:val="fr-FR"/>
              </w:rPr>
            </w:pPr>
          </w:p>
        </w:tc>
      </w:tr>
      <w:tr w:rsidR="000A6903" w:rsidRPr="000A6903" w:rsidTr="009E1AE8">
        <w:trPr>
          <w:jc w:val="center"/>
        </w:trPr>
        <w:tc>
          <w:tcPr>
            <w:tcW w:w="4876" w:type="dxa"/>
          </w:tcPr>
          <w:p w:rsidR="000A6903" w:rsidRPr="0014456E" w:rsidRDefault="000A6903" w:rsidP="000A6903">
            <w:pPr>
              <w:keepNext/>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keepNext/>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lang w:val="en-GB"/>
              </w:rPr>
            </w:pPr>
          </w:p>
        </w:tc>
        <w:tc>
          <w:tcPr>
            <w:tcW w:w="4876" w:type="dxa"/>
          </w:tcPr>
          <w:p w:rsidR="000A6903" w:rsidRPr="0014456E" w:rsidRDefault="000A6903" w:rsidP="000A6903">
            <w:pPr>
              <w:widowControl w:val="0"/>
              <w:spacing w:after="120"/>
            </w:pPr>
            <w:r w:rsidRPr="0014456E">
              <w:rPr>
                <w:b/>
                <w:i/>
                <w:szCs w:val="20"/>
              </w:rPr>
              <w:t>ia)</w:t>
            </w:r>
            <w:r w:rsidRPr="0014456E">
              <w:rPr>
                <w:b/>
                <w:i/>
                <w:szCs w:val="20"/>
              </w:rPr>
              <w:tab/>
              <w:t>vytvorenie primeraného prostredia pre rozvoj spoločne riadených miestnych plánov.</w:t>
            </w:r>
          </w:p>
        </w:tc>
      </w:tr>
    </w:tbl>
    <w:p w:rsidR="000A6903" w:rsidRPr="000A6903" w:rsidRDefault="000A6903" w:rsidP="000A6903">
      <w:pPr>
        <w:keepNext/>
        <w:widowControl w:val="0"/>
        <w:spacing w:before="240" w:after="240"/>
        <w:jc w:val="center"/>
        <w:rPr>
          <w:i/>
          <w:szCs w:val="20"/>
        </w:rPr>
      </w:pPr>
      <w:r>
        <w:rPr>
          <w:rStyle w:val="HideTWBExt"/>
          <w:noProof w:val="0"/>
        </w:rPr>
        <w:t>&lt;TitreJust&gt;</w:t>
      </w:r>
      <w:r w:rsidRPr="0014456E">
        <w:rPr>
          <w:i/>
          <w:szCs w:val="20"/>
        </w:rPr>
        <w:t>Odôvodnenie</w:t>
      </w:r>
      <w:r>
        <w:rPr>
          <w:rStyle w:val="HideTWBExt"/>
          <w:noProof w:val="0"/>
        </w:rPr>
        <w:t>&lt;/TitreJust&gt;</w:t>
      </w:r>
    </w:p>
    <w:p w:rsidR="000A6903" w:rsidRPr="000A6903" w:rsidRDefault="000A6903" w:rsidP="000A6903">
      <w:pPr>
        <w:widowControl w:val="0"/>
        <w:spacing w:after="240"/>
        <w:rPr>
          <w:i/>
          <w:szCs w:val="20"/>
        </w:rPr>
      </w:pPr>
      <w:r>
        <w:rPr>
          <w:i/>
          <w:szCs w:val="20"/>
        </w:rPr>
        <w:t>Model spoločného riadenia rozvíja svoj maximálny potenciál v rámci bioekonomického riadenia, ktoré rešpektuje ekosystém a zásadu predbežnej opatrnosti. Tento model by mal poskytovať nástroje, ktoré umožňujú reagovať na meniace sa skutočnosti, príznačné pre flexibilné riadenie, v reálnom čase.</w:t>
      </w:r>
    </w:p>
    <w:p w:rsidR="000A6903" w:rsidRPr="000A6903" w:rsidRDefault="000A6903" w:rsidP="000A6903">
      <w:r>
        <w:rPr>
          <w:rStyle w:val="HideTWBExt"/>
          <w:noProof w:val="0"/>
        </w:rPr>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60</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Článok 17 – odsek 2 – úvodná časť</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fr-FR"/>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2.</w:t>
            </w:r>
            <w:r w:rsidRPr="0014456E">
              <w:rPr>
                <w:szCs w:val="20"/>
              </w:rPr>
              <w:tab/>
            </w:r>
            <w:r w:rsidRPr="0014456E">
              <w:rPr>
                <w:b/>
                <w:i/>
                <w:szCs w:val="20"/>
              </w:rPr>
              <w:t>Podporu</w:t>
            </w:r>
            <w:r w:rsidRPr="0014456E">
              <w:rPr>
                <w:szCs w:val="20"/>
              </w:rPr>
              <w:t xml:space="preserve"> uvedenú v odseku 1 </w:t>
            </w:r>
            <w:r w:rsidRPr="0014456E">
              <w:rPr>
                <w:b/>
                <w:i/>
                <w:szCs w:val="20"/>
              </w:rPr>
              <w:t xml:space="preserve">možno </w:t>
            </w:r>
            <w:r w:rsidRPr="0014456E">
              <w:rPr>
                <w:szCs w:val="20"/>
              </w:rPr>
              <w:t>poskytnúť prostredníctvom kompenzácie za trvalé ukončenie rybolovných činností</w:t>
            </w:r>
            <w:r w:rsidRPr="0014456E">
              <w:rPr>
                <w:b/>
                <w:i/>
                <w:szCs w:val="20"/>
              </w:rPr>
              <w:t xml:space="preserve"> len v prípade</w:t>
            </w:r>
            <w:r w:rsidRPr="0014456E">
              <w:rPr>
                <w:szCs w:val="20"/>
              </w:rPr>
              <w:t xml:space="preserve"> splnenia týchto podmienok:</w:t>
            </w:r>
          </w:p>
        </w:tc>
        <w:tc>
          <w:tcPr>
            <w:tcW w:w="4876" w:type="dxa"/>
          </w:tcPr>
          <w:p w:rsidR="000A6903" w:rsidRPr="0014456E" w:rsidRDefault="000A6903" w:rsidP="000A6903">
            <w:pPr>
              <w:widowControl w:val="0"/>
              <w:spacing w:after="120"/>
              <w:rPr>
                <w:szCs w:val="20"/>
              </w:rPr>
            </w:pPr>
            <w:r w:rsidRPr="0014456E">
              <w:rPr>
                <w:szCs w:val="20"/>
              </w:rPr>
              <w:t>2.</w:t>
            </w:r>
            <w:r w:rsidRPr="0014456E">
              <w:rPr>
                <w:szCs w:val="20"/>
              </w:rPr>
              <w:tab/>
            </w:r>
            <w:r w:rsidRPr="0014456E">
              <w:rPr>
                <w:b/>
                <w:i/>
                <w:szCs w:val="20"/>
              </w:rPr>
              <w:t>Vo výnimočných prípadoch možno podporu</w:t>
            </w:r>
            <w:r w:rsidRPr="0014456E">
              <w:rPr>
                <w:szCs w:val="20"/>
              </w:rPr>
              <w:t xml:space="preserve"> uvedenú v odseku 1 poskytnúť prostredníctvom kompenzácie za trvalé ukončenie rybolovných činností</w:t>
            </w:r>
            <w:r w:rsidRPr="0014456E">
              <w:rPr>
                <w:b/>
                <w:i/>
                <w:szCs w:val="20"/>
              </w:rPr>
              <w:t>, a to pod podmienkou</w:t>
            </w:r>
            <w:r w:rsidRPr="0014456E">
              <w:rPr>
                <w:szCs w:val="20"/>
              </w:rPr>
              <w:t xml:space="preserve"> splnenia týchto podmienok:</w:t>
            </w:r>
          </w:p>
        </w:tc>
      </w:tr>
    </w:tbl>
    <w:p w:rsidR="000A6903" w:rsidRPr="000A6903" w:rsidRDefault="000A6903" w:rsidP="000A6903">
      <w:r>
        <w:rPr>
          <w:rStyle w:val="HideTWBExt"/>
          <w:noProof w:val="0"/>
        </w:rPr>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61</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Článok 17 – odsek 2 – písmeno 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fr-FR"/>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a)</w:t>
            </w:r>
            <w:r w:rsidRPr="0014456E">
              <w:rPr>
                <w:szCs w:val="20"/>
              </w:rPr>
              <w:tab/>
              <w:t>ukončenie je stanovené ako nástroj akčného plánu uvedeného v článku 22 ods. 4 nariadenia (EÚ) č. 1380/2013;</w:t>
            </w:r>
          </w:p>
        </w:tc>
        <w:tc>
          <w:tcPr>
            <w:tcW w:w="4876" w:type="dxa"/>
          </w:tcPr>
          <w:p w:rsidR="000A6903" w:rsidRPr="0014456E" w:rsidRDefault="000A6903" w:rsidP="000A6903">
            <w:pPr>
              <w:widowControl w:val="0"/>
              <w:spacing w:after="120"/>
              <w:rPr>
                <w:szCs w:val="20"/>
              </w:rPr>
            </w:pPr>
            <w:r w:rsidRPr="0014456E">
              <w:rPr>
                <w:szCs w:val="20"/>
              </w:rPr>
              <w:t>a)</w:t>
            </w:r>
            <w:r w:rsidRPr="0014456E">
              <w:rPr>
                <w:szCs w:val="20"/>
              </w:rPr>
              <w:tab/>
              <w:t xml:space="preserve">ukončenie je stanovené ako nástroj akčného plánu </w:t>
            </w:r>
            <w:r w:rsidRPr="0014456E">
              <w:rPr>
                <w:b/>
                <w:i/>
                <w:szCs w:val="20"/>
              </w:rPr>
              <w:t xml:space="preserve">na zníženie kapacity flotily </w:t>
            </w:r>
            <w:r w:rsidRPr="0014456E">
              <w:rPr>
                <w:szCs w:val="20"/>
              </w:rPr>
              <w:t>uvedeného v článku 22 ods. 4 nariadenia (EÚ) č. 1380/2013;</w:t>
            </w:r>
          </w:p>
        </w:tc>
      </w:tr>
    </w:tbl>
    <w:p w:rsidR="000A6903" w:rsidRPr="000A6903" w:rsidRDefault="000A6903" w:rsidP="000A6903">
      <w:r>
        <w:rPr>
          <w:rStyle w:val="HideTWBExt"/>
          <w:noProof w:val="0"/>
        </w:rPr>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62</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Článok 17 – odsek 2 – písmeno a a (nové)</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fr-FR"/>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lastRenderedPageBreak/>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lang w:val="en-GB"/>
              </w:rPr>
            </w:pPr>
          </w:p>
        </w:tc>
        <w:tc>
          <w:tcPr>
            <w:tcW w:w="4876" w:type="dxa"/>
          </w:tcPr>
          <w:p w:rsidR="000A6903" w:rsidRPr="0014456E" w:rsidRDefault="000A6903" w:rsidP="000A6903">
            <w:pPr>
              <w:widowControl w:val="0"/>
              <w:spacing w:after="120"/>
              <w:rPr>
                <w:szCs w:val="20"/>
              </w:rPr>
            </w:pPr>
            <w:r w:rsidRPr="0014456E">
              <w:rPr>
                <w:b/>
                <w:i/>
                <w:szCs w:val="20"/>
              </w:rPr>
              <w:t>aa)</w:t>
            </w:r>
            <w:r w:rsidRPr="0014456E">
              <w:rPr>
                <w:szCs w:val="20"/>
              </w:rPr>
              <w:tab/>
            </w:r>
            <w:r w:rsidRPr="0014456E">
              <w:rPr>
                <w:b/>
                <w:i/>
                <w:szCs w:val="20"/>
              </w:rPr>
              <w:t>ukončenie vedie k celkovému zníženiu rybolovnej kapacity, keďže získané finančné prostriedky sa neinvestujú späť do tohto odvetvia;</w:t>
            </w:r>
          </w:p>
        </w:tc>
      </w:tr>
    </w:tbl>
    <w:p w:rsidR="000A6903" w:rsidRPr="000A6903" w:rsidRDefault="000A6903" w:rsidP="000A6903">
      <w:r>
        <w:rPr>
          <w:rStyle w:val="HideTWBExt"/>
          <w:noProof w:val="0"/>
        </w:rPr>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63</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Článok 17 – odsek 4 a (nový)</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fr-FR"/>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lang w:val="en-GB"/>
              </w:rPr>
            </w:pPr>
          </w:p>
        </w:tc>
        <w:tc>
          <w:tcPr>
            <w:tcW w:w="4876" w:type="dxa"/>
          </w:tcPr>
          <w:p w:rsidR="000A6903" w:rsidRPr="0014456E" w:rsidRDefault="000A6903" w:rsidP="000A6903">
            <w:pPr>
              <w:widowControl w:val="0"/>
              <w:spacing w:after="120"/>
              <w:rPr>
                <w:szCs w:val="20"/>
              </w:rPr>
            </w:pPr>
            <w:r w:rsidRPr="0014456E">
              <w:rPr>
                <w:b/>
                <w:i/>
                <w:szCs w:val="20"/>
              </w:rPr>
              <w:t>4a.</w:t>
            </w:r>
            <w:r w:rsidRPr="0014456E">
              <w:rPr>
                <w:szCs w:val="20"/>
              </w:rPr>
              <w:tab/>
            </w:r>
            <w:r w:rsidRPr="0014456E">
              <w:rPr>
                <w:b/>
                <w:i/>
                <w:szCs w:val="20"/>
              </w:rPr>
              <w:t>Z ENRF sa môžu podporovať rybárske a akvakultúrne podniky s cieľom pomôcť im získať prístup k nástrojom riadenia rizika, ako sú stimuly súvisiace s poistnými politikami alebo vzájomnými fondmi, aby sa pokryli straty spôsobené jedným alebo viacerými týmito udalosťami:</w:t>
            </w:r>
          </w:p>
        </w:tc>
      </w:tr>
      <w:tr w:rsidR="000A6903" w:rsidRPr="000A6903" w:rsidTr="009E1AE8">
        <w:trPr>
          <w:jc w:val="center"/>
        </w:trPr>
        <w:tc>
          <w:tcPr>
            <w:tcW w:w="4876" w:type="dxa"/>
          </w:tcPr>
          <w:p w:rsidR="000A6903" w:rsidRPr="0014456E" w:rsidRDefault="000A6903" w:rsidP="000A6903">
            <w:pPr>
              <w:widowControl w:val="0"/>
              <w:spacing w:after="120"/>
              <w:rPr>
                <w:szCs w:val="20"/>
                <w:lang w:val="en-GB"/>
              </w:rPr>
            </w:pPr>
          </w:p>
        </w:tc>
        <w:tc>
          <w:tcPr>
            <w:tcW w:w="4876" w:type="dxa"/>
          </w:tcPr>
          <w:p w:rsidR="000A6903" w:rsidRPr="0014456E" w:rsidRDefault="000A6903" w:rsidP="000A6903">
            <w:pPr>
              <w:widowControl w:val="0"/>
              <w:spacing w:after="120"/>
              <w:rPr>
                <w:szCs w:val="20"/>
              </w:rPr>
            </w:pPr>
            <w:r w:rsidRPr="0014456E">
              <w:rPr>
                <w:b/>
                <w:i/>
                <w:szCs w:val="20"/>
              </w:rPr>
              <w:t>a) prírodné katastrofy;</w:t>
            </w:r>
          </w:p>
        </w:tc>
      </w:tr>
      <w:tr w:rsidR="000A6903" w:rsidRPr="000A6903" w:rsidTr="009E1AE8">
        <w:trPr>
          <w:jc w:val="center"/>
        </w:trPr>
        <w:tc>
          <w:tcPr>
            <w:tcW w:w="4876" w:type="dxa"/>
          </w:tcPr>
          <w:p w:rsidR="000A6903" w:rsidRPr="0014456E" w:rsidRDefault="000A6903" w:rsidP="000A6903">
            <w:pPr>
              <w:widowControl w:val="0"/>
              <w:spacing w:after="120"/>
              <w:rPr>
                <w:szCs w:val="20"/>
                <w:lang w:val="en-GB"/>
              </w:rPr>
            </w:pPr>
          </w:p>
        </w:tc>
        <w:tc>
          <w:tcPr>
            <w:tcW w:w="4876" w:type="dxa"/>
          </w:tcPr>
          <w:p w:rsidR="000A6903" w:rsidRPr="0014456E" w:rsidRDefault="000A6903" w:rsidP="000A6903">
            <w:pPr>
              <w:widowControl w:val="0"/>
              <w:spacing w:after="120"/>
              <w:rPr>
                <w:szCs w:val="20"/>
              </w:rPr>
            </w:pPr>
            <w:r w:rsidRPr="0014456E">
              <w:rPr>
                <w:b/>
                <w:i/>
                <w:szCs w:val="20"/>
              </w:rPr>
              <w:t>b) negatívne klimatické udalosti;</w:t>
            </w:r>
          </w:p>
        </w:tc>
      </w:tr>
      <w:tr w:rsidR="000A6903" w:rsidRPr="000A6903" w:rsidTr="009E1AE8">
        <w:trPr>
          <w:jc w:val="center"/>
        </w:trPr>
        <w:tc>
          <w:tcPr>
            <w:tcW w:w="4876" w:type="dxa"/>
          </w:tcPr>
          <w:p w:rsidR="000A6903" w:rsidRPr="0014456E" w:rsidRDefault="000A6903" w:rsidP="000A6903">
            <w:pPr>
              <w:widowControl w:val="0"/>
              <w:spacing w:after="120"/>
              <w:rPr>
                <w:szCs w:val="20"/>
                <w:lang w:val="en-GB"/>
              </w:rPr>
            </w:pPr>
          </w:p>
        </w:tc>
        <w:tc>
          <w:tcPr>
            <w:tcW w:w="4876" w:type="dxa"/>
          </w:tcPr>
          <w:p w:rsidR="000A6903" w:rsidRPr="0014456E" w:rsidRDefault="000A6903" w:rsidP="000A6903">
            <w:pPr>
              <w:widowControl w:val="0"/>
              <w:spacing w:after="120"/>
              <w:rPr>
                <w:szCs w:val="20"/>
              </w:rPr>
            </w:pPr>
            <w:r w:rsidRPr="0014456E">
              <w:rPr>
                <w:b/>
                <w:i/>
                <w:szCs w:val="20"/>
              </w:rPr>
              <w:t>c) náhle zmeny kvality alebo množstva vody, za ktoré prevádzkovateľ nezodpovedá;</w:t>
            </w:r>
          </w:p>
        </w:tc>
      </w:tr>
      <w:tr w:rsidR="000A6903" w:rsidRPr="000A6903" w:rsidTr="009E1AE8">
        <w:trPr>
          <w:jc w:val="center"/>
        </w:trPr>
        <w:tc>
          <w:tcPr>
            <w:tcW w:w="4876" w:type="dxa"/>
          </w:tcPr>
          <w:p w:rsidR="000A6903" w:rsidRPr="0014456E" w:rsidRDefault="000A6903" w:rsidP="000A6903">
            <w:pPr>
              <w:widowControl w:val="0"/>
              <w:spacing w:after="120"/>
              <w:rPr>
                <w:szCs w:val="20"/>
                <w:lang w:val="en-GB"/>
              </w:rPr>
            </w:pPr>
          </w:p>
        </w:tc>
        <w:tc>
          <w:tcPr>
            <w:tcW w:w="4876" w:type="dxa"/>
          </w:tcPr>
          <w:p w:rsidR="000A6903" w:rsidRPr="0014456E" w:rsidRDefault="000A6903" w:rsidP="000A6903">
            <w:pPr>
              <w:widowControl w:val="0"/>
              <w:spacing w:after="120"/>
              <w:rPr>
                <w:szCs w:val="20"/>
              </w:rPr>
            </w:pPr>
            <w:r w:rsidRPr="0014456E">
              <w:rPr>
                <w:b/>
                <w:i/>
                <w:szCs w:val="20"/>
              </w:rPr>
              <w:t>d) choroby v akvakultúre alebo nefunkčnosť či zničenie výrobných zariadení, za ktoré prevádzkovateľ nezodpovedá;</w:t>
            </w:r>
          </w:p>
        </w:tc>
      </w:tr>
      <w:tr w:rsidR="000A6903" w:rsidRPr="000A6903" w:rsidTr="009E1AE8">
        <w:trPr>
          <w:jc w:val="center"/>
        </w:trPr>
        <w:tc>
          <w:tcPr>
            <w:tcW w:w="4876" w:type="dxa"/>
          </w:tcPr>
          <w:p w:rsidR="000A6903" w:rsidRPr="0014456E" w:rsidRDefault="000A6903" w:rsidP="000A6903">
            <w:pPr>
              <w:widowControl w:val="0"/>
              <w:spacing w:after="120"/>
              <w:rPr>
                <w:szCs w:val="20"/>
                <w:lang w:val="en-GB"/>
              </w:rPr>
            </w:pPr>
          </w:p>
        </w:tc>
        <w:tc>
          <w:tcPr>
            <w:tcW w:w="4876" w:type="dxa"/>
          </w:tcPr>
          <w:p w:rsidR="000A6903" w:rsidRPr="0014456E" w:rsidRDefault="000A6903" w:rsidP="000A6903">
            <w:pPr>
              <w:widowControl w:val="0"/>
              <w:spacing w:after="120"/>
              <w:rPr>
                <w:szCs w:val="20"/>
              </w:rPr>
            </w:pPr>
            <w:r w:rsidRPr="0014456E">
              <w:rPr>
                <w:b/>
                <w:i/>
                <w:szCs w:val="20"/>
              </w:rPr>
              <w:t>e) náklady na záchranu rybárov alebo rybárskych plavidiel v prípade nehôd na mori počas rybolovu.</w:t>
            </w:r>
          </w:p>
        </w:tc>
      </w:tr>
    </w:tbl>
    <w:p w:rsidR="000A6903" w:rsidRPr="000A6903" w:rsidRDefault="000A6903" w:rsidP="000A6903">
      <w:pPr>
        <w:keepNext/>
        <w:widowControl w:val="0"/>
        <w:spacing w:before="240" w:after="240"/>
        <w:jc w:val="center"/>
        <w:rPr>
          <w:i/>
          <w:szCs w:val="20"/>
        </w:rPr>
      </w:pPr>
      <w:r>
        <w:rPr>
          <w:rStyle w:val="HideTWBExt"/>
          <w:noProof w:val="0"/>
        </w:rPr>
        <w:t>&lt;TitreJust&gt;</w:t>
      </w:r>
      <w:r w:rsidRPr="0014456E">
        <w:rPr>
          <w:i/>
          <w:szCs w:val="20"/>
        </w:rPr>
        <w:t>Odôvodnenie</w:t>
      </w:r>
      <w:r>
        <w:rPr>
          <w:rStyle w:val="HideTWBExt"/>
          <w:noProof w:val="0"/>
        </w:rPr>
        <w:t>&lt;/TitreJust&gt;</w:t>
      </w:r>
    </w:p>
    <w:p w:rsidR="000A6903" w:rsidRPr="000A6903" w:rsidRDefault="000A6903" w:rsidP="000A6903">
      <w:pPr>
        <w:widowControl w:val="0"/>
        <w:spacing w:after="240"/>
        <w:rPr>
          <w:i/>
          <w:szCs w:val="20"/>
        </w:rPr>
      </w:pPr>
      <w:r>
        <w:rPr>
          <w:i/>
          <w:szCs w:val="20"/>
        </w:rPr>
        <w:t>Podľa vzoru odvetvia poľnohospodárstva sa navrhuje, aby bolo možné podporu z ENRF použiť na nástroje riadenia rizika, ako sú stimuly na využívanie poistných politík alebo prispievanie do vzájomných fondov, s cieľom pokryť príčiny uvedené v písmenách a) až e).</w:t>
      </w:r>
    </w:p>
    <w:p w:rsidR="000A6903" w:rsidRPr="000A6903" w:rsidRDefault="000A6903" w:rsidP="000A6903">
      <w:r>
        <w:rPr>
          <w:rStyle w:val="HideTWBExt"/>
          <w:noProof w:val="0"/>
        </w:rPr>
        <w:t>&lt;/Amend&gt;</w:t>
      </w:r>
    </w:p>
    <w:p w:rsidR="000A6903" w:rsidRPr="000A6903" w:rsidRDefault="000A6903" w:rsidP="000A6903">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lastRenderedPageBreak/>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64</w:t>
      </w:r>
      <w:r>
        <w:rPr>
          <w:rStyle w:val="HideTWBExt"/>
          <w:noProof w:val="0"/>
        </w:rPr>
        <w:t>&lt;/NumAm&gt;</w:t>
      </w:r>
    </w:p>
    <w:p w:rsidR="000A6903" w:rsidRPr="000A6903" w:rsidRDefault="000A6903" w:rsidP="000A6903">
      <w:pPr>
        <w:keepNext/>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Článok 18 – odsek 2 – písmeno a</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A6903" w:rsidRPr="000A6903" w:rsidTr="009E1AE8">
        <w:trPr>
          <w:jc w:val="center"/>
        </w:trPr>
        <w:tc>
          <w:tcPr>
            <w:tcW w:w="9752" w:type="dxa"/>
            <w:gridSpan w:val="2"/>
          </w:tcPr>
          <w:p w:rsidR="000A6903" w:rsidRPr="000A6903" w:rsidRDefault="000A6903" w:rsidP="000A6903">
            <w:pPr>
              <w:keepNext/>
              <w:rPr>
                <w:lang w:val="fr-FR"/>
              </w:rPr>
            </w:pPr>
          </w:p>
        </w:tc>
      </w:tr>
      <w:tr w:rsidR="000A6903" w:rsidRPr="000A6903" w:rsidTr="009E1AE8">
        <w:trPr>
          <w:jc w:val="center"/>
        </w:trPr>
        <w:tc>
          <w:tcPr>
            <w:tcW w:w="4876" w:type="dxa"/>
          </w:tcPr>
          <w:p w:rsidR="000A6903" w:rsidRPr="0014456E" w:rsidRDefault="000A6903" w:rsidP="000A6903">
            <w:pPr>
              <w:keepNext/>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keepNext/>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a)</w:t>
            </w:r>
            <w:r w:rsidRPr="0014456E">
              <w:rPr>
                <w:szCs w:val="20"/>
              </w:rPr>
              <w:tab/>
              <w:t>obchodné činnosti predmetného plavidla sa pozastavia</w:t>
            </w:r>
            <w:r w:rsidRPr="0014456E">
              <w:rPr>
                <w:b/>
                <w:i/>
                <w:szCs w:val="20"/>
              </w:rPr>
              <w:t xml:space="preserve"> minimálne na 90 po sebe nasledujúcich dní a</w:t>
            </w:r>
          </w:p>
        </w:tc>
        <w:tc>
          <w:tcPr>
            <w:tcW w:w="4876" w:type="dxa"/>
          </w:tcPr>
          <w:p w:rsidR="000A6903" w:rsidRPr="0014456E" w:rsidRDefault="000A6903" w:rsidP="000A6903">
            <w:pPr>
              <w:widowControl w:val="0"/>
              <w:spacing w:after="120"/>
            </w:pPr>
            <w:r w:rsidRPr="0014456E">
              <w:rPr>
                <w:szCs w:val="20"/>
              </w:rPr>
              <w:t>a)</w:t>
            </w:r>
            <w:r w:rsidRPr="0014456E">
              <w:rPr>
                <w:szCs w:val="20"/>
              </w:rPr>
              <w:tab/>
              <w:t>obchodné činnosti predmetného plavidla sa pozastavia</w:t>
            </w:r>
          </w:p>
        </w:tc>
      </w:tr>
    </w:tbl>
    <w:p w:rsidR="000A6903" w:rsidRPr="000A6903" w:rsidRDefault="000A6903" w:rsidP="000A6903">
      <w:pPr>
        <w:keepNext/>
        <w:widowControl w:val="0"/>
        <w:spacing w:before="240" w:after="240"/>
        <w:jc w:val="center"/>
        <w:rPr>
          <w:i/>
          <w:szCs w:val="20"/>
        </w:rPr>
      </w:pPr>
      <w:r>
        <w:rPr>
          <w:rStyle w:val="HideTWBExt"/>
          <w:noProof w:val="0"/>
        </w:rPr>
        <w:t>&lt;TitreJust&gt;</w:t>
      </w:r>
      <w:r w:rsidRPr="0014456E">
        <w:rPr>
          <w:i/>
          <w:szCs w:val="20"/>
        </w:rPr>
        <w:t>Odôvodnenie</w:t>
      </w:r>
      <w:r>
        <w:rPr>
          <w:rStyle w:val="HideTWBExt"/>
          <w:noProof w:val="0"/>
        </w:rPr>
        <w:t>&lt;/TitreJust&gt;</w:t>
      </w:r>
    </w:p>
    <w:p w:rsidR="000A6903" w:rsidRPr="000A6903" w:rsidRDefault="000A6903" w:rsidP="000A6903">
      <w:pPr>
        <w:widowControl w:val="0"/>
        <w:spacing w:after="240"/>
        <w:rPr>
          <w:i/>
          <w:szCs w:val="20"/>
        </w:rPr>
      </w:pPr>
      <w:r>
        <w:rPr>
          <w:i/>
          <w:szCs w:val="20"/>
        </w:rPr>
        <w:t>V niektorých morských oblastiach EÚ trvá pozastavenie činností rybárskych flotíl s vakovými a vlečnými sieťami od 30 do 60 dní ročne, pričom to závisí od rôznych premenných, ako je napríklad segment rýb a konkrétny druh rybolovu. Z tohto dôvodu by nemalo záležať na dĺžke trvania dočasného pozastavenia.</w:t>
      </w:r>
    </w:p>
    <w:p w:rsidR="000A6903" w:rsidRPr="000A6903" w:rsidRDefault="000A6903" w:rsidP="000A6903">
      <w:r>
        <w:rPr>
          <w:rStyle w:val="HideTWBExt"/>
          <w:noProof w:val="0"/>
        </w:rPr>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65</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Článok 18 – odsek 5</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en-GB"/>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5.</w:t>
            </w:r>
            <w:r w:rsidRPr="0014456E">
              <w:rPr>
                <w:szCs w:val="20"/>
              </w:rPr>
              <w:tab/>
              <w:t xml:space="preserve">Všetky rybolovné činnosti, ktoré vykonávajú predmetné plavidlá a predmetní rybári, sa počas obdobia, na ktoré sa vzťahuje dočasné pozastavenie, reálne prestanú vykonávať. Príslušný orgán sa </w:t>
            </w:r>
            <w:r w:rsidRPr="0014456E">
              <w:rPr>
                <w:b/>
                <w:i/>
                <w:szCs w:val="20"/>
              </w:rPr>
              <w:t>presvedčí o tom</w:t>
            </w:r>
            <w:r w:rsidRPr="0014456E">
              <w:rPr>
                <w:szCs w:val="20"/>
              </w:rPr>
              <w:t xml:space="preserve">, </w:t>
            </w:r>
            <w:r w:rsidRPr="0014456E">
              <w:rPr>
                <w:b/>
                <w:i/>
                <w:szCs w:val="20"/>
              </w:rPr>
              <w:t>že</w:t>
            </w:r>
            <w:r w:rsidRPr="0014456E">
              <w:rPr>
                <w:szCs w:val="20"/>
              </w:rPr>
              <w:t xml:space="preserve"> predmetné rybárske plavidlo prerušilo počas obdobia, na ktoré sa vzťahuje mimoriadne pozastavenie, všetky rybolovné činnosti, a že nedôjde k nadmernej kompenzácií v dôsledku využívania plavidla na iné účely.</w:t>
            </w:r>
          </w:p>
        </w:tc>
        <w:tc>
          <w:tcPr>
            <w:tcW w:w="4876" w:type="dxa"/>
          </w:tcPr>
          <w:p w:rsidR="000A6903" w:rsidRPr="0014456E" w:rsidRDefault="000A6903" w:rsidP="000A6903">
            <w:pPr>
              <w:widowControl w:val="0"/>
              <w:spacing w:after="120"/>
              <w:rPr>
                <w:szCs w:val="20"/>
              </w:rPr>
            </w:pPr>
            <w:r w:rsidRPr="0014456E">
              <w:rPr>
                <w:szCs w:val="20"/>
              </w:rPr>
              <w:t>5.</w:t>
            </w:r>
            <w:r w:rsidRPr="0014456E">
              <w:rPr>
                <w:szCs w:val="20"/>
              </w:rPr>
              <w:tab/>
              <w:t xml:space="preserve">Všetky rybolovné činnosti, ktoré vykonávajú predmetné plavidlá a predmetní rybári, sa počas obdobia, na ktoré sa vzťahuje dočasné pozastavenie, reálne prestanú vykonávať. Príslušný orgán sa </w:t>
            </w:r>
            <w:r w:rsidRPr="0014456E">
              <w:rPr>
                <w:b/>
                <w:i/>
                <w:szCs w:val="20"/>
              </w:rPr>
              <w:t>zaistí</w:t>
            </w:r>
            <w:r w:rsidRPr="0014456E">
              <w:rPr>
                <w:szCs w:val="20"/>
              </w:rPr>
              <w:t xml:space="preserve">, </w:t>
            </w:r>
            <w:r w:rsidRPr="0014456E">
              <w:rPr>
                <w:b/>
                <w:i/>
                <w:szCs w:val="20"/>
              </w:rPr>
              <w:t>aby</w:t>
            </w:r>
            <w:r w:rsidRPr="0014456E">
              <w:rPr>
                <w:szCs w:val="20"/>
              </w:rPr>
              <w:t xml:space="preserve"> predmetné rybárske plavidlo prerušilo počas obdobia, na ktoré sa vzťahuje mimoriadne pozastavenie, všetky rybolovné činnosti, a že nedôjde k nadmernej kompenzácií v dôsledku využívania plavidla na iné účely.</w:t>
            </w:r>
          </w:p>
        </w:tc>
      </w:tr>
    </w:tbl>
    <w:p w:rsidR="000A6903" w:rsidRPr="000A6903" w:rsidRDefault="000A6903" w:rsidP="000A6903">
      <w:r>
        <w:rPr>
          <w:rStyle w:val="HideTWBExt"/>
          <w:noProof w:val="0"/>
        </w:rPr>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66</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Článok 18 a (nový)</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fr-FR"/>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jc w:val="center"/>
              <w:rPr>
                <w:b/>
                <w:bCs/>
                <w:i/>
                <w:iCs/>
                <w:szCs w:val="20"/>
                <w:lang w:val="en-GB"/>
              </w:rPr>
            </w:pPr>
          </w:p>
        </w:tc>
        <w:tc>
          <w:tcPr>
            <w:tcW w:w="4876" w:type="dxa"/>
          </w:tcPr>
          <w:p w:rsidR="000A6903" w:rsidRPr="0014456E" w:rsidRDefault="000A6903" w:rsidP="000A6903">
            <w:pPr>
              <w:widowControl w:val="0"/>
              <w:spacing w:after="120"/>
              <w:jc w:val="center"/>
              <w:rPr>
                <w:bCs/>
                <w:iCs/>
                <w:szCs w:val="20"/>
              </w:rPr>
            </w:pPr>
            <w:r w:rsidRPr="0014456E">
              <w:rPr>
                <w:b/>
                <w:bCs/>
                <w:i/>
                <w:iCs/>
                <w:szCs w:val="20"/>
              </w:rPr>
              <w:t>Článok 18a</w:t>
            </w:r>
          </w:p>
        </w:tc>
      </w:tr>
      <w:tr w:rsidR="000A6903" w:rsidRPr="000A6903" w:rsidTr="009E1AE8">
        <w:trPr>
          <w:jc w:val="center"/>
        </w:trPr>
        <w:tc>
          <w:tcPr>
            <w:tcW w:w="4876" w:type="dxa"/>
          </w:tcPr>
          <w:p w:rsidR="000A6903" w:rsidRPr="0014456E" w:rsidRDefault="000A6903" w:rsidP="000A6903">
            <w:pPr>
              <w:widowControl w:val="0"/>
              <w:spacing w:after="120"/>
              <w:jc w:val="center"/>
              <w:rPr>
                <w:b/>
                <w:bCs/>
                <w:i/>
                <w:iCs/>
                <w:szCs w:val="20"/>
                <w:lang w:val="en-GB"/>
              </w:rPr>
            </w:pPr>
          </w:p>
        </w:tc>
        <w:tc>
          <w:tcPr>
            <w:tcW w:w="4876" w:type="dxa"/>
          </w:tcPr>
          <w:p w:rsidR="000A6903" w:rsidRPr="0014456E" w:rsidRDefault="000A6903" w:rsidP="000A6903">
            <w:pPr>
              <w:widowControl w:val="0"/>
              <w:spacing w:after="120"/>
              <w:jc w:val="center"/>
              <w:rPr>
                <w:bCs/>
                <w:iCs/>
                <w:szCs w:val="20"/>
              </w:rPr>
            </w:pPr>
            <w:r w:rsidRPr="0014456E">
              <w:rPr>
                <w:b/>
                <w:bCs/>
                <w:i/>
                <w:iCs/>
                <w:szCs w:val="20"/>
              </w:rPr>
              <w:t>Dočasné zastavenie rybolovných činností</w:t>
            </w:r>
          </w:p>
        </w:tc>
      </w:tr>
      <w:tr w:rsidR="000A6903" w:rsidRPr="000A6903" w:rsidTr="009E1AE8">
        <w:trPr>
          <w:jc w:val="center"/>
        </w:trPr>
        <w:tc>
          <w:tcPr>
            <w:tcW w:w="4876" w:type="dxa"/>
          </w:tcPr>
          <w:p w:rsidR="000A6903" w:rsidRPr="0014456E" w:rsidRDefault="000A6903" w:rsidP="000A6903">
            <w:pPr>
              <w:widowControl w:val="0"/>
              <w:spacing w:after="120"/>
              <w:rPr>
                <w:szCs w:val="20"/>
                <w:lang w:val="en-GB"/>
              </w:rPr>
            </w:pPr>
          </w:p>
        </w:tc>
        <w:tc>
          <w:tcPr>
            <w:tcW w:w="4876" w:type="dxa"/>
          </w:tcPr>
          <w:p w:rsidR="000A6903" w:rsidRPr="0014456E" w:rsidRDefault="000A6903" w:rsidP="000A6903">
            <w:pPr>
              <w:widowControl w:val="0"/>
              <w:spacing w:after="120"/>
              <w:rPr>
                <w:szCs w:val="20"/>
              </w:rPr>
            </w:pPr>
            <w:r w:rsidRPr="0014456E">
              <w:rPr>
                <w:b/>
                <w:i/>
                <w:szCs w:val="20"/>
              </w:rPr>
              <w:t>1.</w:t>
            </w:r>
            <w:r w:rsidRPr="0014456E">
              <w:rPr>
                <w:szCs w:val="20"/>
              </w:rPr>
              <w:t xml:space="preserve"> </w:t>
            </w:r>
            <w:r w:rsidRPr="0014456E">
              <w:rPr>
                <w:b/>
                <w:i/>
                <w:szCs w:val="20"/>
              </w:rPr>
              <w:t>Z ENRF možno podporovať opatrenia na dočasné zastavenie rybolovných činností v týchto prípadoch:</w:t>
            </w:r>
          </w:p>
        </w:tc>
      </w:tr>
      <w:tr w:rsidR="000A6903" w:rsidRPr="000A6903" w:rsidTr="009E1AE8">
        <w:trPr>
          <w:jc w:val="center"/>
        </w:trPr>
        <w:tc>
          <w:tcPr>
            <w:tcW w:w="4876" w:type="dxa"/>
          </w:tcPr>
          <w:p w:rsidR="000A6903" w:rsidRPr="0014456E" w:rsidRDefault="000A6903" w:rsidP="000A6903">
            <w:pPr>
              <w:widowControl w:val="0"/>
              <w:spacing w:after="120"/>
              <w:rPr>
                <w:szCs w:val="20"/>
                <w:lang w:val="en-GB"/>
              </w:rPr>
            </w:pPr>
          </w:p>
        </w:tc>
        <w:tc>
          <w:tcPr>
            <w:tcW w:w="4876" w:type="dxa"/>
          </w:tcPr>
          <w:p w:rsidR="000A6903" w:rsidRPr="0014456E" w:rsidRDefault="000A6903" w:rsidP="000A6903">
            <w:pPr>
              <w:widowControl w:val="0"/>
              <w:spacing w:after="120"/>
              <w:rPr>
                <w:szCs w:val="20"/>
              </w:rPr>
            </w:pPr>
            <w:r w:rsidRPr="0014456E">
              <w:rPr>
                <w:b/>
                <w:i/>
                <w:szCs w:val="20"/>
              </w:rPr>
              <w:t>a) počas období biologickej obnovy;</w:t>
            </w:r>
            <w:r w:rsidRPr="0014456E">
              <w:rPr>
                <w:szCs w:val="20"/>
              </w:rPr>
              <w:t xml:space="preserve"> </w:t>
            </w:r>
          </w:p>
        </w:tc>
      </w:tr>
      <w:tr w:rsidR="000A6903" w:rsidRPr="000A6903" w:rsidTr="009E1AE8">
        <w:trPr>
          <w:jc w:val="center"/>
        </w:trPr>
        <w:tc>
          <w:tcPr>
            <w:tcW w:w="4876" w:type="dxa"/>
          </w:tcPr>
          <w:p w:rsidR="000A6903" w:rsidRPr="0014456E" w:rsidRDefault="000A6903" w:rsidP="000A6903">
            <w:pPr>
              <w:widowControl w:val="0"/>
              <w:spacing w:after="120"/>
              <w:rPr>
                <w:szCs w:val="20"/>
                <w:lang w:val="en-GB"/>
              </w:rPr>
            </w:pPr>
          </w:p>
        </w:tc>
        <w:tc>
          <w:tcPr>
            <w:tcW w:w="4876" w:type="dxa"/>
          </w:tcPr>
          <w:p w:rsidR="000A6903" w:rsidRPr="0014456E" w:rsidRDefault="000A6903" w:rsidP="000A6903">
            <w:pPr>
              <w:widowControl w:val="0"/>
              <w:spacing w:after="120"/>
              <w:rPr>
                <w:szCs w:val="20"/>
              </w:rPr>
            </w:pPr>
            <w:r w:rsidRPr="0014456E">
              <w:rPr>
                <w:b/>
                <w:i/>
                <w:szCs w:val="20"/>
              </w:rPr>
              <w:t>b) ak je dočasné zastavenie ustanovené v pláne hospodárenia prijatom v súlade s nariadením Rady (ES) č. 1967/2006 alebo s viacročným plánom prijatom podľa článkov 9 a 10 nariadenia (EÚ) č. 1380/2013, pretože je potrebné na základe vedeckých odporúčaní zníženie rybolovného úsilia, aby sa dosiahli ciele uvedené v článku 2 ods. 2 a článku 2 ods. 5 písm. a) nariadenia (EÚ) č. 1380/2013.</w:t>
            </w:r>
          </w:p>
        </w:tc>
      </w:tr>
      <w:tr w:rsidR="000A6903" w:rsidRPr="000A6903" w:rsidTr="009E1AE8">
        <w:trPr>
          <w:jc w:val="center"/>
        </w:trPr>
        <w:tc>
          <w:tcPr>
            <w:tcW w:w="4876" w:type="dxa"/>
          </w:tcPr>
          <w:p w:rsidR="000A6903" w:rsidRPr="0014456E" w:rsidRDefault="000A6903" w:rsidP="000A6903">
            <w:pPr>
              <w:widowControl w:val="0"/>
              <w:spacing w:after="120"/>
              <w:rPr>
                <w:szCs w:val="20"/>
                <w:lang w:val="en-GB"/>
              </w:rPr>
            </w:pPr>
          </w:p>
        </w:tc>
        <w:tc>
          <w:tcPr>
            <w:tcW w:w="4876" w:type="dxa"/>
          </w:tcPr>
          <w:p w:rsidR="000A6903" w:rsidRPr="0014456E" w:rsidRDefault="000A6903" w:rsidP="000A6903">
            <w:pPr>
              <w:widowControl w:val="0"/>
              <w:spacing w:after="120"/>
              <w:rPr>
                <w:szCs w:val="20"/>
              </w:rPr>
            </w:pPr>
            <w:r w:rsidRPr="0014456E">
              <w:rPr>
                <w:b/>
                <w:i/>
                <w:szCs w:val="20"/>
              </w:rPr>
              <w:t>2.</w:t>
            </w:r>
            <w:r w:rsidRPr="0014456E">
              <w:rPr>
                <w:szCs w:val="20"/>
              </w:rPr>
              <w:t xml:space="preserve"> </w:t>
            </w:r>
            <w:r w:rsidRPr="0014456E">
              <w:rPr>
                <w:b/>
                <w:i/>
                <w:szCs w:val="20"/>
              </w:rPr>
              <w:t>V období 2021 – 2027 možno podporu uvedenú v odseku 1 poskytnúť maximálne na 6 mesiacov na plavidlo.</w:t>
            </w:r>
          </w:p>
        </w:tc>
      </w:tr>
      <w:tr w:rsidR="000A6903" w:rsidRPr="000A6903" w:rsidTr="009E1AE8">
        <w:trPr>
          <w:jc w:val="center"/>
        </w:trPr>
        <w:tc>
          <w:tcPr>
            <w:tcW w:w="4876" w:type="dxa"/>
          </w:tcPr>
          <w:p w:rsidR="000A6903" w:rsidRPr="0014456E" w:rsidRDefault="000A6903" w:rsidP="000A6903">
            <w:pPr>
              <w:widowControl w:val="0"/>
              <w:spacing w:after="120"/>
              <w:rPr>
                <w:szCs w:val="20"/>
                <w:lang w:val="en-GB"/>
              </w:rPr>
            </w:pPr>
          </w:p>
        </w:tc>
        <w:tc>
          <w:tcPr>
            <w:tcW w:w="4876" w:type="dxa"/>
          </w:tcPr>
          <w:p w:rsidR="000A6903" w:rsidRPr="0014456E" w:rsidRDefault="000A6903" w:rsidP="000A6903">
            <w:pPr>
              <w:widowControl w:val="0"/>
              <w:spacing w:after="120"/>
              <w:rPr>
                <w:szCs w:val="20"/>
              </w:rPr>
            </w:pPr>
            <w:r w:rsidRPr="0014456E">
              <w:rPr>
                <w:b/>
                <w:i/>
                <w:szCs w:val="20"/>
              </w:rPr>
              <w:t>3.</w:t>
            </w:r>
            <w:r w:rsidRPr="0014456E">
              <w:rPr>
                <w:szCs w:val="20"/>
              </w:rPr>
              <w:t xml:space="preserve"> </w:t>
            </w:r>
            <w:r w:rsidRPr="0014456E">
              <w:rPr>
                <w:b/>
                <w:i/>
                <w:szCs w:val="20"/>
              </w:rPr>
              <w:t>Podpora uvedená v odseku 1 sa poskytne len:</w:t>
            </w:r>
          </w:p>
        </w:tc>
      </w:tr>
      <w:tr w:rsidR="000A6903" w:rsidRPr="000A6903" w:rsidTr="009E1AE8">
        <w:trPr>
          <w:jc w:val="center"/>
        </w:trPr>
        <w:tc>
          <w:tcPr>
            <w:tcW w:w="4876" w:type="dxa"/>
          </w:tcPr>
          <w:p w:rsidR="000A6903" w:rsidRPr="0014456E" w:rsidRDefault="000A6903" w:rsidP="000A6903">
            <w:pPr>
              <w:widowControl w:val="0"/>
              <w:spacing w:after="120"/>
              <w:rPr>
                <w:szCs w:val="20"/>
                <w:lang w:val="en-GB"/>
              </w:rPr>
            </w:pPr>
          </w:p>
        </w:tc>
        <w:tc>
          <w:tcPr>
            <w:tcW w:w="4876" w:type="dxa"/>
          </w:tcPr>
          <w:p w:rsidR="000A6903" w:rsidRPr="0014456E" w:rsidRDefault="000A6903" w:rsidP="000A6903">
            <w:pPr>
              <w:widowControl w:val="0"/>
              <w:spacing w:after="120"/>
              <w:rPr>
                <w:szCs w:val="20"/>
              </w:rPr>
            </w:pPr>
            <w:r w:rsidRPr="0014456E">
              <w:rPr>
                <w:b/>
                <w:i/>
                <w:szCs w:val="20"/>
              </w:rPr>
              <w:t>a) vlastníkom alebo prevádzkovateľom rybárskych plavidiel Únie, ktoré sú registrované ako aktívne a ktoré vykonávali rybolovné činnosti na mori najmenej 90 dní v priebehu dvoch posledných kalendárnych rokov predchádzajúcich dátumu predloženia žiadosti o podporu;</w:t>
            </w:r>
            <w:r w:rsidRPr="0014456E">
              <w:rPr>
                <w:szCs w:val="20"/>
              </w:rPr>
              <w:t xml:space="preserve"> </w:t>
            </w:r>
            <w:r w:rsidRPr="0014456E">
              <w:rPr>
                <w:b/>
                <w:i/>
                <w:szCs w:val="20"/>
              </w:rPr>
              <w:t>alebo</w:t>
            </w:r>
          </w:p>
        </w:tc>
      </w:tr>
      <w:tr w:rsidR="000A6903" w:rsidRPr="000A6903" w:rsidTr="009E1AE8">
        <w:trPr>
          <w:jc w:val="center"/>
        </w:trPr>
        <w:tc>
          <w:tcPr>
            <w:tcW w:w="4876" w:type="dxa"/>
          </w:tcPr>
          <w:p w:rsidR="000A6903" w:rsidRPr="0014456E" w:rsidRDefault="000A6903" w:rsidP="000A6903">
            <w:pPr>
              <w:widowControl w:val="0"/>
              <w:spacing w:after="120"/>
              <w:rPr>
                <w:szCs w:val="20"/>
                <w:lang w:val="en-GB"/>
              </w:rPr>
            </w:pPr>
          </w:p>
        </w:tc>
        <w:tc>
          <w:tcPr>
            <w:tcW w:w="4876" w:type="dxa"/>
          </w:tcPr>
          <w:p w:rsidR="000A6903" w:rsidRPr="0014456E" w:rsidRDefault="000A6903" w:rsidP="000A6903">
            <w:pPr>
              <w:widowControl w:val="0"/>
              <w:spacing w:after="120"/>
              <w:rPr>
                <w:szCs w:val="20"/>
              </w:rPr>
            </w:pPr>
            <w:r w:rsidRPr="0014456E">
              <w:rPr>
                <w:b/>
                <w:i/>
                <w:szCs w:val="20"/>
              </w:rPr>
              <w:t>b) rybárom, ktorí pracovali na mori najmenej 90 dní v priebehu dvoch posledných kalendárnych rokov predchádzajúcich dátumu predloženia žiadosti o podporu na palube rybárskeho plavidla Únie, ktorého sa týka dočasné zastavenie.</w:t>
            </w:r>
          </w:p>
        </w:tc>
      </w:tr>
      <w:tr w:rsidR="000A6903" w:rsidRPr="000A6903" w:rsidTr="009E1AE8">
        <w:trPr>
          <w:jc w:val="center"/>
        </w:trPr>
        <w:tc>
          <w:tcPr>
            <w:tcW w:w="4876" w:type="dxa"/>
          </w:tcPr>
          <w:p w:rsidR="000A6903" w:rsidRPr="0014456E" w:rsidRDefault="000A6903" w:rsidP="000A6903">
            <w:pPr>
              <w:widowControl w:val="0"/>
              <w:spacing w:after="120"/>
              <w:rPr>
                <w:szCs w:val="20"/>
                <w:lang w:val="en-GB"/>
              </w:rPr>
            </w:pPr>
          </w:p>
        </w:tc>
        <w:tc>
          <w:tcPr>
            <w:tcW w:w="4876" w:type="dxa"/>
          </w:tcPr>
          <w:p w:rsidR="000A6903" w:rsidRPr="0014456E" w:rsidRDefault="000A6903" w:rsidP="000A6903">
            <w:pPr>
              <w:widowControl w:val="0"/>
              <w:spacing w:after="120"/>
              <w:rPr>
                <w:szCs w:val="20"/>
              </w:rPr>
            </w:pPr>
            <w:r w:rsidRPr="0014456E">
              <w:rPr>
                <w:b/>
                <w:i/>
                <w:szCs w:val="20"/>
              </w:rPr>
              <w:t>4.</w:t>
            </w:r>
            <w:r w:rsidRPr="0014456E">
              <w:rPr>
                <w:szCs w:val="20"/>
              </w:rPr>
              <w:t xml:space="preserve"> </w:t>
            </w:r>
            <w:r w:rsidRPr="0014456E">
              <w:rPr>
                <w:b/>
                <w:i/>
                <w:szCs w:val="20"/>
              </w:rPr>
              <w:t>Všetky rybolovné činnosti, ktoré vykonáva rybárske plavidlo alebo dotknutí rybári, sa skutočne zastavia.</w:t>
            </w:r>
            <w:r w:rsidRPr="0014456E">
              <w:rPr>
                <w:szCs w:val="20"/>
              </w:rPr>
              <w:t xml:space="preserve"> </w:t>
            </w:r>
            <w:r w:rsidRPr="0014456E">
              <w:rPr>
                <w:b/>
                <w:i/>
                <w:szCs w:val="20"/>
              </w:rPr>
              <w:t>Príslušný orgán sa presvedčí, či dotknuté rybárske plavidlo počas obdobia, na ktoré sa vzťahuje dočasné zastavenie, zastavilo všetky rybolovné činnosti.</w:t>
            </w:r>
          </w:p>
        </w:tc>
      </w:tr>
    </w:tbl>
    <w:p w:rsidR="000A6903" w:rsidRPr="000A6903" w:rsidRDefault="000A6903" w:rsidP="000A6903">
      <w:pPr>
        <w:keepNext/>
        <w:widowControl w:val="0"/>
        <w:spacing w:before="240" w:after="240"/>
        <w:jc w:val="center"/>
        <w:rPr>
          <w:i/>
          <w:szCs w:val="20"/>
        </w:rPr>
      </w:pPr>
      <w:r>
        <w:rPr>
          <w:rStyle w:val="HideTWBExt"/>
          <w:noProof w:val="0"/>
        </w:rPr>
        <w:lastRenderedPageBreak/>
        <w:t>&lt;TitreJust&gt;</w:t>
      </w:r>
      <w:r w:rsidRPr="0014456E">
        <w:rPr>
          <w:i/>
          <w:szCs w:val="20"/>
        </w:rPr>
        <w:t>Odôvodnenie</w:t>
      </w:r>
      <w:r>
        <w:rPr>
          <w:rStyle w:val="HideTWBExt"/>
          <w:noProof w:val="0"/>
        </w:rPr>
        <w:t>&lt;/TitreJust&gt;</w:t>
      </w:r>
    </w:p>
    <w:p w:rsidR="000A6903" w:rsidRPr="000A6903" w:rsidRDefault="000A6903" w:rsidP="000A6903">
      <w:pPr>
        <w:widowControl w:val="0"/>
        <w:spacing w:after="240"/>
        <w:rPr>
          <w:i/>
          <w:szCs w:val="20"/>
        </w:rPr>
      </w:pPr>
      <w:r>
        <w:rPr>
          <w:i/>
          <w:szCs w:val="20"/>
        </w:rPr>
        <w:t>Toto ustanovenie by sa malo do textu vrátiť, keďže prinieslo vynikajúce výsledky v každom programovom období, v ktorom sa vykonávalo.</w:t>
      </w:r>
    </w:p>
    <w:p w:rsidR="000A6903" w:rsidRPr="000A6903" w:rsidRDefault="000A6903" w:rsidP="000A6903">
      <w:r>
        <w:rPr>
          <w:rStyle w:val="HideTWBExt"/>
          <w:noProof w:val="0"/>
        </w:rPr>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67</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Článok 20 – odsek 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en-GB"/>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1.</w:t>
            </w:r>
            <w:r w:rsidRPr="0014456E">
              <w:rPr>
                <w:szCs w:val="20"/>
              </w:rPr>
              <w:tab/>
              <w:t>Z ENRF možno podporovať zber, správu a využívanie údajov na účely riadenia rybárstva a vedecké účely, ktoré sú stanovené v článku 25 ods. 1 a 2 a článku 27 nariadenia (EÚ) č. 1380/2013 a podrobnejšie špecifikované v nariadení (EÚ) č. 2017/1004, na základe národných pracovných plánov uvedených v článku 6 nariadenia (EÚ) 2017/1004.</w:t>
            </w:r>
          </w:p>
        </w:tc>
        <w:tc>
          <w:tcPr>
            <w:tcW w:w="4876" w:type="dxa"/>
          </w:tcPr>
          <w:p w:rsidR="000A6903" w:rsidRPr="0014456E" w:rsidRDefault="000A6903" w:rsidP="000A6903">
            <w:pPr>
              <w:widowControl w:val="0"/>
              <w:spacing w:after="120"/>
              <w:rPr>
                <w:szCs w:val="20"/>
              </w:rPr>
            </w:pPr>
            <w:r w:rsidRPr="0014456E">
              <w:rPr>
                <w:szCs w:val="20"/>
              </w:rPr>
              <w:t>1.</w:t>
            </w:r>
            <w:r w:rsidRPr="0014456E">
              <w:rPr>
                <w:szCs w:val="20"/>
              </w:rPr>
              <w:tab/>
              <w:t>Z ENRF možno podporovať zber, správu</w:t>
            </w:r>
            <w:r w:rsidRPr="0014456E">
              <w:rPr>
                <w:b/>
                <w:i/>
                <w:szCs w:val="20"/>
              </w:rPr>
              <w:t>, spracovanie</w:t>
            </w:r>
            <w:r w:rsidRPr="0014456E">
              <w:rPr>
                <w:szCs w:val="20"/>
              </w:rPr>
              <w:t xml:space="preserve"> a využívanie údajov na účely riadenia rybárstva a vedecké účely, ktoré sú stanovené v článku 25 ods. 1 a 2 a článku 27 nariadenia (EÚ) č. 1380/2013 a podrobnejšie špecifikované v nariadení (EÚ) č. 2017/1004, na základe národných pracovných plánov uvedených v článku 6 nariadenia (EÚ) 2017/1004.</w:t>
            </w:r>
          </w:p>
        </w:tc>
      </w:tr>
    </w:tbl>
    <w:p w:rsidR="000A6903" w:rsidRPr="000A6903" w:rsidRDefault="000A6903" w:rsidP="000A6903">
      <w:r>
        <w:rPr>
          <w:rStyle w:val="HideTWBExt"/>
          <w:noProof w:val="0"/>
        </w:rPr>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68</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Článok 21 – odsek 3</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en-GB"/>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3.</w:t>
            </w:r>
            <w:r w:rsidRPr="0014456E">
              <w:rPr>
                <w:szCs w:val="20"/>
              </w:rPr>
              <w:tab/>
              <w:t>Pri zostavovaní zoznamu a stanovovaní množstiev podľa odseku 2 členské štáty zohľadnia všetky relevantné faktory, najmä potrebu zabezpečiť</w:t>
            </w:r>
            <w:r w:rsidRPr="0014456E">
              <w:rPr>
                <w:b/>
                <w:i/>
                <w:szCs w:val="20"/>
              </w:rPr>
              <w:t xml:space="preserve"> súlad kompenzácie</w:t>
            </w:r>
            <w:r w:rsidRPr="0014456E">
              <w:rPr>
                <w:szCs w:val="20"/>
              </w:rPr>
              <w:t xml:space="preserve"> s pravidlami SRP.</w:t>
            </w:r>
          </w:p>
        </w:tc>
        <w:tc>
          <w:tcPr>
            <w:tcW w:w="4876" w:type="dxa"/>
          </w:tcPr>
          <w:p w:rsidR="000A6903" w:rsidRPr="0014456E" w:rsidRDefault="000A6903" w:rsidP="000A6903">
            <w:pPr>
              <w:widowControl w:val="0"/>
              <w:spacing w:after="120"/>
              <w:rPr>
                <w:szCs w:val="20"/>
              </w:rPr>
            </w:pPr>
            <w:r w:rsidRPr="0014456E">
              <w:rPr>
                <w:szCs w:val="20"/>
              </w:rPr>
              <w:t>3.</w:t>
            </w:r>
            <w:r w:rsidRPr="0014456E">
              <w:rPr>
                <w:szCs w:val="20"/>
              </w:rPr>
              <w:tab/>
              <w:t>Pri zostavovaní zoznamu a stanovovaní množstiev podľa odseku 2 členské štáty zohľadnia všetky relevantné faktory, najmä potrebu zabezpečiť</w:t>
            </w:r>
            <w:r w:rsidRPr="0014456E">
              <w:rPr>
                <w:b/>
                <w:i/>
                <w:szCs w:val="20"/>
              </w:rPr>
              <w:t>, aby kompenzácia bola v súlade</w:t>
            </w:r>
            <w:r w:rsidRPr="0014456E">
              <w:rPr>
                <w:szCs w:val="20"/>
              </w:rPr>
              <w:t xml:space="preserve"> s pravidlami SRP.</w:t>
            </w:r>
          </w:p>
        </w:tc>
      </w:tr>
    </w:tbl>
    <w:p w:rsidR="000A6903" w:rsidRPr="000A6903" w:rsidRDefault="000A6903" w:rsidP="000A6903">
      <w:r>
        <w:rPr>
          <w:rStyle w:val="HideTWBExt"/>
          <w:noProof w:val="0"/>
        </w:rPr>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69</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Článok 22 – odsek 2 – písmeno 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fr-FR"/>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a)</w:t>
            </w:r>
            <w:r w:rsidRPr="0014456E">
              <w:rPr>
                <w:szCs w:val="20"/>
              </w:rPr>
              <w:tab/>
              <w:t xml:space="preserve">kompenzácie poskytované rybárom za zber strateného rybárskeho výstroja a </w:t>
            </w:r>
            <w:r w:rsidRPr="0014456E">
              <w:rPr>
                <w:szCs w:val="20"/>
              </w:rPr>
              <w:lastRenderedPageBreak/>
              <w:t>morského odpadu z mora;</w:t>
            </w:r>
          </w:p>
        </w:tc>
        <w:tc>
          <w:tcPr>
            <w:tcW w:w="4876" w:type="dxa"/>
          </w:tcPr>
          <w:p w:rsidR="000A6903" w:rsidRPr="0014456E" w:rsidRDefault="000A6903" w:rsidP="000A6903">
            <w:pPr>
              <w:widowControl w:val="0"/>
              <w:spacing w:after="120"/>
              <w:rPr>
                <w:szCs w:val="20"/>
              </w:rPr>
            </w:pPr>
            <w:r w:rsidRPr="0014456E">
              <w:rPr>
                <w:szCs w:val="20"/>
              </w:rPr>
              <w:lastRenderedPageBreak/>
              <w:t>a)</w:t>
            </w:r>
            <w:r w:rsidRPr="0014456E">
              <w:rPr>
                <w:szCs w:val="20"/>
              </w:rPr>
              <w:tab/>
              <w:t xml:space="preserve">kompenzácie poskytované rybárom za zber strateného rybárskeho výstroja </w:t>
            </w:r>
            <w:r w:rsidRPr="0014456E">
              <w:rPr>
                <w:szCs w:val="20"/>
              </w:rPr>
              <w:lastRenderedPageBreak/>
              <w:t>a</w:t>
            </w:r>
            <w:r w:rsidRPr="0014456E">
              <w:rPr>
                <w:b/>
                <w:i/>
                <w:szCs w:val="20"/>
              </w:rPr>
              <w:t> pasívny zber</w:t>
            </w:r>
            <w:r w:rsidRPr="0014456E">
              <w:rPr>
                <w:szCs w:val="20"/>
              </w:rPr>
              <w:t xml:space="preserve"> morského odpadu z mora;</w:t>
            </w:r>
          </w:p>
        </w:tc>
      </w:tr>
    </w:tbl>
    <w:p w:rsidR="000A6903" w:rsidRPr="000A6903" w:rsidRDefault="000A6903" w:rsidP="000A6903">
      <w:r>
        <w:rPr>
          <w:rStyle w:val="HideTWBExt"/>
          <w:noProof w:val="0"/>
        </w:rPr>
        <w:lastRenderedPageBreak/>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70</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Článok 23 – názov</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en-GB"/>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Akvakultúra</w:t>
            </w:r>
          </w:p>
        </w:tc>
        <w:tc>
          <w:tcPr>
            <w:tcW w:w="4876" w:type="dxa"/>
          </w:tcPr>
          <w:p w:rsidR="000A6903" w:rsidRPr="0014456E" w:rsidRDefault="000A6903" w:rsidP="000A6903">
            <w:pPr>
              <w:widowControl w:val="0"/>
              <w:spacing w:after="120"/>
              <w:rPr>
                <w:szCs w:val="20"/>
              </w:rPr>
            </w:pPr>
            <w:r w:rsidRPr="0014456E">
              <w:rPr>
                <w:b/>
                <w:i/>
                <w:szCs w:val="20"/>
              </w:rPr>
              <w:t>Udržateľná</w:t>
            </w:r>
            <w:r w:rsidRPr="0014456E">
              <w:rPr>
                <w:szCs w:val="20"/>
              </w:rPr>
              <w:t xml:space="preserve"> akvakultúra</w:t>
            </w:r>
          </w:p>
        </w:tc>
      </w:tr>
    </w:tbl>
    <w:p w:rsidR="000A6903" w:rsidRPr="000A6903" w:rsidRDefault="000A6903" w:rsidP="000A6903">
      <w:r>
        <w:rPr>
          <w:rStyle w:val="HideTWBExt"/>
          <w:noProof w:val="0"/>
        </w:rPr>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71</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Článok 23 – odsek 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en-GB"/>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1.</w:t>
            </w:r>
            <w:r w:rsidRPr="0014456E">
              <w:rPr>
                <w:szCs w:val="20"/>
              </w:rPr>
              <w:tab/>
              <w:t xml:space="preserve">Z ENRF možno podporovať podporu udržateľnej akvakultúry v zmysle článku 34 ods. 1 nariadenia (EÚ) č. 1380/2013. Okrem toho možno </w:t>
            </w:r>
            <w:r w:rsidRPr="0014456E">
              <w:rPr>
                <w:b/>
                <w:i/>
                <w:szCs w:val="20"/>
              </w:rPr>
              <w:t>podporovať</w:t>
            </w:r>
            <w:r w:rsidRPr="0014456E">
              <w:rPr>
                <w:szCs w:val="20"/>
              </w:rPr>
              <w:t xml:space="preserve"> zdravie a dobré životné podmienky zvierat v akvakultúre v súlade s nariadením Európskeho parlamentu a Rady (EÚ) č. 2016/429</w:t>
            </w:r>
            <w:r w:rsidRPr="0014456E">
              <w:rPr>
                <w:szCs w:val="20"/>
                <w:vertAlign w:val="superscript"/>
              </w:rPr>
              <w:t>32</w:t>
            </w:r>
            <w:r w:rsidRPr="0014456E">
              <w:rPr>
                <w:szCs w:val="20"/>
              </w:rPr>
              <w:t xml:space="preserve"> a nariadením Európskeho parlamentu a Rady (EÚ) č. 652/2014</w:t>
            </w:r>
            <w:r w:rsidRPr="0014456E">
              <w:rPr>
                <w:szCs w:val="20"/>
                <w:vertAlign w:val="superscript"/>
              </w:rPr>
              <w:t>33</w:t>
            </w:r>
            <w:r w:rsidRPr="0014456E">
              <w:rPr>
                <w:szCs w:val="20"/>
              </w:rPr>
              <w:t>.</w:t>
            </w:r>
          </w:p>
        </w:tc>
        <w:tc>
          <w:tcPr>
            <w:tcW w:w="4876" w:type="dxa"/>
          </w:tcPr>
          <w:p w:rsidR="000A6903" w:rsidRPr="0014456E" w:rsidRDefault="000A6903" w:rsidP="000A6903">
            <w:pPr>
              <w:widowControl w:val="0"/>
              <w:spacing w:after="120"/>
              <w:rPr>
                <w:szCs w:val="20"/>
              </w:rPr>
            </w:pPr>
            <w:r w:rsidRPr="0014456E">
              <w:rPr>
                <w:szCs w:val="20"/>
              </w:rPr>
              <w:t>1.</w:t>
            </w:r>
            <w:r w:rsidRPr="0014456E">
              <w:rPr>
                <w:szCs w:val="20"/>
              </w:rPr>
              <w:tab/>
              <w:t xml:space="preserve">Z ENRF možno podporovať podporu udržateľnej akvakultúry v zmysle článku 34 ods. 1 nariadenia (EÚ) č. 1380/2013. Okrem toho možno </w:t>
            </w:r>
            <w:r w:rsidRPr="0014456E">
              <w:rPr>
                <w:b/>
                <w:i/>
                <w:szCs w:val="20"/>
              </w:rPr>
              <w:t>poskytovať podporu na riešenie osobitných problémov v odvetví, ktoré sú spôsobené inváznymi nepôvodnými druhmi, a presadzovať</w:t>
            </w:r>
            <w:r w:rsidRPr="0014456E">
              <w:rPr>
                <w:szCs w:val="20"/>
              </w:rPr>
              <w:t xml:space="preserve"> zdravie a dobré životné podmienky zvierat v akvakultúre v súlade s nariadením Európskeho parlamentu a Rady (EÚ) č. 2016/429</w:t>
            </w:r>
            <w:r w:rsidRPr="0014456E">
              <w:rPr>
                <w:szCs w:val="20"/>
                <w:vertAlign w:val="superscript"/>
              </w:rPr>
              <w:t>32</w:t>
            </w:r>
            <w:r w:rsidRPr="0014456E">
              <w:rPr>
                <w:szCs w:val="20"/>
              </w:rPr>
              <w:t xml:space="preserve"> a nariadením Európskeho parlamentu a Rady (EÚ) č. 652/2014</w:t>
            </w:r>
            <w:r w:rsidRPr="0014456E">
              <w:rPr>
                <w:szCs w:val="20"/>
                <w:vertAlign w:val="superscript"/>
              </w:rPr>
              <w:t>33</w:t>
            </w:r>
            <w:r w:rsidRPr="0014456E">
              <w:rPr>
                <w:szCs w:val="20"/>
              </w:rPr>
              <w:t>.</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_________________</w:t>
            </w:r>
          </w:p>
        </w:tc>
        <w:tc>
          <w:tcPr>
            <w:tcW w:w="4876" w:type="dxa"/>
          </w:tcPr>
          <w:p w:rsidR="000A6903" w:rsidRPr="0014456E" w:rsidRDefault="000A6903" w:rsidP="000A6903">
            <w:pPr>
              <w:widowControl w:val="0"/>
              <w:spacing w:after="120"/>
              <w:rPr>
                <w:szCs w:val="20"/>
              </w:rPr>
            </w:pPr>
            <w:r w:rsidRPr="0014456E">
              <w:rPr>
                <w:szCs w:val="20"/>
              </w:rPr>
              <w:t>_________________</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vertAlign w:val="superscript"/>
              </w:rPr>
              <w:t>32</w:t>
            </w:r>
            <w:r w:rsidRPr="0014456E">
              <w:rPr>
                <w:szCs w:val="20"/>
              </w:rPr>
              <w:t xml:space="preserve"> Nariadenie Európskeho parlamentu a Rady (EÚ) č. 2016/429 z 9. marca 2016 o prenosných chorobách zvierat a o zmene a zrušení niektorých zákonov v oblasti zdravia zvierat („právna úprava v oblasti zdravia zvierat“) (Ú. v. EÚ L 84, 31.3.2016, s. 1).</w:t>
            </w:r>
          </w:p>
        </w:tc>
        <w:tc>
          <w:tcPr>
            <w:tcW w:w="4876" w:type="dxa"/>
          </w:tcPr>
          <w:p w:rsidR="000A6903" w:rsidRPr="0014456E" w:rsidRDefault="000A6903" w:rsidP="000A6903">
            <w:pPr>
              <w:widowControl w:val="0"/>
              <w:spacing w:after="120"/>
              <w:rPr>
                <w:szCs w:val="20"/>
              </w:rPr>
            </w:pPr>
            <w:r w:rsidRPr="0014456E">
              <w:rPr>
                <w:szCs w:val="20"/>
                <w:vertAlign w:val="superscript"/>
              </w:rPr>
              <w:t>32</w:t>
            </w:r>
            <w:r w:rsidRPr="0014456E">
              <w:rPr>
                <w:szCs w:val="20"/>
              </w:rPr>
              <w:t xml:space="preserve"> Nariadenie Európskeho parlamentu a Rady (EÚ) č. 2016/429 z 9. marca 2016 o prenosných chorobách zvierat a o zmene a zrušení niektorých zákonov v oblasti zdravia zvierat („právna úprava v oblasti zdravia zvierat“) (Ú. v. EÚ L 84, 31.3.2016, s. 1).</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vertAlign w:val="superscript"/>
              </w:rPr>
              <w:t>33</w:t>
            </w:r>
            <w:r w:rsidRPr="0014456E">
              <w:rPr>
                <w:szCs w:val="20"/>
              </w:rPr>
              <w:t xml:space="preserve"> Nariadenie Európskeho parlamentu a Rady (EÚ) č. 652/2014 z 15. mája 2014, ktorým sa stanovuje hospodárenie s výdavkami týkajúcimi sa potravinového reťazca, zdravia a dobrých životných podmienok zvierat, ako aj zdravia rastlín a </w:t>
            </w:r>
            <w:r w:rsidRPr="0014456E">
              <w:rPr>
                <w:szCs w:val="20"/>
              </w:rPr>
              <w:lastRenderedPageBreak/>
              <w:t>rastlinného rozmnožovacieho materiálu a ktorým sa menia smernice Rady 98/56/ES, 2000/29/ES a 2008/90/ES, nariadenia Európskeho parlamentu a Rady (ES) č. 178/2002, (ES) č. 882/2004 a (ES) č. 396/2005, smernica Európskeho parlamentu a Rady 2009/128/ES a nariadenie Európskeho parlamentu a Rady (ES) č. 1107/2009 a zrušujú rozhodnutia Rady 66/399/EHS, 76/894/EHS a 2009/470/ES (Ú. v. ES L 189, 27.6.2014, s. 1).</w:t>
            </w:r>
          </w:p>
        </w:tc>
        <w:tc>
          <w:tcPr>
            <w:tcW w:w="4876" w:type="dxa"/>
          </w:tcPr>
          <w:p w:rsidR="000A6903" w:rsidRPr="0014456E" w:rsidRDefault="000A6903" w:rsidP="000A6903">
            <w:pPr>
              <w:widowControl w:val="0"/>
              <w:spacing w:after="120"/>
              <w:rPr>
                <w:szCs w:val="20"/>
              </w:rPr>
            </w:pPr>
            <w:r w:rsidRPr="0014456E">
              <w:rPr>
                <w:szCs w:val="20"/>
                <w:vertAlign w:val="superscript"/>
              </w:rPr>
              <w:lastRenderedPageBreak/>
              <w:t>33</w:t>
            </w:r>
            <w:r w:rsidRPr="0014456E">
              <w:rPr>
                <w:szCs w:val="20"/>
              </w:rPr>
              <w:t xml:space="preserve"> Nariadenie Európskeho parlamentu a Rady (EÚ) č. 652/2014 z 15. mája 2014, ktorým sa stanovuje hospodárenie s výdavkami týkajúcimi sa potravinového reťazca, zdravia a dobrých životných podmienok zvierat, ako aj zdravia rastlín a </w:t>
            </w:r>
            <w:r w:rsidRPr="0014456E">
              <w:rPr>
                <w:szCs w:val="20"/>
              </w:rPr>
              <w:lastRenderedPageBreak/>
              <w:t>rastlinného rozmnožovacieho materiálu a ktorým sa menia smernice Rady 98/56/ES, 2000/29/ES a 2008/90/ES, nariadenia Európskeho parlamentu a Rady (ES) č. 178/2002, (ES) č. 882/2004 a (ES) č. 396/2005, smernica Európskeho parlamentu a Rady 2009/128/ES a nariadenie Európskeho parlamentu a Rady (ES) č. 1107/2009 a zrušujú rozhodnutia Rady 66/399/EHS, 76/894/EHS a 2009/470/ES (Ú. v. ES L 189, 27.6.2014, s. 1).</w:t>
            </w:r>
          </w:p>
        </w:tc>
      </w:tr>
    </w:tbl>
    <w:p w:rsidR="000A6903" w:rsidRPr="000A6903" w:rsidRDefault="000A6903" w:rsidP="000A6903">
      <w:pPr>
        <w:keepNext/>
        <w:widowControl w:val="0"/>
        <w:spacing w:before="240" w:after="240"/>
        <w:jc w:val="center"/>
        <w:rPr>
          <w:i/>
          <w:szCs w:val="20"/>
        </w:rPr>
      </w:pPr>
      <w:r>
        <w:rPr>
          <w:rStyle w:val="HideTWBExt"/>
          <w:noProof w:val="0"/>
        </w:rPr>
        <w:lastRenderedPageBreak/>
        <w:t>&lt;TitreJust&gt;</w:t>
      </w:r>
      <w:r w:rsidRPr="0014456E">
        <w:rPr>
          <w:i/>
          <w:szCs w:val="20"/>
        </w:rPr>
        <w:t>Odôvodnenie</w:t>
      </w:r>
      <w:r>
        <w:rPr>
          <w:rStyle w:val="HideTWBExt"/>
          <w:noProof w:val="0"/>
        </w:rPr>
        <w:t>&lt;/TitreJust&gt;</w:t>
      </w:r>
    </w:p>
    <w:p w:rsidR="000A6903" w:rsidRPr="000A6903" w:rsidRDefault="000A6903" w:rsidP="000A6903">
      <w:pPr>
        <w:widowControl w:val="0"/>
        <w:spacing w:after="240"/>
        <w:rPr>
          <w:i/>
          <w:szCs w:val="20"/>
        </w:rPr>
      </w:pPr>
      <w:r>
        <w:rPr>
          <w:i/>
          <w:szCs w:val="20"/>
        </w:rPr>
        <w:t>V súlade s uznesením Európskeho parlamentu z 12. júna 2018 o vytváraní udržateľného a konkurencieschopného európskeho odvetvia akvakultúry: súčasný stav a budúce výzvy (2017/2118(INI)), a to aj pokiaľ ide o invázny nepôvodný druh morského slimáka Ocenebra inornata a herpetický vírus ustríc.</w:t>
      </w:r>
    </w:p>
    <w:p w:rsidR="000A6903" w:rsidRPr="000A6903" w:rsidRDefault="000A6903" w:rsidP="000A6903">
      <w:r>
        <w:rPr>
          <w:rStyle w:val="HideTWBExt"/>
          <w:noProof w:val="0"/>
        </w:rPr>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72</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Článok 24 – odsek 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en-GB"/>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Z ENRF možno podporovať akcie, ktoré prispievajú k dosahovaniu cieľov spoločnej organizácie trhov s produktmi rybolovu a akvakultúry, ktoré sú stanovené v článku 35 nariadenia (EÚ) č. 1380/2013 a podrobnejšie špecifikované v nariadení (ES) č. 1379/2013. Okrem toho z neho možno podporovať aj akcie na podporu obchodovania s produktmi rybolovu a akvakultúry, ich kvality a pridanej hodnoty.</w:t>
            </w:r>
          </w:p>
        </w:tc>
        <w:tc>
          <w:tcPr>
            <w:tcW w:w="4876" w:type="dxa"/>
          </w:tcPr>
          <w:p w:rsidR="000A6903" w:rsidRPr="0014456E" w:rsidRDefault="000A6903" w:rsidP="000A6903">
            <w:pPr>
              <w:widowControl w:val="0"/>
              <w:spacing w:after="120"/>
              <w:rPr>
                <w:szCs w:val="20"/>
              </w:rPr>
            </w:pPr>
            <w:r w:rsidRPr="0014456E">
              <w:rPr>
                <w:szCs w:val="20"/>
              </w:rPr>
              <w:t>Z ENRF možno podporovať akcie, ktoré prispievajú k dosahovaniu cieľov spoločnej organizácie trhov s produktmi rybolovu a akvakultúry, ktoré sú stanovené v článku 35 nariadenia (EÚ) č. 1380/2013 a podrobnejšie špecifikované v nariadení (ES) č. 1379/2013. Okrem toho z neho možno podporovať aj akcie na podporu obchodovania s produktmi rybolovu a </w:t>
            </w:r>
            <w:r w:rsidRPr="0014456E">
              <w:rPr>
                <w:b/>
                <w:i/>
                <w:szCs w:val="20"/>
              </w:rPr>
              <w:t xml:space="preserve">udržateľnej </w:t>
            </w:r>
            <w:r w:rsidRPr="0014456E">
              <w:rPr>
                <w:szCs w:val="20"/>
              </w:rPr>
              <w:t>akvakultúry, ich kvality a pridanej hodnoty.</w:t>
            </w:r>
          </w:p>
        </w:tc>
      </w:tr>
    </w:tbl>
    <w:p w:rsidR="000A6903" w:rsidRPr="000A6903" w:rsidRDefault="000A6903" w:rsidP="000A6903">
      <w:r>
        <w:rPr>
          <w:rStyle w:val="HideTWBExt"/>
          <w:noProof w:val="0"/>
        </w:rPr>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73</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Článok 25 – odsek 2</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en-GB"/>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lastRenderedPageBreak/>
              <w:t>2.</w:t>
            </w:r>
            <w:r w:rsidRPr="0014456E">
              <w:rPr>
                <w:szCs w:val="20"/>
              </w:rPr>
              <w:tab/>
            </w:r>
            <w:r w:rsidRPr="0014456E">
              <w:rPr>
                <w:b/>
                <w:i/>
                <w:szCs w:val="20"/>
              </w:rPr>
              <w:t>Produktívne investície do akvakultúry</w:t>
            </w:r>
            <w:r w:rsidRPr="0014456E">
              <w:rPr>
                <w:szCs w:val="20"/>
              </w:rPr>
              <w:t xml:space="preserve"> podľa tohto článku možno </w:t>
            </w:r>
            <w:r w:rsidRPr="0014456E">
              <w:rPr>
                <w:b/>
                <w:i/>
                <w:szCs w:val="20"/>
              </w:rPr>
              <w:t>podporovať</w:t>
            </w:r>
            <w:r w:rsidRPr="0014456E">
              <w:rPr>
                <w:szCs w:val="20"/>
              </w:rPr>
              <w:t xml:space="preserve"> len prostredníctvom finančných nástrojov stanovených v článku 52 nariadenia (EÚ) č. [nariadenie, ktorým sa stanovujú spoločné ustanovenia] a prostredníctvom programu InvestEU v súlade s článkom 10 daného nariadenia.</w:t>
            </w:r>
          </w:p>
        </w:tc>
        <w:tc>
          <w:tcPr>
            <w:tcW w:w="4876" w:type="dxa"/>
          </w:tcPr>
          <w:p w:rsidR="000A6903" w:rsidRPr="0014456E" w:rsidRDefault="000A6903" w:rsidP="000A6903">
            <w:pPr>
              <w:widowControl w:val="0"/>
              <w:spacing w:after="120"/>
              <w:rPr>
                <w:szCs w:val="20"/>
              </w:rPr>
            </w:pPr>
            <w:r w:rsidRPr="0014456E">
              <w:rPr>
                <w:szCs w:val="20"/>
              </w:rPr>
              <w:t>2.</w:t>
            </w:r>
            <w:r w:rsidRPr="0014456E">
              <w:rPr>
                <w:szCs w:val="20"/>
              </w:rPr>
              <w:tab/>
            </w:r>
            <w:r w:rsidRPr="0014456E">
              <w:rPr>
                <w:b/>
                <w:i/>
                <w:szCs w:val="20"/>
              </w:rPr>
              <w:t>Podporu</w:t>
            </w:r>
            <w:r w:rsidRPr="0014456E">
              <w:rPr>
                <w:szCs w:val="20"/>
              </w:rPr>
              <w:t xml:space="preserve"> podľa tohto článku možno </w:t>
            </w:r>
            <w:r w:rsidRPr="0014456E">
              <w:rPr>
                <w:b/>
                <w:i/>
                <w:szCs w:val="20"/>
              </w:rPr>
              <w:t>udeľovať</w:t>
            </w:r>
            <w:r w:rsidRPr="0014456E">
              <w:rPr>
                <w:szCs w:val="20"/>
              </w:rPr>
              <w:t xml:space="preserve"> len</w:t>
            </w:r>
            <w:r w:rsidRPr="0014456E">
              <w:rPr>
                <w:b/>
                <w:i/>
                <w:szCs w:val="20"/>
              </w:rPr>
              <w:t xml:space="preserve"> maloobjemovým pobrežným rybným hospodárstvam</w:t>
            </w:r>
            <w:r w:rsidRPr="0014456E">
              <w:rPr>
                <w:szCs w:val="20"/>
              </w:rPr>
              <w:t xml:space="preserve"> prostredníctvom finančných nástrojov stanovených v článku 52 nariadenia (EÚ) č. [nariadenie, ktorým sa stanovujú spoločné ustanovenia] a prostredníctvom programu InvestEU v súlade s článkom 10 daného nariadenia.</w:t>
            </w:r>
          </w:p>
        </w:tc>
      </w:tr>
    </w:tbl>
    <w:p w:rsidR="000A6903" w:rsidRPr="000A6903" w:rsidRDefault="000A6903" w:rsidP="000A6903">
      <w:r>
        <w:rPr>
          <w:rStyle w:val="HideTWBExt"/>
          <w:noProof w:val="0"/>
        </w:rPr>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74</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Názov 2 – kapitola 4 – názov</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en-GB"/>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 xml:space="preserve">Priorita 3: Umožnenie </w:t>
            </w:r>
            <w:r w:rsidRPr="0014456E">
              <w:rPr>
                <w:b/>
                <w:i/>
                <w:szCs w:val="20"/>
              </w:rPr>
              <w:t xml:space="preserve">rastu </w:t>
            </w:r>
            <w:r w:rsidRPr="0014456E">
              <w:rPr>
                <w:szCs w:val="20"/>
              </w:rPr>
              <w:t>udržateľného modrého hospodárstva a podpora prosperujúcich pobrežných komunít</w:t>
            </w:r>
          </w:p>
        </w:tc>
        <w:tc>
          <w:tcPr>
            <w:tcW w:w="4876" w:type="dxa"/>
          </w:tcPr>
          <w:p w:rsidR="000A6903" w:rsidRPr="0014456E" w:rsidRDefault="000A6903" w:rsidP="000A6903">
            <w:pPr>
              <w:widowControl w:val="0"/>
              <w:spacing w:after="120"/>
              <w:rPr>
                <w:szCs w:val="20"/>
              </w:rPr>
            </w:pPr>
            <w:r w:rsidRPr="0014456E">
              <w:rPr>
                <w:szCs w:val="20"/>
              </w:rPr>
              <w:t xml:space="preserve">Priorita 3: Umožnenie udržateľného modrého hospodárstva </w:t>
            </w:r>
            <w:r w:rsidRPr="0014456E">
              <w:rPr>
                <w:b/>
                <w:i/>
                <w:szCs w:val="20"/>
              </w:rPr>
              <w:t>v</w:t>
            </w:r>
            <w:r w:rsidRPr="0014456E">
              <w:rPr>
                <w:szCs w:val="20"/>
              </w:rPr>
              <w:t> </w:t>
            </w:r>
            <w:r w:rsidRPr="0014456E">
              <w:rPr>
                <w:b/>
                <w:i/>
                <w:szCs w:val="20"/>
              </w:rPr>
              <w:t>medziach ekologických limitov</w:t>
            </w:r>
            <w:r w:rsidRPr="0014456E">
              <w:rPr>
                <w:szCs w:val="20"/>
              </w:rPr>
              <w:t xml:space="preserve"> a podpora prosperujúcich pobrežných komunít</w:t>
            </w:r>
          </w:p>
        </w:tc>
      </w:tr>
    </w:tbl>
    <w:p w:rsidR="000A6903" w:rsidRPr="000A6903" w:rsidRDefault="000A6903" w:rsidP="000A6903">
      <w:r>
        <w:rPr>
          <w:rStyle w:val="HideTWBExt"/>
          <w:noProof w:val="0"/>
        </w:rPr>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75</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Článok 27 – odsek 1 – úvodná časť</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fr-FR"/>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Z ENRF možno podporovať zber, správu a využívanie údajov na účely prehĺbenia poznatkov o stave morského prostredia s cieľom:</w:t>
            </w:r>
          </w:p>
        </w:tc>
        <w:tc>
          <w:tcPr>
            <w:tcW w:w="4876" w:type="dxa"/>
          </w:tcPr>
          <w:p w:rsidR="000A6903" w:rsidRPr="0014456E" w:rsidRDefault="000A6903" w:rsidP="000A6903">
            <w:pPr>
              <w:widowControl w:val="0"/>
              <w:spacing w:after="120"/>
              <w:rPr>
                <w:szCs w:val="20"/>
              </w:rPr>
            </w:pPr>
            <w:r w:rsidRPr="0014456E">
              <w:rPr>
                <w:szCs w:val="20"/>
              </w:rPr>
              <w:t>Z ENRF možno podporovať zber, správu</w:t>
            </w:r>
            <w:r w:rsidRPr="0014456E">
              <w:rPr>
                <w:b/>
                <w:i/>
                <w:szCs w:val="20"/>
              </w:rPr>
              <w:t>, analýzu, spracúvanie</w:t>
            </w:r>
            <w:r w:rsidRPr="0014456E">
              <w:rPr>
                <w:szCs w:val="20"/>
              </w:rPr>
              <w:t xml:space="preserve"> a využívanie údajov na účely prehĺbenia poznatkov o stave morského prostredia s cieľom:</w:t>
            </w:r>
          </w:p>
        </w:tc>
      </w:tr>
    </w:tbl>
    <w:p w:rsidR="000A6903" w:rsidRPr="000A6903" w:rsidRDefault="000A6903" w:rsidP="000A6903">
      <w:r>
        <w:rPr>
          <w:rStyle w:val="HideTWBExt"/>
          <w:noProof w:val="0"/>
        </w:rPr>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76</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Článok 33 – odsek 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en-GB"/>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1.</w:t>
            </w:r>
            <w:r w:rsidRPr="0014456E">
              <w:rPr>
                <w:szCs w:val="20"/>
              </w:rPr>
              <w:tab/>
              <w:t xml:space="preserve">V prípade, že existuje dôkaz o tom, že členský štát nedodržal pravidlá platné v rámci SRP, a toto nedodržanie pravidiel môže mať vplyv na výdavky uvedené v žiadosti o platbu, pre ktoré sa požaduje priebežná platba, Komisia v súlade s </w:t>
            </w:r>
            <w:r w:rsidRPr="0014456E">
              <w:rPr>
                <w:szCs w:val="20"/>
              </w:rPr>
              <w:lastRenderedPageBreak/>
              <w:t>článkom 90 ods. 4 nariadenia (EÚ) č. [všeobecné nariadenie] môže Komisia prerušiť lehotu na platbu pre žiadosť o priebežnú platbu alebo jej časť.</w:t>
            </w:r>
          </w:p>
        </w:tc>
        <w:tc>
          <w:tcPr>
            <w:tcW w:w="4876" w:type="dxa"/>
          </w:tcPr>
          <w:p w:rsidR="000A6903" w:rsidRPr="0014456E" w:rsidRDefault="000A6903" w:rsidP="000A6903">
            <w:pPr>
              <w:widowControl w:val="0"/>
              <w:spacing w:after="120"/>
              <w:rPr>
                <w:szCs w:val="20"/>
              </w:rPr>
            </w:pPr>
            <w:r w:rsidRPr="0014456E">
              <w:rPr>
                <w:szCs w:val="20"/>
              </w:rPr>
              <w:lastRenderedPageBreak/>
              <w:t>1.</w:t>
            </w:r>
            <w:r w:rsidRPr="0014456E">
              <w:rPr>
                <w:szCs w:val="20"/>
              </w:rPr>
              <w:tab/>
              <w:t>V prípade, že existuje dôkaz o tom, že členský štát nedodržal pravidlá platné v rámci SRP</w:t>
            </w:r>
            <w:r w:rsidRPr="0014456E">
              <w:rPr>
                <w:b/>
                <w:i/>
                <w:szCs w:val="20"/>
              </w:rPr>
              <w:t xml:space="preserve"> alebo relevantného environmentálneho práva Únie</w:t>
            </w:r>
            <w:r w:rsidRPr="0014456E">
              <w:rPr>
                <w:szCs w:val="20"/>
              </w:rPr>
              <w:t xml:space="preserve">, a toto nedodržanie pravidiel môže mať vplyv na výdavky uvedené v žiadosti o platbu, pre </w:t>
            </w:r>
            <w:r w:rsidRPr="0014456E">
              <w:rPr>
                <w:szCs w:val="20"/>
              </w:rPr>
              <w:lastRenderedPageBreak/>
              <w:t>ktoré sa požaduje priebežná platba, Komisia v súlade s článkom 90 ods. 4 nariadenia (EÚ) č. [všeobecné nariadenie] môže Komisia prerušiť lehotu na platbu pre žiadosť o priebežnú platbu alebo jej časť.</w:t>
            </w:r>
          </w:p>
        </w:tc>
      </w:tr>
    </w:tbl>
    <w:p w:rsidR="000A6903" w:rsidRPr="000A6903" w:rsidRDefault="000A6903" w:rsidP="000A6903">
      <w:r>
        <w:rPr>
          <w:rStyle w:val="HideTWBExt"/>
          <w:noProof w:val="0"/>
        </w:rPr>
        <w:lastRenderedPageBreak/>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77</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Článok 34 – odsek 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en-GB"/>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1.</w:t>
            </w:r>
            <w:r w:rsidRPr="0014456E">
              <w:rPr>
                <w:szCs w:val="20"/>
              </w:rPr>
              <w:tab/>
              <w:t>V prípade, že sa členský štát dopustí závažného nedodržania pravidiel platných v rámci SRP a toto závažné nedodržanie pravidiel môže mať vplyv na výdavky uvedené v žiadosti o platbu, pre ktoré sa požaduje priebežná platba, Komisia v súlade s článkom 91 ods. 3 nariadenia (EÚ) č. [všeobecné nariadenie] môže prijať vykonávacie akty, ktorými sa úplne alebo čiastočne pozastavia priebežné platby v rámci programu.</w:t>
            </w:r>
          </w:p>
        </w:tc>
        <w:tc>
          <w:tcPr>
            <w:tcW w:w="4876" w:type="dxa"/>
          </w:tcPr>
          <w:p w:rsidR="000A6903" w:rsidRPr="0014456E" w:rsidRDefault="000A6903" w:rsidP="000A6903">
            <w:pPr>
              <w:widowControl w:val="0"/>
              <w:spacing w:after="120"/>
              <w:rPr>
                <w:szCs w:val="20"/>
              </w:rPr>
            </w:pPr>
            <w:r w:rsidRPr="0014456E">
              <w:rPr>
                <w:szCs w:val="20"/>
              </w:rPr>
              <w:t>1.</w:t>
            </w:r>
            <w:r w:rsidRPr="0014456E">
              <w:rPr>
                <w:szCs w:val="20"/>
              </w:rPr>
              <w:tab/>
              <w:t xml:space="preserve">V prípade, že sa členský štát dopustí závažného nedodržania pravidiel platných v rámci SRP </w:t>
            </w:r>
            <w:r w:rsidRPr="0014456E">
              <w:rPr>
                <w:b/>
                <w:i/>
                <w:szCs w:val="20"/>
              </w:rPr>
              <w:t xml:space="preserve">alebo relevantného environmentálneho práva Únie </w:t>
            </w:r>
            <w:r w:rsidRPr="0014456E">
              <w:rPr>
                <w:szCs w:val="20"/>
              </w:rPr>
              <w:t>a toto závažné nedodržanie pravidiel môže mať vplyv na výdavky uvedené v žiadosti o platbu, pre ktoré sa požaduje priebežná platba, Komisia v súlade s článkom 91 ods. 3 nariadenia (EÚ) č. [všeobecné nariadenie] môže prijať vykonávacie akty, ktorými sa úplne alebo čiastočne pozastavia priebežné platby v rámci programu.</w:t>
            </w:r>
          </w:p>
        </w:tc>
      </w:tr>
    </w:tbl>
    <w:p w:rsidR="000A6903" w:rsidRPr="000A6903" w:rsidRDefault="000A6903" w:rsidP="000A6903">
      <w:r>
        <w:rPr>
          <w:rStyle w:val="HideTWBExt"/>
          <w:noProof w:val="0"/>
        </w:rPr>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78</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Článok 36 – odsek 1 – písmeno b</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fr-FR"/>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(b)</w:t>
            </w:r>
            <w:r w:rsidRPr="0014456E">
              <w:rPr>
                <w:szCs w:val="20"/>
              </w:rPr>
              <w:tab/>
              <w:t>žiadosti o platbu sú ovplyvnené prípadmi, keď sa členský štát dopustil závažného nedodržania pravidiel SRP, ktoré viedli k pozastaveniu platby podľa článku 34, a dotknutý členský štát stále nevie preukázať, že prijal potrebné nápravné opatrenia na zabezpečenie dodržiavania a presadzovania uplatniteľných pravidiel v budúcnosti.</w:t>
            </w:r>
          </w:p>
        </w:tc>
        <w:tc>
          <w:tcPr>
            <w:tcW w:w="4876" w:type="dxa"/>
          </w:tcPr>
          <w:p w:rsidR="000A6903" w:rsidRPr="0014456E" w:rsidRDefault="000A6903" w:rsidP="000A6903">
            <w:pPr>
              <w:widowControl w:val="0"/>
              <w:spacing w:after="120"/>
              <w:rPr>
                <w:szCs w:val="20"/>
              </w:rPr>
            </w:pPr>
            <w:r w:rsidRPr="0014456E">
              <w:rPr>
                <w:szCs w:val="20"/>
              </w:rPr>
              <w:t>(b)</w:t>
            </w:r>
            <w:r w:rsidRPr="0014456E">
              <w:rPr>
                <w:szCs w:val="20"/>
              </w:rPr>
              <w:tab/>
              <w:t>žiadosti o platbu sú ovplyvnené prípadmi, keď sa členský štát dopustil závažného nedodržania pravidiel SRP</w:t>
            </w:r>
            <w:r w:rsidRPr="0014456E">
              <w:rPr>
                <w:b/>
                <w:i/>
                <w:szCs w:val="20"/>
              </w:rPr>
              <w:t xml:space="preserve"> alebo relevantného environmentálneho práva Únie</w:t>
            </w:r>
            <w:r w:rsidRPr="0014456E">
              <w:rPr>
                <w:szCs w:val="20"/>
              </w:rPr>
              <w:t>, ktoré viedli k pozastaveniu platby podľa článku 34, a dotknutý členský štát stále nevie preukázať, že prijal potrebné nápravné opatrenia na zabezpečenie dodržiavania a presadzovania uplatniteľných pravidiel v budúcnosti.</w:t>
            </w:r>
          </w:p>
        </w:tc>
      </w:tr>
    </w:tbl>
    <w:p w:rsidR="000A6903" w:rsidRPr="000A6903" w:rsidRDefault="000A6903" w:rsidP="000A6903">
      <w:r>
        <w:rPr>
          <w:rStyle w:val="HideTWBExt"/>
          <w:noProof w:val="0"/>
        </w:rPr>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lastRenderedPageBreak/>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79</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Článok 36 – odsek 2</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en-GB"/>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2.</w:t>
            </w:r>
            <w:r w:rsidRPr="0014456E">
              <w:rPr>
                <w:szCs w:val="20"/>
              </w:rPr>
              <w:tab/>
              <w:t>Komisia pri rozhodnutí o výške opravy zohľadní povahu, závažnosť, trvanie a opakovaný výskyt závažného nedodržania pravidiel SRP zo strany členského štátu alebo prijímateľa, a výšku príspevku z ENRF na hospodársku činnosť dotknutého prijímateľa.</w:t>
            </w:r>
          </w:p>
        </w:tc>
        <w:tc>
          <w:tcPr>
            <w:tcW w:w="4876" w:type="dxa"/>
          </w:tcPr>
          <w:p w:rsidR="000A6903" w:rsidRPr="0014456E" w:rsidRDefault="000A6903" w:rsidP="000A6903">
            <w:pPr>
              <w:widowControl w:val="0"/>
              <w:spacing w:after="120"/>
              <w:rPr>
                <w:szCs w:val="20"/>
              </w:rPr>
            </w:pPr>
            <w:r w:rsidRPr="0014456E">
              <w:rPr>
                <w:szCs w:val="20"/>
              </w:rPr>
              <w:t>2.</w:t>
            </w:r>
            <w:r w:rsidRPr="0014456E">
              <w:rPr>
                <w:szCs w:val="20"/>
              </w:rPr>
              <w:tab/>
              <w:t xml:space="preserve">Komisia pri rozhodnutí o výške opravy zohľadní povahu, závažnosť, trvanie a opakovaný výskyt závažného nedodržania pravidiel SRP </w:t>
            </w:r>
            <w:r w:rsidRPr="0014456E">
              <w:rPr>
                <w:b/>
                <w:i/>
                <w:szCs w:val="20"/>
              </w:rPr>
              <w:t xml:space="preserve">alebo relevantného environmentálneho práva Únie </w:t>
            </w:r>
            <w:r w:rsidRPr="0014456E">
              <w:rPr>
                <w:szCs w:val="20"/>
              </w:rPr>
              <w:t>zo strany členského štátu alebo prijímateľa, a výšku príspevku z ENRF na hospodársku činnosť dotknutého prijímateľa.</w:t>
            </w:r>
          </w:p>
        </w:tc>
      </w:tr>
    </w:tbl>
    <w:p w:rsidR="000A6903" w:rsidRPr="000A6903" w:rsidRDefault="000A6903" w:rsidP="000A6903">
      <w:r>
        <w:rPr>
          <w:rStyle w:val="HideTWBExt"/>
          <w:noProof w:val="0"/>
        </w:rPr>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80</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Článok 36 – odsek 3</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en-GB"/>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3.</w:t>
            </w:r>
            <w:r w:rsidRPr="0014456E">
              <w:rPr>
                <w:szCs w:val="20"/>
              </w:rPr>
              <w:tab/>
              <w:t>V prípade, že nie je možné presne vyčísliť výšku výdavkov súvisiacich s nedodržaním pravidiel SRP zo strany členského štátu, Komisia uplatní paušálnu sadzbu alebo extrapolovanú finančnú opravu v súlade s odsekom 4.</w:t>
            </w:r>
          </w:p>
        </w:tc>
        <w:tc>
          <w:tcPr>
            <w:tcW w:w="4876" w:type="dxa"/>
          </w:tcPr>
          <w:p w:rsidR="000A6903" w:rsidRPr="0014456E" w:rsidRDefault="000A6903" w:rsidP="000A6903">
            <w:pPr>
              <w:widowControl w:val="0"/>
              <w:spacing w:after="120"/>
              <w:rPr>
                <w:szCs w:val="20"/>
              </w:rPr>
            </w:pPr>
            <w:r w:rsidRPr="0014456E">
              <w:rPr>
                <w:szCs w:val="20"/>
              </w:rPr>
              <w:t>3.</w:t>
            </w:r>
            <w:r w:rsidRPr="0014456E">
              <w:rPr>
                <w:szCs w:val="20"/>
              </w:rPr>
              <w:tab/>
              <w:t xml:space="preserve">V prípade, že nie je možné presne vyčísliť výšku výdavkov súvisiacich s nedodržaním pravidiel SRP </w:t>
            </w:r>
            <w:r w:rsidRPr="0014456E">
              <w:rPr>
                <w:b/>
                <w:i/>
                <w:szCs w:val="20"/>
              </w:rPr>
              <w:t xml:space="preserve">alebo relevantného environmentálneho práva Únie </w:t>
            </w:r>
            <w:r w:rsidRPr="0014456E">
              <w:rPr>
                <w:szCs w:val="20"/>
              </w:rPr>
              <w:t>zo strany členského štátu, Komisia uplatní paušálnu sadzbu alebo extrapolovanú finančnú opravu v súlade s odsekom 4.</w:t>
            </w:r>
          </w:p>
        </w:tc>
      </w:tr>
    </w:tbl>
    <w:p w:rsidR="000A6903" w:rsidRPr="000A6903" w:rsidRDefault="000A6903" w:rsidP="000A6903">
      <w:r>
        <w:rPr>
          <w:rStyle w:val="HideTWBExt"/>
          <w:noProof w:val="0"/>
        </w:rPr>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81</w:t>
      </w:r>
      <w:r>
        <w:rPr>
          <w:rStyle w:val="HideTWBExt"/>
          <w:noProof w:val="0"/>
        </w:rPr>
        <w:t>&lt;/NumAm&gt;</w:t>
      </w:r>
    </w:p>
    <w:p w:rsidR="000A6903" w:rsidRPr="000A6903" w:rsidRDefault="000A6903" w:rsidP="000A6903">
      <w:pPr>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Článok 43 – odsek 1 – písmeno 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fr-FR"/>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a)</w:t>
            </w:r>
            <w:r w:rsidRPr="0014456E">
              <w:rPr>
                <w:szCs w:val="20"/>
              </w:rPr>
              <w:tab/>
              <w:t>podpory udržateľného nízkouhlíkového modrého hospodárstva odolného voči zmene klímy;</w:t>
            </w:r>
          </w:p>
        </w:tc>
        <w:tc>
          <w:tcPr>
            <w:tcW w:w="4876" w:type="dxa"/>
          </w:tcPr>
          <w:p w:rsidR="000A6903" w:rsidRPr="0014456E" w:rsidRDefault="000A6903" w:rsidP="000A6903">
            <w:pPr>
              <w:widowControl w:val="0"/>
              <w:spacing w:after="120"/>
              <w:rPr>
                <w:szCs w:val="20"/>
              </w:rPr>
            </w:pPr>
            <w:r w:rsidRPr="0014456E">
              <w:rPr>
                <w:szCs w:val="20"/>
              </w:rPr>
              <w:t>a)</w:t>
            </w:r>
            <w:r w:rsidRPr="0014456E">
              <w:rPr>
                <w:szCs w:val="20"/>
              </w:rPr>
              <w:tab/>
              <w:t>podpory udržateľného nízkouhlíkového modrého hospodárstva odolného voči zmene klímy</w:t>
            </w:r>
            <w:r w:rsidRPr="0014456E">
              <w:rPr>
                <w:b/>
                <w:i/>
                <w:szCs w:val="20"/>
              </w:rPr>
              <w:t>, ktoré sa rozvíja v medziach ekologických limitov</w:t>
            </w:r>
            <w:r w:rsidRPr="0014456E">
              <w:rPr>
                <w:szCs w:val="20"/>
              </w:rPr>
              <w:t>;</w:t>
            </w:r>
          </w:p>
        </w:tc>
      </w:tr>
    </w:tbl>
    <w:p w:rsidR="000A6903" w:rsidRPr="000A6903" w:rsidRDefault="000A6903" w:rsidP="000A6903">
      <w:r>
        <w:rPr>
          <w:rStyle w:val="HideTWBExt"/>
          <w:noProof w:val="0"/>
        </w:rPr>
        <w:t>&lt;/Amend&gt;</w:t>
      </w:r>
    </w:p>
    <w:p w:rsidR="000A6903" w:rsidRPr="000A6903" w:rsidRDefault="000A6903" w:rsidP="000A690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82</w:t>
      </w:r>
      <w:r>
        <w:rPr>
          <w:rStyle w:val="HideTWBExt"/>
          <w:noProof w:val="0"/>
        </w:rPr>
        <w:t>&lt;/NumAm&gt;</w:t>
      </w:r>
    </w:p>
    <w:p w:rsidR="000A6903" w:rsidRPr="000A6903" w:rsidRDefault="000A6903" w:rsidP="000A6903">
      <w:pPr>
        <w:widowControl w:val="0"/>
        <w:spacing w:before="240"/>
        <w:rPr>
          <w:b/>
          <w:szCs w:val="20"/>
        </w:rPr>
      </w:pPr>
      <w:r>
        <w:rPr>
          <w:rStyle w:val="HideTWBExt"/>
          <w:noProof w:val="0"/>
        </w:rPr>
        <w:lastRenderedPageBreak/>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Článok 43 – odsek 1 – písmeno d</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A6903" w:rsidRPr="000A6903" w:rsidTr="009E1AE8">
        <w:trPr>
          <w:trHeight w:hRule="exact" w:val="240"/>
          <w:jc w:val="center"/>
        </w:trPr>
        <w:tc>
          <w:tcPr>
            <w:tcW w:w="9752" w:type="dxa"/>
            <w:gridSpan w:val="2"/>
          </w:tcPr>
          <w:p w:rsidR="000A6903" w:rsidRPr="000A6903" w:rsidRDefault="000A6903" w:rsidP="000A6903">
            <w:pPr>
              <w:rPr>
                <w:lang w:val="fr-FR"/>
              </w:rPr>
            </w:pPr>
          </w:p>
        </w:tc>
      </w:tr>
      <w:tr w:rsidR="000A6903" w:rsidRPr="000A6903" w:rsidTr="009E1AE8">
        <w:trPr>
          <w:trHeight w:val="240"/>
          <w:jc w:val="center"/>
        </w:trPr>
        <w:tc>
          <w:tcPr>
            <w:tcW w:w="4876" w:type="dxa"/>
          </w:tcPr>
          <w:p w:rsidR="000A6903" w:rsidRPr="0014456E" w:rsidRDefault="000A6903" w:rsidP="000A6903">
            <w:pPr>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rPr>
            </w:pPr>
            <w:r w:rsidRPr="0014456E">
              <w:rPr>
                <w:szCs w:val="20"/>
              </w:rPr>
              <w:t>d)</w:t>
            </w:r>
            <w:r w:rsidRPr="0014456E">
              <w:rPr>
                <w:szCs w:val="20"/>
              </w:rPr>
              <w:tab/>
              <w:t>zlepšenia námorných zručností, úrovne poznatkov o oceánoch a výmeny sociálno-ekonomických údajov o udržateľnom modrom hospodárstve;</w:t>
            </w:r>
          </w:p>
        </w:tc>
        <w:tc>
          <w:tcPr>
            <w:tcW w:w="4876" w:type="dxa"/>
          </w:tcPr>
          <w:p w:rsidR="000A6903" w:rsidRPr="0014456E" w:rsidRDefault="000A6903" w:rsidP="000A6903">
            <w:pPr>
              <w:widowControl w:val="0"/>
              <w:spacing w:after="120"/>
              <w:rPr>
                <w:szCs w:val="20"/>
              </w:rPr>
            </w:pPr>
            <w:r w:rsidRPr="0014456E">
              <w:rPr>
                <w:szCs w:val="20"/>
              </w:rPr>
              <w:t>d)</w:t>
            </w:r>
            <w:r w:rsidRPr="0014456E">
              <w:rPr>
                <w:szCs w:val="20"/>
              </w:rPr>
              <w:tab/>
              <w:t xml:space="preserve">zlepšenia námorných zručností, úrovne poznatkov o oceánoch a výmeny </w:t>
            </w:r>
            <w:r w:rsidRPr="0014456E">
              <w:rPr>
                <w:b/>
                <w:i/>
                <w:szCs w:val="20"/>
              </w:rPr>
              <w:t xml:space="preserve">environmentálnych a </w:t>
            </w:r>
            <w:r w:rsidRPr="0014456E">
              <w:rPr>
                <w:szCs w:val="20"/>
              </w:rPr>
              <w:t>sociálno-ekonomických údajov o udržateľnom modrom hospodárstve;</w:t>
            </w:r>
          </w:p>
        </w:tc>
      </w:tr>
    </w:tbl>
    <w:p w:rsidR="000A6903" w:rsidRPr="000A6903" w:rsidRDefault="000A6903" w:rsidP="000A6903">
      <w:r>
        <w:rPr>
          <w:rStyle w:val="HideTWBExt"/>
          <w:noProof w:val="0"/>
        </w:rPr>
        <w:t>&lt;/Amend&gt;</w:t>
      </w:r>
    </w:p>
    <w:p w:rsidR="000A6903" w:rsidRPr="000A6903" w:rsidRDefault="000A6903" w:rsidP="000A6903">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Pr>
          <w:rStyle w:val="HideTWBExt"/>
          <w:noProof w:val="0"/>
        </w:rPr>
        <w:t>&lt;Amend&gt;</w:t>
      </w:r>
      <w:r w:rsidRPr="0014456E">
        <w:rPr>
          <w:b/>
          <w:szCs w:val="20"/>
        </w:rPr>
        <w:t>Pozmeňujúci návrh</w:t>
      </w:r>
      <w:r w:rsidRPr="0014456E">
        <w:rPr>
          <w:b/>
          <w:szCs w:val="20"/>
        </w:rPr>
        <w:tab/>
      </w:r>
      <w:r w:rsidRPr="0014456E">
        <w:rPr>
          <w:b/>
          <w:szCs w:val="20"/>
        </w:rPr>
        <w:tab/>
      </w:r>
      <w:r>
        <w:rPr>
          <w:rStyle w:val="HideTWBExt"/>
          <w:noProof w:val="0"/>
        </w:rPr>
        <w:t>&lt;NumAm&gt;</w:t>
      </w:r>
      <w:r w:rsidRPr="0014456E">
        <w:rPr>
          <w:b/>
          <w:szCs w:val="20"/>
        </w:rPr>
        <w:t>83</w:t>
      </w:r>
      <w:r>
        <w:rPr>
          <w:rStyle w:val="HideTWBExt"/>
          <w:noProof w:val="0"/>
        </w:rPr>
        <w:t>&lt;/NumAm&gt;</w:t>
      </w:r>
    </w:p>
    <w:p w:rsidR="000A6903" w:rsidRPr="000A6903" w:rsidRDefault="000A6903" w:rsidP="000A6903">
      <w:pPr>
        <w:keepNext/>
        <w:widowControl w:val="0"/>
        <w:spacing w:before="240"/>
        <w:rPr>
          <w:b/>
          <w:szCs w:val="20"/>
        </w:rPr>
      </w:pPr>
      <w:r>
        <w:rPr>
          <w:rStyle w:val="HideTWBExt"/>
          <w:noProof w:val="0"/>
        </w:rPr>
        <w:t>&lt;DocAmend&gt;</w:t>
      </w:r>
      <w:r w:rsidRPr="0014456E">
        <w:rPr>
          <w:b/>
          <w:szCs w:val="20"/>
        </w:rPr>
        <w:t>Návrh nariadenia</w:t>
      </w:r>
      <w:r>
        <w:rPr>
          <w:rStyle w:val="HideTWBExt"/>
          <w:noProof w:val="0"/>
        </w:rPr>
        <w:t>&lt;/DocAmend&gt;</w:t>
      </w:r>
    </w:p>
    <w:p w:rsidR="000A6903" w:rsidRPr="000A6903" w:rsidRDefault="000A6903" w:rsidP="000A6903">
      <w:pPr>
        <w:widowControl w:val="0"/>
        <w:rPr>
          <w:b/>
          <w:szCs w:val="20"/>
        </w:rPr>
      </w:pPr>
      <w:r>
        <w:rPr>
          <w:rStyle w:val="HideTWBExt"/>
          <w:noProof w:val="0"/>
        </w:rPr>
        <w:t>&lt;Article&gt;</w:t>
      </w:r>
      <w:r w:rsidRPr="0014456E">
        <w:rPr>
          <w:b/>
          <w:szCs w:val="20"/>
        </w:rPr>
        <w:t>Článok 46 – odsek 2 a (nový)</w:t>
      </w:r>
      <w:r>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A6903" w:rsidRPr="000A6903" w:rsidTr="009E1AE8">
        <w:trPr>
          <w:jc w:val="center"/>
        </w:trPr>
        <w:tc>
          <w:tcPr>
            <w:tcW w:w="9752" w:type="dxa"/>
            <w:gridSpan w:val="2"/>
          </w:tcPr>
          <w:p w:rsidR="000A6903" w:rsidRPr="000A6903" w:rsidRDefault="000A6903" w:rsidP="000A6903">
            <w:pPr>
              <w:keepNext/>
              <w:rPr>
                <w:lang w:val="fr-FR"/>
              </w:rPr>
            </w:pPr>
          </w:p>
        </w:tc>
      </w:tr>
      <w:tr w:rsidR="000A6903" w:rsidRPr="000A6903" w:rsidTr="009E1AE8">
        <w:trPr>
          <w:jc w:val="center"/>
        </w:trPr>
        <w:tc>
          <w:tcPr>
            <w:tcW w:w="4876" w:type="dxa"/>
          </w:tcPr>
          <w:p w:rsidR="000A6903" w:rsidRPr="0014456E" w:rsidRDefault="000A6903" w:rsidP="000A6903">
            <w:pPr>
              <w:keepNext/>
              <w:widowControl w:val="0"/>
              <w:spacing w:after="240"/>
              <w:jc w:val="center"/>
              <w:rPr>
                <w:i/>
                <w:szCs w:val="20"/>
              </w:rPr>
            </w:pPr>
            <w:r w:rsidRPr="0014456E">
              <w:rPr>
                <w:i/>
                <w:szCs w:val="20"/>
              </w:rPr>
              <w:t>Text predložený Komisiou</w:t>
            </w:r>
          </w:p>
        </w:tc>
        <w:tc>
          <w:tcPr>
            <w:tcW w:w="4876" w:type="dxa"/>
          </w:tcPr>
          <w:p w:rsidR="000A6903" w:rsidRPr="0014456E" w:rsidRDefault="000A6903" w:rsidP="000A6903">
            <w:pPr>
              <w:keepNext/>
              <w:widowControl w:val="0"/>
              <w:spacing w:after="240"/>
              <w:jc w:val="center"/>
              <w:rPr>
                <w:i/>
                <w:szCs w:val="20"/>
              </w:rPr>
            </w:pPr>
            <w:r w:rsidRPr="0014456E">
              <w:rPr>
                <w:i/>
                <w:szCs w:val="20"/>
              </w:rPr>
              <w:t>Pozmeňujúci návrh</w:t>
            </w:r>
          </w:p>
        </w:tc>
      </w:tr>
      <w:tr w:rsidR="000A6903" w:rsidRPr="000A6903" w:rsidTr="009E1AE8">
        <w:trPr>
          <w:jc w:val="center"/>
        </w:trPr>
        <w:tc>
          <w:tcPr>
            <w:tcW w:w="4876" w:type="dxa"/>
          </w:tcPr>
          <w:p w:rsidR="000A6903" w:rsidRPr="0014456E" w:rsidRDefault="000A6903" w:rsidP="000A6903">
            <w:pPr>
              <w:widowControl w:val="0"/>
              <w:spacing w:after="120"/>
              <w:rPr>
                <w:szCs w:val="20"/>
                <w:lang w:val="en-GB"/>
              </w:rPr>
            </w:pPr>
          </w:p>
        </w:tc>
        <w:tc>
          <w:tcPr>
            <w:tcW w:w="4876" w:type="dxa"/>
          </w:tcPr>
          <w:p w:rsidR="000A6903" w:rsidRPr="0014456E" w:rsidRDefault="000A6903" w:rsidP="000A6903">
            <w:pPr>
              <w:widowControl w:val="0"/>
              <w:spacing w:after="120"/>
            </w:pPr>
            <w:r w:rsidRPr="0014456E">
              <w:rPr>
                <w:b/>
                <w:i/>
                <w:szCs w:val="20"/>
              </w:rPr>
              <w:t>2a.</w:t>
            </w:r>
            <w:r w:rsidRPr="0014456E">
              <w:rPr>
                <w:b/>
                <w:i/>
                <w:szCs w:val="20"/>
              </w:rPr>
              <w:tab/>
              <w:t>Platobné postupy súvisiace s týmto nariadením sa urýchlia, aby sa znížila ekonomická záťaž rybárov. Komisia vyhodnotí súčasnú výkonnosť s cieľom zlepšiť a urýchliť platobný proces.</w:t>
            </w:r>
          </w:p>
        </w:tc>
      </w:tr>
    </w:tbl>
    <w:p w:rsidR="000A6903" w:rsidRPr="000A6903" w:rsidRDefault="000A6903" w:rsidP="000A6903">
      <w:r>
        <w:rPr>
          <w:rStyle w:val="HideTWBExt"/>
          <w:noProof w:val="0"/>
        </w:rPr>
        <w:t>&lt;/Amend&gt;</w:t>
      </w:r>
    </w:p>
    <w:p w:rsidR="000A6903" w:rsidRPr="000A6903" w:rsidRDefault="000A6903" w:rsidP="000A6903">
      <w:r>
        <w:rPr>
          <w:rStyle w:val="HideTWBExt"/>
          <w:noProof w:val="0"/>
        </w:rPr>
        <w:t>&lt;/RepeatBlock-Amend&gt;</w:t>
      </w:r>
    </w:p>
    <w:p w:rsidR="00DB56E4" w:rsidRPr="00A80AAF" w:rsidRDefault="00DB56E4" w:rsidP="00DB56E4"/>
    <w:p w:rsidR="00823EFF" w:rsidRPr="00823EFF" w:rsidRDefault="00823EFF" w:rsidP="00823EFF">
      <w:r>
        <w:br w:type="page"/>
      </w:r>
    </w:p>
    <w:p w:rsidR="00823EFF" w:rsidRDefault="00823EFF" w:rsidP="00823EFF">
      <w:pPr>
        <w:pStyle w:val="PageHeadingNotTOC"/>
      </w:pPr>
      <w:bookmarkStart w:id="2" w:name="ProcPageAD"/>
      <w:r>
        <w:lastRenderedPageBreak/>
        <w:t>POSTUP VÝBORU POŽIADANÉHO O STANOVISKO</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823EF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23EFF" w:rsidRDefault="00823EFF">
            <w:pPr>
              <w:widowControl w:val="0"/>
              <w:autoSpaceDE w:val="0"/>
              <w:autoSpaceDN w:val="0"/>
              <w:adjustRightInd w:val="0"/>
              <w:rPr>
                <w:b/>
                <w:bCs/>
                <w:color w:val="000000"/>
                <w:sz w:val="20"/>
                <w:szCs w:val="20"/>
              </w:rPr>
            </w:pPr>
            <w:r>
              <w:rPr>
                <w:b/>
                <w:bCs/>
                <w:color w:val="000000"/>
                <w:sz w:val="20"/>
                <w:szCs w:val="20"/>
              </w:rPr>
              <w:t>Názov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23EFF" w:rsidRDefault="00823EFF">
            <w:pPr>
              <w:widowControl w:val="0"/>
              <w:autoSpaceDE w:val="0"/>
              <w:autoSpaceDN w:val="0"/>
              <w:adjustRightInd w:val="0"/>
              <w:rPr>
                <w:color w:val="000000"/>
                <w:sz w:val="20"/>
                <w:szCs w:val="20"/>
              </w:rPr>
            </w:pPr>
            <w:r>
              <w:rPr>
                <w:color w:val="000000"/>
                <w:sz w:val="20"/>
                <w:szCs w:val="20"/>
              </w:rPr>
              <w:t>Európsky námorný a rybársky fond</w:t>
            </w:r>
          </w:p>
        </w:tc>
      </w:tr>
      <w:tr w:rsidR="00823EF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23EFF" w:rsidRDefault="00823EFF">
            <w:pPr>
              <w:widowControl w:val="0"/>
              <w:autoSpaceDE w:val="0"/>
              <w:autoSpaceDN w:val="0"/>
              <w:adjustRightInd w:val="0"/>
              <w:rPr>
                <w:b/>
                <w:bCs/>
                <w:color w:val="000000"/>
                <w:sz w:val="20"/>
                <w:szCs w:val="20"/>
              </w:rPr>
            </w:pPr>
            <w:r>
              <w:rPr>
                <w:b/>
                <w:bCs/>
                <w:color w:val="000000"/>
                <w:sz w:val="20"/>
                <w:szCs w:val="20"/>
              </w:rPr>
              <w:t>Referenčné čísla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23EFF" w:rsidRDefault="00823EFF">
            <w:pPr>
              <w:widowControl w:val="0"/>
              <w:autoSpaceDE w:val="0"/>
              <w:autoSpaceDN w:val="0"/>
              <w:adjustRightInd w:val="0"/>
              <w:rPr>
                <w:color w:val="000000"/>
                <w:sz w:val="20"/>
                <w:szCs w:val="20"/>
              </w:rPr>
            </w:pPr>
            <w:r>
              <w:rPr>
                <w:color w:val="000000"/>
                <w:sz w:val="20"/>
                <w:szCs w:val="20"/>
              </w:rPr>
              <w:t>COM(2018)0390 – C8-0270/2018 – 2018/0210(COD)</w:t>
            </w:r>
          </w:p>
        </w:tc>
      </w:tr>
      <w:tr w:rsidR="00823EF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23EFF" w:rsidRDefault="00823EFF">
            <w:pPr>
              <w:widowControl w:val="0"/>
              <w:autoSpaceDE w:val="0"/>
              <w:autoSpaceDN w:val="0"/>
              <w:adjustRightInd w:val="0"/>
              <w:rPr>
                <w:b/>
                <w:bCs/>
                <w:color w:val="000000"/>
                <w:sz w:val="20"/>
                <w:szCs w:val="20"/>
              </w:rPr>
            </w:pPr>
            <w:r>
              <w:rPr>
                <w:b/>
                <w:bCs/>
                <w:color w:val="000000"/>
                <w:sz w:val="20"/>
                <w:szCs w:val="20"/>
              </w:rPr>
              <w:t>Gestorský výbor</w:t>
            </w:r>
          </w:p>
          <w:p w:rsidR="00823EFF" w:rsidRDefault="00823EFF">
            <w:pPr>
              <w:widowControl w:val="0"/>
              <w:autoSpaceDE w:val="0"/>
              <w:autoSpaceDN w:val="0"/>
              <w:adjustRightInd w:val="0"/>
              <w:rPr>
                <w:color w:val="000000"/>
                <w:sz w:val="20"/>
                <w:szCs w:val="20"/>
              </w:rPr>
            </w:pPr>
            <w:r>
              <w:rPr>
                <w:color w:val="000000"/>
                <w:sz w:val="20"/>
                <w:szCs w:val="20"/>
              </w:rPr>
              <w:t>       dátum oznámenia na schôdzi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23EFF" w:rsidRDefault="00823EFF">
            <w:pPr>
              <w:widowControl w:val="0"/>
              <w:autoSpaceDE w:val="0"/>
              <w:autoSpaceDN w:val="0"/>
              <w:adjustRightInd w:val="0"/>
              <w:rPr>
                <w:color w:val="000000"/>
                <w:sz w:val="20"/>
                <w:szCs w:val="20"/>
              </w:rPr>
            </w:pPr>
            <w:r>
              <w:rPr>
                <w:color w:val="000000"/>
                <w:sz w:val="20"/>
                <w:szCs w:val="20"/>
              </w:rPr>
              <w:t>PECH</w:t>
            </w:r>
          </w:p>
          <w:p w:rsidR="00823EFF" w:rsidRDefault="00823EFF">
            <w:pPr>
              <w:widowControl w:val="0"/>
              <w:autoSpaceDE w:val="0"/>
              <w:autoSpaceDN w:val="0"/>
              <w:adjustRightInd w:val="0"/>
              <w:rPr>
                <w:color w:val="000000"/>
                <w:sz w:val="20"/>
                <w:szCs w:val="20"/>
              </w:rPr>
            </w:pPr>
            <w:r>
              <w:rPr>
                <w:color w:val="000000"/>
                <w:sz w:val="20"/>
                <w:szCs w:val="20"/>
              </w:rPr>
              <w:t>2.7.2018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23EFF" w:rsidRDefault="00823EFF">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23EFF" w:rsidRDefault="00823EFF">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23EFF" w:rsidRDefault="00823EFF">
            <w:pPr>
              <w:widowControl w:val="0"/>
              <w:autoSpaceDE w:val="0"/>
              <w:autoSpaceDN w:val="0"/>
              <w:adjustRightInd w:val="0"/>
              <w:rPr>
                <w:rFonts w:ascii="sans-serif" w:hAnsi="sans-serif" w:cs="sans-serif"/>
                <w:color w:val="000000"/>
              </w:rPr>
            </w:pPr>
          </w:p>
        </w:tc>
      </w:tr>
      <w:tr w:rsidR="00823EF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23EFF" w:rsidRDefault="00823EFF">
            <w:pPr>
              <w:widowControl w:val="0"/>
              <w:autoSpaceDE w:val="0"/>
              <w:autoSpaceDN w:val="0"/>
              <w:adjustRightInd w:val="0"/>
              <w:rPr>
                <w:b/>
                <w:bCs/>
                <w:color w:val="000000"/>
                <w:sz w:val="20"/>
                <w:szCs w:val="20"/>
              </w:rPr>
            </w:pPr>
            <w:r>
              <w:rPr>
                <w:b/>
                <w:bCs/>
                <w:color w:val="000000"/>
                <w:sz w:val="20"/>
                <w:szCs w:val="20"/>
              </w:rPr>
              <w:t>Výbor požiadaný o stanovisko</w:t>
            </w:r>
          </w:p>
          <w:p w:rsidR="00823EFF" w:rsidRDefault="00823EFF">
            <w:pPr>
              <w:widowControl w:val="0"/>
              <w:autoSpaceDE w:val="0"/>
              <w:autoSpaceDN w:val="0"/>
              <w:adjustRightInd w:val="0"/>
              <w:rPr>
                <w:color w:val="000000"/>
                <w:sz w:val="20"/>
                <w:szCs w:val="20"/>
              </w:rPr>
            </w:pPr>
            <w:r>
              <w:rPr>
                <w:color w:val="000000"/>
                <w:sz w:val="20"/>
                <w:szCs w:val="20"/>
              </w:rPr>
              <w:t>       dátum oznámenia na schôdzi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23EFF" w:rsidRDefault="00823EFF">
            <w:pPr>
              <w:widowControl w:val="0"/>
              <w:autoSpaceDE w:val="0"/>
              <w:autoSpaceDN w:val="0"/>
              <w:adjustRightInd w:val="0"/>
              <w:rPr>
                <w:color w:val="000000"/>
                <w:sz w:val="20"/>
                <w:szCs w:val="20"/>
              </w:rPr>
            </w:pPr>
            <w:r>
              <w:rPr>
                <w:color w:val="000000"/>
                <w:sz w:val="20"/>
                <w:szCs w:val="20"/>
              </w:rPr>
              <w:t>ENVI</w:t>
            </w:r>
          </w:p>
          <w:p w:rsidR="00823EFF" w:rsidRDefault="00823EFF">
            <w:pPr>
              <w:widowControl w:val="0"/>
              <w:autoSpaceDE w:val="0"/>
              <w:autoSpaceDN w:val="0"/>
              <w:adjustRightInd w:val="0"/>
              <w:rPr>
                <w:color w:val="000000"/>
                <w:sz w:val="20"/>
                <w:szCs w:val="20"/>
              </w:rPr>
            </w:pPr>
            <w:r>
              <w:rPr>
                <w:color w:val="000000"/>
                <w:sz w:val="20"/>
                <w:szCs w:val="20"/>
              </w:rPr>
              <w:t>2.7.2018</w:t>
            </w:r>
          </w:p>
        </w:tc>
      </w:tr>
      <w:tr w:rsidR="00823EF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23EFF" w:rsidRDefault="00823EFF">
            <w:pPr>
              <w:widowControl w:val="0"/>
              <w:autoSpaceDE w:val="0"/>
              <w:autoSpaceDN w:val="0"/>
              <w:adjustRightInd w:val="0"/>
              <w:rPr>
                <w:b/>
                <w:bCs/>
                <w:color w:val="000000"/>
                <w:sz w:val="20"/>
                <w:szCs w:val="20"/>
              </w:rPr>
            </w:pPr>
            <w:r>
              <w:rPr>
                <w:b/>
                <w:bCs/>
                <w:color w:val="000000"/>
                <w:sz w:val="20"/>
                <w:szCs w:val="20"/>
              </w:rPr>
              <w:t>Spravodajca výboru požiadaného o stanovisko</w:t>
            </w:r>
          </w:p>
          <w:p w:rsidR="00823EFF" w:rsidRDefault="00823EFF">
            <w:pPr>
              <w:widowControl w:val="0"/>
              <w:autoSpaceDE w:val="0"/>
              <w:autoSpaceDN w:val="0"/>
              <w:adjustRightInd w:val="0"/>
              <w:rPr>
                <w:color w:val="000000"/>
                <w:sz w:val="20"/>
                <w:szCs w:val="20"/>
              </w:rPr>
            </w:pPr>
            <w:r>
              <w:rPr>
                <w:color w:val="000000"/>
                <w:sz w:val="20"/>
                <w:szCs w:val="20"/>
              </w:rPr>
              <w:t>       dátum menovania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23EFF" w:rsidRDefault="00823EFF">
            <w:pPr>
              <w:widowControl w:val="0"/>
              <w:autoSpaceDE w:val="0"/>
              <w:autoSpaceDN w:val="0"/>
              <w:adjustRightInd w:val="0"/>
              <w:rPr>
                <w:color w:val="000000"/>
                <w:sz w:val="20"/>
                <w:szCs w:val="20"/>
              </w:rPr>
            </w:pPr>
            <w:r>
              <w:rPr>
                <w:color w:val="000000"/>
                <w:sz w:val="20"/>
                <w:szCs w:val="20"/>
              </w:rPr>
              <w:t>Francesc Gambús</w:t>
            </w:r>
          </w:p>
          <w:p w:rsidR="00823EFF" w:rsidRDefault="00823EFF">
            <w:pPr>
              <w:widowControl w:val="0"/>
              <w:autoSpaceDE w:val="0"/>
              <w:autoSpaceDN w:val="0"/>
              <w:adjustRightInd w:val="0"/>
              <w:rPr>
                <w:color w:val="000000"/>
                <w:sz w:val="20"/>
                <w:szCs w:val="20"/>
              </w:rPr>
            </w:pPr>
            <w:r>
              <w:rPr>
                <w:color w:val="000000"/>
                <w:sz w:val="20"/>
                <w:szCs w:val="20"/>
              </w:rPr>
              <w:t>21.6.2018</w:t>
            </w:r>
          </w:p>
        </w:tc>
      </w:tr>
      <w:tr w:rsidR="00823EF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23EFF" w:rsidRDefault="00823EFF">
            <w:pPr>
              <w:widowControl w:val="0"/>
              <w:autoSpaceDE w:val="0"/>
              <w:autoSpaceDN w:val="0"/>
              <w:adjustRightInd w:val="0"/>
              <w:rPr>
                <w:b/>
                <w:bCs/>
                <w:color w:val="000000"/>
                <w:sz w:val="20"/>
                <w:szCs w:val="20"/>
              </w:rPr>
            </w:pPr>
            <w:r>
              <w:rPr>
                <w:b/>
                <w:bCs/>
                <w:color w:val="000000"/>
                <w:sz w:val="20"/>
                <w:szCs w:val="20"/>
              </w:rPr>
              <w:t>Prerokovanie vo výbore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23EFF" w:rsidRDefault="00823EFF">
            <w:pPr>
              <w:widowControl w:val="0"/>
              <w:autoSpaceDE w:val="0"/>
              <w:autoSpaceDN w:val="0"/>
              <w:adjustRightInd w:val="0"/>
              <w:rPr>
                <w:color w:val="000000"/>
                <w:sz w:val="20"/>
                <w:szCs w:val="20"/>
              </w:rPr>
            </w:pPr>
            <w:r>
              <w:rPr>
                <w:color w:val="000000"/>
                <w:sz w:val="20"/>
                <w:szCs w:val="20"/>
              </w:rPr>
              <w:t>10.10.2018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23EFF" w:rsidRDefault="00823EFF">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23EFF" w:rsidRDefault="00823EFF">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23EFF" w:rsidRDefault="00823EFF">
            <w:pPr>
              <w:widowControl w:val="0"/>
              <w:autoSpaceDE w:val="0"/>
              <w:autoSpaceDN w:val="0"/>
              <w:adjustRightInd w:val="0"/>
              <w:rPr>
                <w:rFonts w:ascii="sans-serif" w:hAnsi="sans-serif" w:cs="sans-serif"/>
                <w:color w:val="000000"/>
              </w:rPr>
            </w:pPr>
          </w:p>
        </w:tc>
      </w:tr>
      <w:tr w:rsidR="00823EF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23EFF" w:rsidRDefault="00823EFF">
            <w:pPr>
              <w:widowControl w:val="0"/>
              <w:autoSpaceDE w:val="0"/>
              <w:autoSpaceDN w:val="0"/>
              <w:adjustRightInd w:val="0"/>
              <w:rPr>
                <w:b/>
                <w:bCs/>
                <w:color w:val="000000"/>
                <w:sz w:val="20"/>
                <w:szCs w:val="20"/>
              </w:rPr>
            </w:pPr>
            <w:r>
              <w:rPr>
                <w:b/>
                <w:bCs/>
                <w:color w:val="000000"/>
                <w:sz w:val="20"/>
                <w:szCs w:val="20"/>
              </w:rPr>
              <w:t>Dátum prijatia</w:t>
            </w:r>
          </w:p>
        </w:tc>
        <w:tc>
          <w:tcPr>
            <w:tcW w:w="1530" w:type="dxa"/>
            <w:tcBorders>
              <w:top w:val="nil"/>
              <w:left w:val="nil"/>
              <w:bottom w:val="single" w:sz="8" w:space="0" w:color="000000"/>
              <w:right w:val="nil"/>
            </w:tcBorders>
            <w:tcMar>
              <w:top w:w="79" w:type="dxa"/>
              <w:left w:w="79" w:type="dxa"/>
              <w:bottom w:w="79" w:type="dxa"/>
              <w:right w:w="79" w:type="dxa"/>
            </w:tcMar>
          </w:tcPr>
          <w:p w:rsidR="00823EFF" w:rsidRDefault="00823EFF">
            <w:pPr>
              <w:widowControl w:val="0"/>
              <w:autoSpaceDE w:val="0"/>
              <w:autoSpaceDN w:val="0"/>
              <w:adjustRightInd w:val="0"/>
              <w:rPr>
                <w:color w:val="000000"/>
                <w:sz w:val="20"/>
                <w:szCs w:val="20"/>
              </w:rPr>
            </w:pPr>
            <w:r>
              <w:rPr>
                <w:color w:val="000000"/>
                <w:sz w:val="20"/>
                <w:szCs w:val="20"/>
              </w:rPr>
              <w:t>20.11.2018</w:t>
            </w:r>
          </w:p>
        </w:tc>
        <w:tc>
          <w:tcPr>
            <w:tcW w:w="1474" w:type="dxa"/>
            <w:tcBorders>
              <w:top w:val="nil"/>
              <w:left w:val="nil"/>
              <w:bottom w:val="single" w:sz="8" w:space="0" w:color="000000"/>
              <w:right w:val="nil"/>
            </w:tcBorders>
            <w:tcMar>
              <w:top w:w="79" w:type="dxa"/>
              <w:left w:w="79" w:type="dxa"/>
              <w:bottom w:w="79" w:type="dxa"/>
              <w:right w:w="79" w:type="dxa"/>
            </w:tcMar>
          </w:tcPr>
          <w:p w:rsidR="00823EFF" w:rsidRDefault="00823EFF">
            <w:pPr>
              <w:widowControl w:val="0"/>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823EFF" w:rsidRDefault="00823EFF">
            <w:pPr>
              <w:widowControl w:val="0"/>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823EFF" w:rsidRDefault="00823EFF">
            <w:pPr>
              <w:widowControl w:val="0"/>
              <w:autoSpaceDE w:val="0"/>
              <w:autoSpaceDN w:val="0"/>
              <w:adjustRightInd w:val="0"/>
              <w:rPr>
                <w:rFonts w:ascii="sans-serif" w:hAnsi="sans-serif" w:cs="sans-serif"/>
                <w:color w:val="000000"/>
              </w:rPr>
            </w:pPr>
          </w:p>
        </w:tc>
      </w:tr>
      <w:tr w:rsidR="00823EF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23EFF" w:rsidRDefault="00823EFF">
            <w:pPr>
              <w:widowControl w:val="0"/>
              <w:autoSpaceDE w:val="0"/>
              <w:autoSpaceDN w:val="0"/>
              <w:adjustRightInd w:val="0"/>
              <w:rPr>
                <w:b/>
                <w:bCs/>
                <w:color w:val="000000"/>
                <w:sz w:val="20"/>
                <w:szCs w:val="20"/>
              </w:rPr>
            </w:pPr>
            <w:r>
              <w:rPr>
                <w:b/>
                <w:bCs/>
                <w:color w:val="000000"/>
                <w:sz w:val="20"/>
                <w:szCs w:val="20"/>
              </w:rPr>
              <w:t>Výsledok záverečného hlasovania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23EFF" w:rsidRDefault="00823EFF">
            <w:pPr>
              <w:widowControl w:val="0"/>
              <w:autoSpaceDE w:val="0"/>
              <w:autoSpaceDN w:val="0"/>
              <w:adjustRightInd w:val="0"/>
              <w:rPr>
                <w:color w:val="000000"/>
                <w:sz w:val="20"/>
                <w:szCs w:val="20"/>
              </w:rPr>
            </w:pPr>
            <w:r>
              <w:rPr>
                <w:color w:val="000000"/>
                <w:sz w:val="20"/>
                <w:szCs w:val="20"/>
              </w:rPr>
              <w:t>+:</w:t>
            </w:r>
          </w:p>
          <w:p w:rsidR="00823EFF" w:rsidRDefault="00823EFF">
            <w:pPr>
              <w:widowControl w:val="0"/>
              <w:autoSpaceDE w:val="0"/>
              <w:autoSpaceDN w:val="0"/>
              <w:adjustRightInd w:val="0"/>
              <w:rPr>
                <w:color w:val="000000"/>
                <w:sz w:val="20"/>
                <w:szCs w:val="20"/>
              </w:rPr>
            </w:pPr>
            <w:r>
              <w:rPr>
                <w:color w:val="000000"/>
                <w:sz w:val="20"/>
                <w:szCs w:val="20"/>
              </w:rPr>
              <w:t>–:</w:t>
            </w:r>
          </w:p>
          <w:p w:rsidR="00823EFF" w:rsidRDefault="00823EFF">
            <w:pPr>
              <w:widowControl w:val="0"/>
              <w:autoSpaceDE w:val="0"/>
              <w:autoSpaceDN w:val="0"/>
              <w:adjustRightInd w:val="0"/>
              <w:rPr>
                <w:color w:val="000000"/>
                <w:sz w:val="20"/>
                <w:szCs w:val="20"/>
              </w:rPr>
            </w:pPr>
            <w:r>
              <w:rPr>
                <w:color w:val="000000"/>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23EFF" w:rsidRDefault="00823EFF">
            <w:pPr>
              <w:widowControl w:val="0"/>
              <w:autoSpaceDE w:val="0"/>
              <w:autoSpaceDN w:val="0"/>
              <w:adjustRightInd w:val="0"/>
              <w:rPr>
                <w:color w:val="000000"/>
                <w:sz w:val="20"/>
                <w:szCs w:val="20"/>
              </w:rPr>
            </w:pPr>
            <w:r>
              <w:rPr>
                <w:color w:val="000000"/>
                <w:sz w:val="20"/>
                <w:szCs w:val="20"/>
              </w:rPr>
              <w:t>47</w:t>
            </w:r>
          </w:p>
          <w:p w:rsidR="00823EFF" w:rsidRDefault="00823EFF">
            <w:pPr>
              <w:widowControl w:val="0"/>
              <w:autoSpaceDE w:val="0"/>
              <w:autoSpaceDN w:val="0"/>
              <w:adjustRightInd w:val="0"/>
              <w:rPr>
                <w:color w:val="000000"/>
                <w:sz w:val="20"/>
                <w:szCs w:val="20"/>
              </w:rPr>
            </w:pPr>
            <w:r>
              <w:rPr>
                <w:color w:val="000000"/>
                <w:sz w:val="20"/>
                <w:szCs w:val="20"/>
              </w:rPr>
              <w:t>1</w:t>
            </w:r>
          </w:p>
          <w:p w:rsidR="00823EFF" w:rsidRDefault="00823EFF">
            <w:pPr>
              <w:widowControl w:val="0"/>
              <w:autoSpaceDE w:val="0"/>
              <w:autoSpaceDN w:val="0"/>
              <w:adjustRightInd w:val="0"/>
              <w:rPr>
                <w:color w:val="000000"/>
                <w:sz w:val="20"/>
                <w:szCs w:val="20"/>
              </w:rPr>
            </w:pPr>
            <w:r>
              <w:rPr>
                <w:color w:val="000000"/>
                <w:sz w:val="20"/>
                <w:szCs w:val="20"/>
              </w:rPr>
              <w:t>2</w:t>
            </w:r>
          </w:p>
        </w:tc>
      </w:tr>
      <w:tr w:rsidR="00823EF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23EFF" w:rsidRDefault="00823EFF">
            <w:pPr>
              <w:widowControl w:val="0"/>
              <w:autoSpaceDE w:val="0"/>
              <w:autoSpaceDN w:val="0"/>
              <w:adjustRightInd w:val="0"/>
              <w:rPr>
                <w:b/>
                <w:bCs/>
                <w:color w:val="000000"/>
                <w:sz w:val="20"/>
                <w:szCs w:val="20"/>
              </w:rPr>
            </w:pPr>
            <w:r>
              <w:rPr>
                <w:b/>
                <w:bCs/>
                <w:color w:val="000000"/>
                <w:sz w:val="20"/>
                <w:szCs w:val="20"/>
              </w:rPr>
              <w:t>Poslanci prítomní na záverečnom hlasovaní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23EFF" w:rsidRDefault="00823EFF">
            <w:pPr>
              <w:widowControl w:val="0"/>
              <w:autoSpaceDE w:val="0"/>
              <w:autoSpaceDN w:val="0"/>
              <w:adjustRightInd w:val="0"/>
              <w:rPr>
                <w:color w:val="000000"/>
                <w:sz w:val="20"/>
                <w:szCs w:val="20"/>
              </w:rPr>
            </w:pPr>
            <w:r>
              <w:rPr>
                <w:color w:val="000000"/>
                <w:sz w:val="20"/>
                <w:szCs w:val="20"/>
              </w:rPr>
              <w:t>Marco Affronte, Pilar Ayuso, Zoltán Balczó, Catherine Bearder, Ivo Belet, Biljana Borzan, Paul Brannen, Soledad Cabezón Ruiz, Nessa Childers, Birgit Collin-Langen, Seb Dance, Mark Demesmaeker, Bas Eickhout, Francesc Gambús, Gerben-Jan Gerbrandy, Jens Gieseke, Sylvie Goddyn, Françoise Grossetête, Benedek Jávor, Karin Kadenbach, Urszula Krupa, Giovanni La Via, Jo Leinen, Peter Liese, Valentinas Mazuronis, Susanne Melior, Miroslav Mikolášik, Massimo Paolucci, Gilles Pargneaux, Bolesław G. Piecha, John Procter, Julia Reid, Frédérique Ries, Annie Schreijer-Pierik, Adina-Ioana Vălean, Jadwiga Wiśniewska</w:t>
            </w:r>
          </w:p>
        </w:tc>
      </w:tr>
      <w:tr w:rsidR="00823EF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23EFF" w:rsidRDefault="00823EFF">
            <w:pPr>
              <w:widowControl w:val="0"/>
              <w:autoSpaceDE w:val="0"/>
              <w:autoSpaceDN w:val="0"/>
              <w:adjustRightInd w:val="0"/>
              <w:rPr>
                <w:b/>
                <w:bCs/>
                <w:color w:val="000000"/>
                <w:sz w:val="20"/>
                <w:szCs w:val="20"/>
              </w:rPr>
            </w:pPr>
            <w:r>
              <w:rPr>
                <w:b/>
                <w:bCs/>
                <w:color w:val="000000"/>
                <w:sz w:val="20"/>
                <w:szCs w:val="20"/>
              </w:rPr>
              <w:t>Náhradníci prítomní na záverečnom hlasovaní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23EFF" w:rsidRDefault="00823EFF">
            <w:pPr>
              <w:widowControl w:val="0"/>
              <w:autoSpaceDE w:val="0"/>
              <w:autoSpaceDN w:val="0"/>
              <w:adjustRightInd w:val="0"/>
              <w:rPr>
                <w:color w:val="000000"/>
                <w:sz w:val="20"/>
                <w:szCs w:val="20"/>
              </w:rPr>
            </w:pPr>
            <w:r>
              <w:rPr>
                <w:color w:val="000000"/>
                <w:sz w:val="20"/>
                <w:szCs w:val="20"/>
              </w:rPr>
              <w:t>Cristian-Silviu Buşoi, Nicola Caputo, Michel Dantin, Martin Häusling, Esther Herranz García, Gesine Meissner, Tilly Metz, Ulrike Müller, Sirpa Pietikäinen, Carlos Zorrinho</w:t>
            </w:r>
          </w:p>
        </w:tc>
      </w:tr>
      <w:tr w:rsidR="00823EF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23EFF" w:rsidRDefault="00823EFF">
            <w:pPr>
              <w:widowControl w:val="0"/>
              <w:autoSpaceDE w:val="0"/>
              <w:autoSpaceDN w:val="0"/>
              <w:adjustRightInd w:val="0"/>
              <w:rPr>
                <w:b/>
                <w:bCs/>
                <w:color w:val="000000"/>
                <w:sz w:val="20"/>
                <w:szCs w:val="20"/>
              </w:rPr>
            </w:pPr>
            <w:r>
              <w:rPr>
                <w:b/>
                <w:bCs/>
                <w:color w:val="000000"/>
                <w:sz w:val="20"/>
                <w:szCs w:val="20"/>
              </w:rPr>
              <w:t>Náhradníci (čl. 200 ods. 2) prítomní na záverečnom hlasovaní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23EFF" w:rsidRDefault="00823EFF">
            <w:pPr>
              <w:widowControl w:val="0"/>
              <w:autoSpaceDE w:val="0"/>
              <w:autoSpaceDN w:val="0"/>
              <w:adjustRightInd w:val="0"/>
              <w:rPr>
                <w:color w:val="000000"/>
                <w:sz w:val="20"/>
                <w:szCs w:val="20"/>
              </w:rPr>
            </w:pPr>
            <w:r>
              <w:rPr>
                <w:color w:val="000000"/>
                <w:sz w:val="20"/>
                <w:szCs w:val="20"/>
              </w:rPr>
              <w:t>Mercedes Bresso, Innocenzo Leontini, Olle Ludvigsson, Ana Miranda</w:t>
            </w:r>
          </w:p>
        </w:tc>
      </w:tr>
    </w:tbl>
    <w:p w:rsidR="00823EFF" w:rsidRDefault="00823EFF">
      <w:pPr>
        <w:widowControl w:val="0"/>
        <w:autoSpaceDE w:val="0"/>
        <w:autoSpaceDN w:val="0"/>
        <w:adjustRightInd w:val="0"/>
        <w:rPr>
          <w:rFonts w:ascii="Arial" w:hAnsi="Arial" w:cs="Arial"/>
        </w:rPr>
      </w:pPr>
    </w:p>
    <w:bookmarkEnd w:id="2"/>
    <w:p w:rsidR="000A6903" w:rsidRDefault="000A6903">
      <w:r>
        <w:br w:type="page"/>
      </w:r>
    </w:p>
    <w:p w:rsidR="000A6903" w:rsidRPr="000A6903" w:rsidRDefault="000A6903" w:rsidP="000A6903">
      <w:pPr>
        <w:keepNext/>
        <w:widowControl w:val="0"/>
        <w:spacing w:before="240" w:after="240"/>
        <w:jc w:val="center"/>
        <w:rPr>
          <w:rFonts w:ascii="Arial" w:hAnsi="Arial"/>
          <w:b/>
          <w:szCs w:val="20"/>
        </w:rPr>
      </w:pPr>
      <w:bookmarkStart w:id="3" w:name="RollCallPageAD"/>
      <w:r>
        <w:rPr>
          <w:rFonts w:ascii="Arial" w:hAnsi="Arial"/>
          <w:b/>
          <w:szCs w:val="20"/>
        </w:rPr>
        <w:lastRenderedPageBreak/>
        <w:t>ZÁVEREČNÉ HLASOVANIE PODĽA MIEN VO VÝBORE POŽIADANOM O STANOVISKO</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A6903" w:rsidRPr="000A6903" w:rsidTr="009E1AE8">
        <w:trPr>
          <w:cantSplit/>
        </w:trPr>
        <w:tc>
          <w:tcPr>
            <w:tcW w:w="1701" w:type="dxa"/>
            <w:shd w:val="pct10" w:color="000000" w:fill="FFFFFF"/>
            <w:vAlign w:val="center"/>
          </w:tcPr>
          <w:p w:rsidR="000A6903" w:rsidRPr="000A6903" w:rsidRDefault="000A6903" w:rsidP="000A6903">
            <w:pPr>
              <w:spacing w:before="120" w:after="120"/>
              <w:jc w:val="center"/>
              <w:rPr>
                <w:b/>
                <w:sz w:val="20"/>
              </w:rPr>
            </w:pPr>
            <w:r>
              <w:rPr>
                <w:b/>
                <w:sz w:val="20"/>
              </w:rPr>
              <w:t>47</w:t>
            </w:r>
          </w:p>
        </w:tc>
        <w:tc>
          <w:tcPr>
            <w:tcW w:w="7371" w:type="dxa"/>
            <w:shd w:val="pct10" w:color="000000" w:fill="FFFFFF"/>
          </w:tcPr>
          <w:p w:rsidR="000A6903" w:rsidRPr="000A6903" w:rsidRDefault="000A6903" w:rsidP="000A6903">
            <w:pPr>
              <w:spacing w:before="120" w:after="120"/>
              <w:jc w:val="center"/>
              <w:rPr>
                <w:rFonts w:ascii="Arial" w:hAnsi="Arial" w:cs="Arial"/>
                <w:b/>
                <w:sz w:val="28"/>
                <w:szCs w:val="28"/>
              </w:rPr>
            </w:pPr>
            <w:r>
              <w:rPr>
                <w:rFonts w:ascii="Arial" w:hAnsi="Arial"/>
                <w:b/>
                <w:sz w:val="28"/>
                <w:szCs w:val="28"/>
              </w:rPr>
              <w:t>+</w:t>
            </w:r>
          </w:p>
        </w:tc>
      </w:tr>
      <w:tr w:rsidR="000A6903" w:rsidRPr="000A6903" w:rsidTr="009E1AE8">
        <w:trPr>
          <w:cantSplit/>
        </w:trPr>
        <w:tc>
          <w:tcPr>
            <w:tcW w:w="1701" w:type="dxa"/>
            <w:shd w:val="clear" w:color="auto" w:fill="FFFFFF"/>
          </w:tcPr>
          <w:p w:rsidR="000A6903" w:rsidRPr="000A6903" w:rsidRDefault="000A6903" w:rsidP="000A6903">
            <w:pPr>
              <w:spacing w:before="120" w:after="120"/>
              <w:rPr>
                <w:sz w:val="20"/>
              </w:rPr>
            </w:pPr>
            <w:r>
              <w:rPr>
                <w:sz w:val="20"/>
              </w:rPr>
              <w:t>ALDE</w:t>
            </w:r>
          </w:p>
        </w:tc>
        <w:tc>
          <w:tcPr>
            <w:tcW w:w="7371" w:type="dxa"/>
            <w:shd w:val="clear" w:color="auto" w:fill="FFFFFF"/>
          </w:tcPr>
          <w:p w:rsidR="000A6903" w:rsidRPr="000A6903" w:rsidRDefault="000A6903" w:rsidP="000A6903">
            <w:pPr>
              <w:spacing w:before="120" w:after="120"/>
              <w:rPr>
                <w:sz w:val="20"/>
              </w:rPr>
            </w:pPr>
            <w:r>
              <w:rPr>
                <w:sz w:val="20"/>
              </w:rPr>
              <w:t>Catherine Bearder, Gerben-Jan Gerbrandy, Valentinas Mazuronis, Gesine Meissner, Ulrike Müller, Frédérique Ries</w:t>
            </w:r>
          </w:p>
        </w:tc>
      </w:tr>
      <w:tr w:rsidR="000A6903" w:rsidRPr="000A6903" w:rsidTr="009E1AE8">
        <w:trPr>
          <w:cantSplit/>
        </w:trPr>
        <w:tc>
          <w:tcPr>
            <w:tcW w:w="1701" w:type="dxa"/>
            <w:shd w:val="clear" w:color="auto" w:fill="FFFFFF"/>
          </w:tcPr>
          <w:p w:rsidR="000A6903" w:rsidRPr="000A6903" w:rsidRDefault="000A6903" w:rsidP="000A6903">
            <w:pPr>
              <w:spacing w:before="120" w:after="120"/>
              <w:rPr>
                <w:sz w:val="20"/>
              </w:rPr>
            </w:pPr>
            <w:r>
              <w:rPr>
                <w:sz w:val="20"/>
              </w:rPr>
              <w:t>ECR</w:t>
            </w:r>
          </w:p>
        </w:tc>
        <w:tc>
          <w:tcPr>
            <w:tcW w:w="7371" w:type="dxa"/>
            <w:shd w:val="clear" w:color="auto" w:fill="FFFFFF"/>
          </w:tcPr>
          <w:p w:rsidR="000A6903" w:rsidRPr="000A6903" w:rsidRDefault="000A6903" w:rsidP="000A6903">
            <w:pPr>
              <w:spacing w:before="120" w:after="120"/>
              <w:rPr>
                <w:sz w:val="20"/>
              </w:rPr>
            </w:pPr>
            <w:r>
              <w:rPr>
                <w:sz w:val="20"/>
              </w:rPr>
              <w:t>Mark Demesmaeker, Urszula Krupa, Bolesław G. Piecha, Jadwiga Wiśniewska</w:t>
            </w:r>
          </w:p>
        </w:tc>
      </w:tr>
      <w:tr w:rsidR="000A6903" w:rsidRPr="000A6903" w:rsidTr="009E1AE8">
        <w:trPr>
          <w:cantSplit/>
        </w:trPr>
        <w:tc>
          <w:tcPr>
            <w:tcW w:w="1701" w:type="dxa"/>
            <w:shd w:val="clear" w:color="auto" w:fill="FFFFFF"/>
          </w:tcPr>
          <w:p w:rsidR="000A6903" w:rsidRPr="000A6903" w:rsidRDefault="000A6903" w:rsidP="000A6903">
            <w:pPr>
              <w:spacing w:before="120" w:after="120"/>
              <w:rPr>
                <w:sz w:val="20"/>
              </w:rPr>
            </w:pPr>
            <w:r>
              <w:rPr>
                <w:sz w:val="20"/>
              </w:rPr>
              <w:t>NI</w:t>
            </w:r>
          </w:p>
        </w:tc>
        <w:tc>
          <w:tcPr>
            <w:tcW w:w="7371" w:type="dxa"/>
            <w:shd w:val="clear" w:color="auto" w:fill="FFFFFF"/>
          </w:tcPr>
          <w:p w:rsidR="000A6903" w:rsidRPr="000A6903" w:rsidRDefault="000A6903" w:rsidP="000A6903">
            <w:pPr>
              <w:spacing w:before="120" w:after="120"/>
              <w:rPr>
                <w:sz w:val="20"/>
              </w:rPr>
            </w:pPr>
            <w:r>
              <w:rPr>
                <w:sz w:val="20"/>
              </w:rPr>
              <w:t>Zoltán Balczó</w:t>
            </w:r>
          </w:p>
        </w:tc>
      </w:tr>
      <w:tr w:rsidR="000A6903" w:rsidRPr="000A6903" w:rsidTr="009E1AE8">
        <w:trPr>
          <w:cantSplit/>
        </w:trPr>
        <w:tc>
          <w:tcPr>
            <w:tcW w:w="1701" w:type="dxa"/>
            <w:shd w:val="clear" w:color="auto" w:fill="FFFFFF"/>
          </w:tcPr>
          <w:p w:rsidR="000A6903" w:rsidRPr="000A6903" w:rsidRDefault="000A6903" w:rsidP="000A6903">
            <w:pPr>
              <w:spacing w:before="120" w:after="120"/>
              <w:rPr>
                <w:sz w:val="20"/>
              </w:rPr>
            </w:pPr>
            <w:r>
              <w:rPr>
                <w:sz w:val="20"/>
              </w:rPr>
              <w:t>PPE</w:t>
            </w:r>
          </w:p>
        </w:tc>
        <w:tc>
          <w:tcPr>
            <w:tcW w:w="7371" w:type="dxa"/>
            <w:shd w:val="clear" w:color="auto" w:fill="FFFFFF"/>
          </w:tcPr>
          <w:p w:rsidR="000A6903" w:rsidRPr="000A6903" w:rsidRDefault="000A6903" w:rsidP="000A6903">
            <w:pPr>
              <w:spacing w:before="120" w:after="120"/>
              <w:rPr>
                <w:sz w:val="20"/>
              </w:rPr>
            </w:pPr>
            <w:r>
              <w:rPr>
                <w:sz w:val="20"/>
              </w:rPr>
              <w:t>Pilar Ayuso, Ivo Belet, Cristian-Silviu Buşoi, Birgit Collin-Langen, Michel Dantin, Francesc Gambús, Jens Gieseke, Françoise Grossetête, Esther Herranz García, Giovanni La Via, Innocenzo Leontini, Peter Liese, Miroslav Mikolášik, Sirpa Pietikäinen, Annie Schreijer-Pierik, Adina-Ioana Vălean</w:t>
            </w:r>
          </w:p>
        </w:tc>
      </w:tr>
      <w:tr w:rsidR="000A6903" w:rsidRPr="000A6903" w:rsidTr="009E1AE8">
        <w:trPr>
          <w:cantSplit/>
        </w:trPr>
        <w:tc>
          <w:tcPr>
            <w:tcW w:w="1701" w:type="dxa"/>
            <w:shd w:val="clear" w:color="auto" w:fill="FFFFFF"/>
          </w:tcPr>
          <w:p w:rsidR="000A6903" w:rsidRPr="000A6903" w:rsidRDefault="000A6903" w:rsidP="000A6903">
            <w:pPr>
              <w:spacing w:before="120" w:after="120"/>
              <w:rPr>
                <w:sz w:val="20"/>
              </w:rPr>
            </w:pPr>
            <w:r>
              <w:rPr>
                <w:sz w:val="20"/>
              </w:rPr>
              <w:t>S&amp;D</w:t>
            </w:r>
          </w:p>
        </w:tc>
        <w:tc>
          <w:tcPr>
            <w:tcW w:w="7371" w:type="dxa"/>
            <w:shd w:val="clear" w:color="auto" w:fill="FFFFFF"/>
          </w:tcPr>
          <w:p w:rsidR="000A6903" w:rsidRPr="000A6903" w:rsidRDefault="000A6903" w:rsidP="000A6903">
            <w:pPr>
              <w:spacing w:before="120" w:after="120"/>
              <w:rPr>
                <w:sz w:val="20"/>
              </w:rPr>
            </w:pPr>
            <w:r>
              <w:rPr>
                <w:sz w:val="20"/>
              </w:rPr>
              <w:t>Biljana Borzan, Paul Brannen, Mercedes Bresso, Soledad Cabezón Ruiz, Nicola Caputo, Nessa Childers, Seb Dance, Karin Kadenbach, Jo Leinen, Olle Ludvigsson, Susanne Melior, Massimo Paolucci, Gilles Pargneaux , Carlos Zorrinho</w:t>
            </w:r>
          </w:p>
        </w:tc>
      </w:tr>
      <w:tr w:rsidR="000A6903" w:rsidRPr="000A6903" w:rsidTr="009E1AE8">
        <w:trPr>
          <w:cantSplit/>
        </w:trPr>
        <w:tc>
          <w:tcPr>
            <w:tcW w:w="1701" w:type="dxa"/>
            <w:shd w:val="clear" w:color="auto" w:fill="FFFFFF"/>
          </w:tcPr>
          <w:p w:rsidR="000A6903" w:rsidRPr="000A6903" w:rsidRDefault="000A6903" w:rsidP="000A6903">
            <w:pPr>
              <w:spacing w:before="120" w:after="120"/>
              <w:rPr>
                <w:sz w:val="20"/>
              </w:rPr>
            </w:pPr>
            <w:r>
              <w:rPr>
                <w:sz w:val="20"/>
              </w:rPr>
              <w:t>VERTS/ALE</w:t>
            </w:r>
          </w:p>
        </w:tc>
        <w:tc>
          <w:tcPr>
            <w:tcW w:w="7371" w:type="dxa"/>
            <w:shd w:val="clear" w:color="auto" w:fill="FFFFFF"/>
          </w:tcPr>
          <w:p w:rsidR="000A6903" w:rsidRPr="000A6903" w:rsidRDefault="000A6903" w:rsidP="000A6903">
            <w:pPr>
              <w:spacing w:before="120" w:after="120"/>
              <w:rPr>
                <w:sz w:val="20"/>
              </w:rPr>
            </w:pPr>
            <w:r>
              <w:rPr>
                <w:sz w:val="20"/>
              </w:rPr>
              <w:t>Marco Affronte, Bas Eickhout, Martin Häusling, Benedek Jávor, Tilly Metz, Ana Miranda</w:t>
            </w:r>
          </w:p>
        </w:tc>
      </w:tr>
    </w:tbl>
    <w:p w:rsidR="000A6903" w:rsidRPr="000A6903" w:rsidRDefault="000A6903" w:rsidP="000A6903">
      <w:pPr>
        <w:rPr>
          <w:lang w:val="en-GB"/>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A6903" w:rsidRPr="000A6903" w:rsidTr="009E1AE8">
        <w:trPr>
          <w:cantSplit/>
        </w:trPr>
        <w:tc>
          <w:tcPr>
            <w:tcW w:w="1701" w:type="dxa"/>
            <w:shd w:val="pct10" w:color="000000" w:fill="FFFFFF"/>
            <w:vAlign w:val="center"/>
          </w:tcPr>
          <w:p w:rsidR="000A6903" w:rsidRPr="000A6903" w:rsidRDefault="000A6903" w:rsidP="000A6903">
            <w:pPr>
              <w:spacing w:before="120" w:after="120"/>
              <w:jc w:val="center"/>
              <w:rPr>
                <w:b/>
                <w:sz w:val="16"/>
              </w:rPr>
            </w:pPr>
            <w:r>
              <w:rPr>
                <w:b/>
                <w:sz w:val="20"/>
              </w:rPr>
              <w:t>1</w:t>
            </w:r>
          </w:p>
        </w:tc>
        <w:tc>
          <w:tcPr>
            <w:tcW w:w="7371" w:type="dxa"/>
            <w:shd w:val="pct10" w:color="000000" w:fill="FFFFFF"/>
          </w:tcPr>
          <w:p w:rsidR="000A6903" w:rsidRPr="000A6903" w:rsidRDefault="000A6903" w:rsidP="000A6903">
            <w:pPr>
              <w:spacing w:before="120" w:after="120"/>
              <w:jc w:val="center"/>
              <w:rPr>
                <w:sz w:val="28"/>
                <w:szCs w:val="28"/>
              </w:rPr>
            </w:pPr>
            <w:r>
              <w:rPr>
                <w:rFonts w:ascii="Arial" w:hAnsi="Arial"/>
                <w:b/>
                <w:sz w:val="28"/>
                <w:szCs w:val="28"/>
              </w:rPr>
              <w:t>-</w:t>
            </w:r>
          </w:p>
        </w:tc>
      </w:tr>
      <w:tr w:rsidR="000A6903" w:rsidRPr="000A6903" w:rsidTr="009E1AE8">
        <w:trPr>
          <w:cantSplit/>
        </w:trPr>
        <w:tc>
          <w:tcPr>
            <w:tcW w:w="1701" w:type="dxa"/>
            <w:shd w:val="clear" w:color="auto" w:fill="FFFFFF"/>
          </w:tcPr>
          <w:p w:rsidR="000A6903" w:rsidRPr="000A6903" w:rsidRDefault="000A6903" w:rsidP="000A6903">
            <w:pPr>
              <w:spacing w:before="120" w:after="120"/>
              <w:rPr>
                <w:sz w:val="20"/>
              </w:rPr>
            </w:pPr>
            <w:r>
              <w:rPr>
                <w:sz w:val="20"/>
              </w:rPr>
              <w:t>EFDD</w:t>
            </w:r>
          </w:p>
        </w:tc>
        <w:tc>
          <w:tcPr>
            <w:tcW w:w="7371" w:type="dxa"/>
            <w:shd w:val="clear" w:color="auto" w:fill="FFFFFF"/>
          </w:tcPr>
          <w:p w:rsidR="000A6903" w:rsidRPr="000A6903" w:rsidRDefault="000A6903" w:rsidP="000A6903">
            <w:pPr>
              <w:spacing w:before="120" w:after="120"/>
              <w:rPr>
                <w:sz w:val="20"/>
              </w:rPr>
            </w:pPr>
            <w:r>
              <w:rPr>
                <w:sz w:val="20"/>
              </w:rPr>
              <w:t>Julia Reid</w:t>
            </w:r>
          </w:p>
        </w:tc>
      </w:tr>
    </w:tbl>
    <w:p w:rsidR="000A6903" w:rsidRPr="000A6903" w:rsidRDefault="000A6903" w:rsidP="000A6903">
      <w:pPr>
        <w:rPr>
          <w:lang w:val="en-GB"/>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A6903" w:rsidRPr="000A6903" w:rsidTr="009E1AE8">
        <w:trPr>
          <w:cantSplit/>
        </w:trPr>
        <w:tc>
          <w:tcPr>
            <w:tcW w:w="1701" w:type="dxa"/>
            <w:shd w:val="pct10" w:color="000000" w:fill="FFFFFF"/>
            <w:vAlign w:val="center"/>
          </w:tcPr>
          <w:p w:rsidR="000A6903" w:rsidRPr="000A6903" w:rsidRDefault="000A6903" w:rsidP="000A6903">
            <w:pPr>
              <w:spacing w:before="120" w:after="120"/>
              <w:jc w:val="center"/>
              <w:rPr>
                <w:b/>
                <w:sz w:val="16"/>
              </w:rPr>
            </w:pPr>
            <w:r>
              <w:rPr>
                <w:b/>
                <w:sz w:val="20"/>
              </w:rPr>
              <w:t>2</w:t>
            </w:r>
          </w:p>
        </w:tc>
        <w:tc>
          <w:tcPr>
            <w:tcW w:w="7371" w:type="dxa"/>
            <w:shd w:val="pct10" w:color="000000" w:fill="FFFFFF"/>
          </w:tcPr>
          <w:p w:rsidR="000A6903" w:rsidRPr="000A6903" w:rsidRDefault="000A6903" w:rsidP="000A6903">
            <w:pPr>
              <w:spacing w:before="120" w:after="120"/>
              <w:jc w:val="center"/>
              <w:rPr>
                <w:sz w:val="28"/>
                <w:szCs w:val="28"/>
              </w:rPr>
            </w:pPr>
            <w:r>
              <w:rPr>
                <w:rFonts w:ascii="Arial" w:hAnsi="Arial"/>
                <w:b/>
                <w:sz w:val="28"/>
                <w:szCs w:val="28"/>
              </w:rPr>
              <w:t>0</w:t>
            </w:r>
          </w:p>
        </w:tc>
      </w:tr>
      <w:tr w:rsidR="000A6903" w:rsidRPr="000A6903" w:rsidTr="009E1AE8">
        <w:trPr>
          <w:cantSplit/>
        </w:trPr>
        <w:tc>
          <w:tcPr>
            <w:tcW w:w="1701" w:type="dxa"/>
            <w:shd w:val="clear" w:color="auto" w:fill="FFFFFF"/>
          </w:tcPr>
          <w:p w:rsidR="000A6903" w:rsidRPr="000A6903" w:rsidRDefault="000A6903" w:rsidP="000A6903">
            <w:pPr>
              <w:spacing w:before="120" w:after="120"/>
              <w:rPr>
                <w:sz w:val="20"/>
              </w:rPr>
            </w:pPr>
            <w:r>
              <w:rPr>
                <w:sz w:val="20"/>
              </w:rPr>
              <w:t>ECR</w:t>
            </w:r>
          </w:p>
        </w:tc>
        <w:tc>
          <w:tcPr>
            <w:tcW w:w="7371" w:type="dxa"/>
            <w:shd w:val="clear" w:color="auto" w:fill="FFFFFF"/>
          </w:tcPr>
          <w:p w:rsidR="000A6903" w:rsidRPr="000A6903" w:rsidRDefault="000A6903" w:rsidP="000A6903">
            <w:pPr>
              <w:spacing w:before="120" w:after="120"/>
              <w:rPr>
                <w:sz w:val="20"/>
              </w:rPr>
            </w:pPr>
            <w:r>
              <w:rPr>
                <w:sz w:val="20"/>
              </w:rPr>
              <w:t>John Procter</w:t>
            </w:r>
          </w:p>
        </w:tc>
      </w:tr>
      <w:tr w:rsidR="000A6903" w:rsidRPr="000A6903" w:rsidTr="009E1AE8">
        <w:trPr>
          <w:cantSplit/>
        </w:trPr>
        <w:tc>
          <w:tcPr>
            <w:tcW w:w="1701" w:type="dxa"/>
            <w:shd w:val="clear" w:color="auto" w:fill="FFFFFF"/>
          </w:tcPr>
          <w:p w:rsidR="000A6903" w:rsidRPr="000A6903" w:rsidRDefault="000A6903" w:rsidP="000A6903">
            <w:pPr>
              <w:spacing w:before="120" w:after="120"/>
              <w:rPr>
                <w:sz w:val="20"/>
              </w:rPr>
            </w:pPr>
            <w:r>
              <w:rPr>
                <w:sz w:val="20"/>
              </w:rPr>
              <w:t>EFDD</w:t>
            </w:r>
          </w:p>
        </w:tc>
        <w:tc>
          <w:tcPr>
            <w:tcW w:w="7371" w:type="dxa"/>
            <w:shd w:val="clear" w:color="auto" w:fill="FFFFFF"/>
          </w:tcPr>
          <w:p w:rsidR="000A6903" w:rsidRPr="000A6903" w:rsidRDefault="000A6903" w:rsidP="000A6903">
            <w:pPr>
              <w:spacing w:before="120" w:after="120"/>
              <w:rPr>
                <w:sz w:val="20"/>
              </w:rPr>
            </w:pPr>
            <w:r>
              <w:rPr>
                <w:sz w:val="20"/>
              </w:rPr>
              <w:t>Sylvie Goddyn</w:t>
            </w:r>
          </w:p>
        </w:tc>
      </w:tr>
    </w:tbl>
    <w:p w:rsidR="000A6903" w:rsidRPr="000A6903" w:rsidRDefault="000A6903" w:rsidP="000A6903">
      <w:pPr>
        <w:widowControl w:val="0"/>
        <w:spacing w:after="240"/>
        <w:rPr>
          <w:szCs w:val="20"/>
          <w:lang w:val="en-GB"/>
        </w:rPr>
      </w:pPr>
    </w:p>
    <w:p w:rsidR="000A6903" w:rsidRPr="000A6903" w:rsidRDefault="000A6903" w:rsidP="000A6903">
      <w:r>
        <w:t>Vysvetlenie použitých znakov:</w:t>
      </w:r>
    </w:p>
    <w:p w:rsidR="000A6903" w:rsidRPr="000A6903" w:rsidRDefault="000A6903" w:rsidP="000A6903">
      <w:pPr>
        <w:widowControl w:val="0"/>
        <w:tabs>
          <w:tab w:val="center" w:pos="284"/>
          <w:tab w:val="left" w:pos="426"/>
        </w:tabs>
        <w:rPr>
          <w:snapToGrid w:val="0"/>
          <w:szCs w:val="20"/>
        </w:rPr>
      </w:pPr>
      <w:r>
        <w:rPr>
          <w:snapToGrid w:val="0"/>
          <w:szCs w:val="20"/>
        </w:rPr>
        <w:t>+</w:t>
      </w:r>
      <w:r>
        <w:rPr>
          <w:snapToGrid w:val="0"/>
          <w:szCs w:val="20"/>
        </w:rPr>
        <w:tab/>
        <w:t>:</w:t>
      </w:r>
      <w:r>
        <w:rPr>
          <w:snapToGrid w:val="0"/>
          <w:szCs w:val="20"/>
        </w:rPr>
        <w:tab/>
        <w:t>za</w:t>
      </w:r>
    </w:p>
    <w:p w:rsidR="000A6903" w:rsidRPr="000A6903" w:rsidRDefault="000A6903" w:rsidP="000A6903">
      <w:pPr>
        <w:widowControl w:val="0"/>
        <w:tabs>
          <w:tab w:val="center" w:pos="284"/>
          <w:tab w:val="left" w:pos="426"/>
        </w:tabs>
        <w:rPr>
          <w:snapToGrid w:val="0"/>
          <w:szCs w:val="20"/>
        </w:rPr>
      </w:pPr>
      <w:r>
        <w:rPr>
          <w:snapToGrid w:val="0"/>
          <w:szCs w:val="20"/>
        </w:rPr>
        <w:t>-</w:t>
      </w:r>
      <w:r>
        <w:rPr>
          <w:snapToGrid w:val="0"/>
          <w:szCs w:val="20"/>
        </w:rPr>
        <w:tab/>
        <w:t>:</w:t>
      </w:r>
      <w:r>
        <w:rPr>
          <w:snapToGrid w:val="0"/>
          <w:szCs w:val="20"/>
        </w:rPr>
        <w:tab/>
        <w:t>proti</w:t>
      </w:r>
    </w:p>
    <w:p w:rsidR="000A6903" w:rsidRPr="000A6903" w:rsidRDefault="000A6903" w:rsidP="000A6903">
      <w:pPr>
        <w:widowControl w:val="0"/>
        <w:tabs>
          <w:tab w:val="center" w:pos="284"/>
          <w:tab w:val="left" w:pos="426"/>
        </w:tabs>
        <w:rPr>
          <w:snapToGrid w:val="0"/>
          <w:szCs w:val="20"/>
        </w:rPr>
      </w:pPr>
      <w:r>
        <w:rPr>
          <w:snapToGrid w:val="0"/>
          <w:szCs w:val="20"/>
        </w:rPr>
        <w:t>0</w:t>
      </w:r>
      <w:r>
        <w:rPr>
          <w:snapToGrid w:val="0"/>
          <w:szCs w:val="20"/>
        </w:rPr>
        <w:tab/>
        <w:t>:</w:t>
      </w:r>
      <w:r>
        <w:rPr>
          <w:snapToGrid w:val="0"/>
          <w:szCs w:val="20"/>
        </w:rPr>
        <w:tab/>
        <w:t>zdržali sa hlasovania</w:t>
      </w:r>
    </w:p>
    <w:p w:rsidR="000A6903" w:rsidRPr="000A6903" w:rsidRDefault="000A6903" w:rsidP="000A6903">
      <w:pPr>
        <w:rPr>
          <w:lang w:val="en-GB"/>
        </w:rPr>
      </w:pPr>
    </w:p>
    <w:bookmarkEnd w:id="3"/>
    <w:p w:rsidR="000A6903" w:rsidRPr="000A6903" w:rsidRDefault="000A6903" w:rsidP="000A6903">
      <w:pPr>
        <w:rPr>
          <w:lang w:val="en-GB"/>
        </w:rPr>
      </w:pPr>
    </w:p>
    <w:p w:rsidR="00BE20CF" w:rsidRPr="00823EFF" w:rsidRDefault="00BE20CF" w:rsidP="00823EFF"/>
    <w:sectPr w:rsidR="00BE20CF" w:rsidRPr="00823EFF" w:rsidSect="00D8748F">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AAF" w:rsidRPr="00A80AAF" w:rsidRDefault="00A80AAF">
      <w:r w:rsidRPr="00A80AAF">
        <w:separator/>
      </w:r>
    </w:p>
  </w:endnote>
  <w:endnote w:type="continuationSeparator" w:id="0">
    <w:p w:rsidR="00A80AAF" w:rsidRPr="00A80AAF" w:rsidRDefault="00A80AAF">
      <w:r w:rsidRPr="00A80AA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EFF" w:rsidRDefault="00823EFF" w:rsidP="00823EFF">
    <w:pPr>
      <w:pStyle w:val="Footer"/>
    </w:pPr>
    <w:r>
      <w:t>PE</w:t>
    </w:r>
    <w:r w:rsidRPr="0063682E">
      <w:rPr>
        <w:rStyle w:val="HideTWBExt"/>
      </w:rPr>
      <w:t>&lt;NoPE&gt;</w:t>
    </w:r>
    <w:r>
      <w:t>627.712</w:t>
    </w:r>
    <w:r w:rsidRPr="0063682E">
      <w:rPr>
        <w:rStyle w:val="HideTWBExt"/>
      </w:rPr>
      <w:t>&lt;/NoPE&gt;&lt;Version&gt;</w:t>
    </w:r>
    <w:r>
      <w:t>v02-00</w:t>
    </w:r>
    <w:r w:rsidRPr="0063682E">
      <w:rPr>
        <w:rStyle w:val="HideTWBExt"/>
      </w:rPr>
      <w:t>&lt;/Version&gt;</w:t>
    </w:r>
    <w:r>
      <w:tab/>
    </w:r>
    <w:r>
      <w:fldChar w:fldCharType="begin"/>
    </w:r>
    <w:r>
      <w:instrText xml:space="preserve"> PAGE  \* MERGEFORMAT </w:instrText>
    </w:r>
    <w:r>
      <w:fldChar w:fldCharType="separate"/>
    </w:r>
    <w:r w:rsidR="00736D58">
      <w:rPr>
        <w:noProof/>
      </w:rPr>
      <w:t>44</w:t>
    </w:r>
    <w:r>
      <w:fldChar w:fldCharType="end"/>
    </w:r>
    <w:r>
      <w:t>/</w:t>
    </w:r>
    <w:r w:rsidR="00E917F2">
      <w:rPr>
        <w:noProof/>
      </w:rPr>
      <w:fldChar w:fldCharType="begin"/>
    </w:r>
    <w:r w:rsidR="00E917F2">
      <w:rPr>
        <w:noProof/>
      </w:rPr>
      <w:instrText xml:space="preserve"> NUMPAGES  \* MERGEFORMAT </w:instrText>
    </w:r>
    <w:r w:rsidR="00E917F2">
      <w:rPr>
        <w:noProof/>
      </w:rPr>
      <w:fldChar w:fldCharType="separate"/>
    </w:r>
    <w:r w:rsidR="00736D58">
      <w:rPr>
        <w:noProof/>
      </w:rPr>
      <w:t>46</w:t>
    </w:r>
    <w:r w:rsidR="00E917F2">
      <w:rPr>
        <w:noProof/>
      </w:rPr>
      <w:fldChar w:fldCharType="end"/>
    </w:r>
    <w:r>
      <w:tab/>
    </w:r>
    <w:r w:rsidRPr="0063682E">
      <w:rPr>
        <w:rStyle w:val="HideTWBExt"/>
      </w:rPr>
      <w:t>&lt;PathFdR&gt;</w:t>
    </w:r>
    <w:r>
      <w:t>AD\1169823SK.docx</w:t>
    </w:r>
    <w:r w:rsidRPr="0063682E">
      <w:rPr>
        <w:rStyle w:val="HideTWBExt"/>
      </w:rPr>
      <w:t>&lt;/PathFdR&gt;</w:t>
    </w:r>
  </w:p>
  <w:p w:rsidR="007F187F" w:rsidRPr="00A80AAF" w:rsidRDefault="00823EFF" w:rsidP="00823EFF">
    <w:pPr>
      <w:pStyle w:val="Footer2"/>
    </w:pPr>
    <w:r>
      <w:t>SK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EFF" w:rsidRDefault="00823EFF" w:rsidP="00823EFF">
    <w:pPr>
      <w:pStyle w:val="Footer"/>
    </w:pPr>
    <w:r w:rsidRPr="0063682E">
      <w:rPr>
        <w:rStyle w:val="HideTWBExt"/>
      </w:rPr>
      <w:t>&lt;PathFdR&gt;</w:t>
    </w:r>
    <w:r>
      <w:t>AD\1169823SK.docx</w:t>
    </w:r>
    <w:r w:rsidRPr="0063682E">
      <w:rPr>
        <w:rStyle w:val="HideTWBExt"/>
      </w:rPr>
      <w:t>&lt;/PathFdR&gt;</w:t>
    </w:r>
    <w:r>
      <w:tab/>
    </w:r>
    <w:r>
      <w:fldChar w:fldCharType="begin"/>
    </w:r>
    <w:r>
      <w:instrText xml:space="preserve"> PAGE  \* MERGEFORMAT </w:instrText>
    </w:r>
    <w:r>
      <w:fldChar w:fldCharType="separate"/>
    </w:r>
    <w:r w:rsidR="00736D58">
      <w:rPr>
        <w:noProof/>
      </w:rPr>
      <w:t>45</w:t>
    </w:r>
    <w:r>
      <w:fldChar w:fldCharType="end"/>
    </w:r>
    <w:r>
      <w:t>/</w:t>
    </w:r>
    <w:r w:rsidR="00E917F2">
      <w:rPr>
        <w:noProof/>
      </w:rPr>
      <w:fldChar w:fldCharType="begin"/>
    </w:r>
    <w:r w:rsidR="00E917F2">
      <w:rPr>
        <w:noProof/>
      </w:rPr>
      <w:instrText xml:space="preserve"> NUMPAGES  \* MERGEFORMAT </w:instrText>
    </w:r>
    <w:r w:rsidR="00E917F2">
      <w:rPr>
        <w:noProof/>
      </w:rPr>
      <w:fldChar w:fldCharType="separate"/>
    </w:r>
    <w:r w:rsidR="00736D58">
      <w:rPr>
        <w:noProof/>
      </w:rPr>
      <w:t>46</w:t>
    </w:r>
    <w:r w:rsidR="00E917F2">
      <w:rPr>
        <w:noProof/>
      </w:rPr>
      <w:fldChar w:fldCharType="end"/>
    </w:r>
    <w:r>
      <w:tab/>
      <w:t>PE</w:t>
    </w:r>
    <w:r w:rsidRPr="0063682E">
      <w:rPr>
        <w:rStyle w:val="HideTWBExt"/>
      </w:rPr>
      <w:t>&lt;NoPE&gt;</w:t>
    </w:r>
    <w:r>
      <w:t>627.712</w:t>
    </w:r>
    <w:r w:rsidRPr="0063682E">
      <w:rPr>
        <w:rStyle w:val="HideTWBExt"/>
      </w:rPr>
      <w:t>&lt;/NoPE&gt;&lt;Version&gt;</w:t>
    </w:r>
    <w:r>
      <w:t>v02-00</w:t>
    </w:r>
    <w:r w:rsidRPr="0063682E">
      <w:rPr>
        <w:rStyle w:val="HideTWBExt"/>
      </w:rPr>
      <w:t>&lt;/Version&gt;</w:t>
    </w:r>
  </w:p>
  <w:p w:rsidR="007F187F" w:rsidRPr="00A80AAF" w:rsidRDefault="00823EFF" w:rsidP="00823EFF">
    <w:pPr>
      <w:pStyle w:val="Footer2"/>
    </w:pPr>
    <w:r>
      <w:tab/>
      <w:t>SK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EFF" w:rsidRDefault="00823EFF" w:rsidP="00823EFF">
    <w:pPr>
      <w:pStyle w:val="Footer"/>
    </w:pPr>
    <w:r w:rsidRPr="0063682E">
      <w:rPr>
        <w:rStyle w:val="HideTWBExt"/>
      </w:rPr>
      <w:t>&lt;PathFdR&gt;</w:t>
    </w:r>
    <w:r>
      <w:t>AD\1169823SK.docx</w:t>
    </w:r>
    <w:r w:rsidRPr="0063682E">
      <w:rPr>
        <w:rStyle w:val="HideTWBExt"/>
      </w:rPr>
      <w:t>&lt;/PathFdR&gt;</w:t>
    </w:r>
    <w:r>
      <w:tab/>
    </w:r>
    <w:r>
      <w:tab/>
      <w:t>PE</w:t>
    </w:r>
    <w:r w:rsidRPr="0063682E">
      <w:rPr>
        <w:rStyle w:val="HideTWBExt"/>
      </w:rPr>
      <w:t>&lt;NoPE&gt;</w:t>
    </w:r>
    <w:r>
      <w:t>627.712</w:t>
    </w:r>
    <w:r w:rsidRPr="0063682E">
      <w:rPr>
        <w:rStyle w:val="HideTWBExt"/>
      </w:rPr>
      <w:t>&lt;/NoPE&gt;&lt;Version&gt;</w:t>
    </w:r>
    <w:r>
      <w:t>v02-00</w:t>
    </w:r>
    <w:r w:rsidRPr="0063682E">
      <w:rPr>
        <w:rStyle w:val="HideTWBExt"/>
      </w:rPr>
      <w:t>&lt;/Version&gt;</w:t>
    </w:r>
  </w:p>
  <w:p w:rsidR="007F187F" w:rsidRPr="00A80AAF" w:rsidRDefault="00823EFF" w:rsidP="00823EFF">
    <w:pPr>
      <w:pStyle w:val="Footer2"/>
      <w:tabs>
        <w:tab w:val="center" w:pos="4535"/>
      </w:tabs>
    </w:pPr>
    <w:r>
      <w:t>SK</w:t>
    </w:r>
    <w:r>
      <w:tab/>
    </w:r>
    <w:r w:rsidRPr="00823EFF">
      <w:rPr>
        <w:b w:val="0"/>
        <w:i/>
        <w:color w:val="C0C0C0"/>
        <w:sz w:val="22"/>
      </w:rPr>
      <w:t>Zjednotení v rozmanitosti</w:t>
    </w:r>
    <w:r>
      <w:tab/>
      <w:t>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AAF" w:rsidRPr="00A80AAF" w:rsidRDefault="00A80AAF">
      <w:r w:rsidRPr="00A80AAF">
        <w:separator/>
      </w:r>
    </w:p>
  </w:footnote>
  <w:footnote w:type="continuationSeparator" w:id="0">
    <w:p w:rsidR="00A80AAF" w:rsidRPr="00A80AAF" w:rsidRDefault="00A80AAF">
      <w:r w:rsidRPr="00A80AA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4B6" w:rsidRDefault="000B04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4B6" w:rsidRDefault="000B04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4B6" w:rsidRDefault="000B04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DEMNU" w:val=" 1"/>
    <w:docVar w:name="COM2KEY" w:val="PECH"/>
    <w:docVar w:name="COMKEY" w:val="ENVI"/>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604668 HideTWBExt;}}{\*\rsidtbl \rsid24658\rsid735077\rsid1126752\rsid2892074\rsid3604668\rsid4666813\rsid6641733\rsid9636012\rsid11215221\rsid12154954\rsid14424199\rsid15204470\rsid15285974_x000d__x000a_\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6}{\*\company European Parliament}{\nofcharsws37}{\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604668\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26752 \chftnsep _x000d__x000a_\par }}{\*\ftnsepc \ltrpar \pard\plain \ltrpar\ql \li0\ri0\widctlpar\wrapdefault\aspalpha\aspnum\faauto\adjustright\rin0\lin0\itap0 \rtlch\fcs1 \af0\afs20\alang1025 \ltrch\fcs0 \fs24\lang2057\langfe2057\cgrid\langnp2057\langfenp2057 {\rtlch\fcs1 \af0 _x000d__x000a_\ltrch\fcs0 \insrsid1126752 \chftnsepc _x000d__x000a_\par }}{\*\aftnsep \ltrpar \pard\plain \ltrpar\ql \li0\ri0\widctlpar\wrapdefault\aspalpha\aspnum\faauto\adjustright\rin0\lin0\itap0 \rtlch\fcs1 \af0\afs20\alang1025 \ltrch\fcs0 \fs24\lang2057\langfe2057\cgrid\langnp2057\langfenp2057 {\rtlch\fcs1 \af0 _x000d__x000a_\ltrch\fcs0 \insrsid1126752 \chftnsep _x000d__x000a_\par }}{\*\aftnsepc \ltrpar \pard\plain \ltrpar\ql \li0\ri0\widctlpar\wrapdefault\aspalpha\aspnum\faauto\adjustright\rin0\lin0\itap0 \rtlch\fcs1 \af0\afs20\alang1025 \ltrch\fcs0 \fs24\lang2057\langfe2057\cgrid\langnp2057\langfenp2057 {\rtlch\fcs1 \af0 _x000d__x000a_\ltrch\fcs0 \insrsid112675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3604668 \rtlch\fcs1 \af0\afs20\alang1025 \ltrch\fcs0 \fs24\lang2057\langfe2057\cgrid\langnp2057\langfenp2057 {\rtlch\fcs1 \af0 \ltrch\fcs0 _x000d__x000a_\cs15\v\f1\fs20\cf9\insrsid3604668\charrsid15879488 {\*\bkmkstart EndA}&lt;&lt;&lt;}{\rtlch\fcs1 \af0 \ltrch\fcs0 \insrsid3604668\charrsid15879488 #@&gt;ZOTHAMA&lt;@#}{\rtlch\fcs1 \af0 \ltrch\fcs0 \cs15\v\f1\fs20\cf9\insrsid3604668\charrsid15879488 &lt;/RepeatBlock-AmendA&gt;_x000d__x000a_}{\rtlch\fcs1 \af0 \ltrch\fcs0 \insrsid3604668\charrsid15879488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ad_x000d__x000a_b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288674 HideTWBExt;}}{\*\rsidtbl \rsid24658\rsid735077\rsid2892074\rsid4666813\rsid5124350\rsid6641733\rsid9636012\rsid11215221\rsid11288674\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5}{\*\company European Parliament}{\nofcharsws36}{\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288674\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4350 \chftnsep _x000d__x000a_\par }}{\*\ftnsepc \ltrpar \pard\plain \ltrpar\ql \li0\ri0\widctlpar\wrapdefault\aspalpha\aspnum\faauto\adjustright\rin0\lin0\itap0 \rtlch\fcs1 \af0\afs20\alang1025 \ltrch\fcs0 \fs24\lang2057\langfe2057\cgrid\langnp2057\langfenp2057 {\rtlch\fcs1 \af0 _x000d__x000a_\ltrch\fcs0 \insrsid5124350 \chftnsepc _x000d__x000a_\par }}{\*\aftnsep \ltrpar \pard\plain \ltrpar\ql \li0\ri0\widctlpar\wrapdefault\aspalpha\aspnum\faauto\adjustright\rin0\lin0\itap0 \rtlch\fcs1 \af0\afs20\alang1025 \ltrch\fcs0 \fs24\lang2057\langfe2057\cgrid\langnp2057\langfenp2057 {\rtlch\fcs1 \af0 _x000d__x000a_\ltrch\fcs0 \insrsid5124350 \chftnsep _x000d__x000a_\par }}{\*\aftnsepc \ltrpar \pard\plain \ltrpar\ql \li0\ri0\widctlpar\wrapdefault\aspalpha\aspnum\faauto\adjustright\rin0\lin0\itap0 \rtlch\fcs1 \af0\afs20\alang1025 \ltrch\fcs0 \fs24\lang2057\langfe2057\cgrid\langnp2057\langfenp2057 {\rtlch\fcs1 \af0 _x000d__x000a_\ltrch\fcs0 \insrsid512435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1288674\charrsid15879488 {\*\bkmkstart EndB}&lt;&lt;&lt;}{\rtlch\fcs1 \af0 \ltrch\fcs0 \insrsid11288674\charrsid15879488 #@&gt;ZOTHAMB&lt;@#}{\rtlch\fcs1 \af0 \ltrch\fcs0 \cs15\v\f1\fs20\cf9\insrsid11288674\charrsid15879488 &lt;/RepeatBlock-A_x000d__x000a_mendB&gt;}{\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06_x000d__x000a_13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443283 HideTWBExt;}{\s16\ql \li0\ri0\sa240\nowidctlpar\wrapdefault\aspalpha\aspnum\faauto\adjustright\rin0\lin0\itap0 \rtlch\fcs1 \af0\afs20\alang1025 \ltrch\fcs0 _x000d__x000a_\fs24\lang2057\langfe2057\cgrid\langnp2057\langfenp2057 \sbasedon0 \snext16 \spriority0 \styrsid13443283 Normal12;}}{\*\rsidtbl \rsid24658\rsid735077\rsid2892074\rsid4661898\rsid4666813\rsid6641733\rsid9636012\rsid11215221\rsid12154954\rsid13443283_x000d__x000a_\rsid14424199\rsid15204470\rsid15285974\rsid15950462\rsid16324206\rsid16662270}{\mmathPr\mmathFont34\mbrkBin0\mbrkBinSub0\msmallFrac0\mdispDef1\mlMargin0\mrMargin0\mdefJc1\mwrapIndent1440\mintLim0\mnaryLim1}{\info{\author FELIX Karina}_x000d__x000a_{\operator FELIX Karina}{\creatim\yr2017\mo11\dy14\hr11\min16}{\revtim\yr2017\mo11\dy14\hr11\min16}{\version1}{\edmins0}{\nofpages1}{\nofwords1}{\nofchars21}{\*\company European Parliament}{\nofcharsws21}{\vern92}}{\*\xmlnstbl {\xmlns1 http://schemas.micr_x000d__x000a_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443283\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4661898 \chftnsep _x000d__x000a_\par }}{\*\ftnsepc \ltrpar \pard\plain \ltrpar\ql \li0\ri0\widctlpar\wrapdefault\aspalpha\aspnum\faauto\adjustright\rin0\lin0\itap0 \rtlch\fcs1 \af0\afs20\alang1025 \ltrch\fcs0 \fs24\lang2057\langfe2057\cgrid\langnp2057\langfenp2057 {\rtlch\fcs1 \af0 _x000d__x000a_\ltrch\fcs0 \insrsid4661898 \chftnsepc _x000d__x000a_\par }}{\*\aftnsep \ltrpar \pard\plain \ltrpar\ql \li0\ri0\widctlpar\wrapdefault\aspalpha\aspnum\faauto\adjustright\rin0\lin0\itap0 \rtlch\fcs1 \af0\afs20\alang1025 \ltrch\fcs0 \fs24\lang2057\langfe2057\cgrid\langnp2057\langfenp2057 {\rtlch\fcs1 \af0 _x000d__x000a_\ltrch\fcs0 \insrsid4661898 \chftnsep _x000d__x000a_\par }}{\*\aftnsepc \ltrpar \pard\plain \ltrpar\ql \li0\ri0\widctlpar\wrapdefault\aspalpha\aspnum\faauto\adjustright\rin0\lin0\itap0 \rtlch\fcs1 \af0\afs20\alang1025 \ltrch\fcs0 \fs24\lang2057\langfe2057\cgrid\langnp2057\langfenp2057 {\rtlch\fcs1 \af0 _x000d__x000a_\ltrch\fcs0 \insrsid466189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sa240\nowidctlpar\wrapdefault\aspalpha\aspnum\faauto\adjustright\rin0\lin0\itap0\pararsid13443283 \rtlch\fcs1 \af0\afs20\alang1025 \ltrch\fcs0 \fs24\lang2057\langfe2057\cgrid\langnp2057\langfenp2057 {\rtlch\fcs1 \af0 \ltrch\fcs0 _x000d__x000a_\insrsid13443283\charrsid15879488 {\*\bkmkstart IntroA}_x000d__x000a_\par }\pard\plain \ltrpar\ql \li0\ri0\widctlpar\wrapdefault\aspalpha\aspnum\faauto\adjustright\rin0\lin0\itap0\pararsid13443283 \rtlch\fcs1 \af0\afs20\alang1025 \ltrch\fcs0 \fs24\lang2057\langfe2057\cgrid\langnp2057\langfenp2057 {\rtlch\fcs1 \af0 \ltrch\fcs0 _x000d__x000a_\cs15\b\v\f1\fs20\cf9\insrsid13443283\charrsid15879488 &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49_x000d__x000a_0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498057 HideTWBExt;}}{\*\rsidtbl \rsid24658\rsid735077\rsid2892074\rsid4666813\rsid6641733\rsid9636012\rsid10498057\rsid11215221\rsid12154954\rsid14424199\rsid14632140\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1}{\nofchars20}{\*\company European Parliament}{\nofcharsws20}{\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498057\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4632140 \chftnsep _x000d__x000a_\par }}{\*\ftnsepc \ltrpar \pard\plain \ltrpar\ql \li0\ri0\widctlpar\wrapdefault\aspalpha\aspnum\faauto\adjustright\rin0\lin0\itap0 \rtlch\fcs1 \af0\afs20\alang1025 \ltrch\fcs0 \fs24\lang2057\langfe2057\cgrid\langnp2057\langfenp2057 {\rtlch\fcs1 \af0 _x000d__x000a_\ltrch\fcs0 \insrsid14632140 \chftnsepc _x000d__x000a_\par }}{\*\aftnsep \ltrpar \pard\plain \ltrpar\ql \li0\ri0\widctlpar\wrapdefault\aspalpha\aspnum\faauto\adjustright\rin0\lin0\itap0 \rtlch\fcs1 \af0\afs20\alang1025 \ltrch\fcs0 \fs24\lang2057\langfe2057\cgrid\langnp2057\langfenp2057 {\rtlch\fcs1 \af0 _x000d__x000a_\ltrch\fcs0 \insrsid14632140 \chftnsep _x000d__x000a_\par }}{\*\aftnsepc \ltrpar \pard\plain \ltrpar\ql \li0\ri0\widctlpar\wrapdefault\aspalpha\aspnum\faauto\adjustright\rin0\lin0\itap0 \rtlch\fcs1 \af0\afs20\alang1025 \ltrch\fcs0 \fs24\lang2057\langfe2057\cgrid\langnp2057\langfenp2057 {\rtlch\fcs1 \af0 _x000d__x000a_\ltrch\fcs0 \insrsid1463214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0498057\charrsid15879488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5d_x000d__x000a_67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RepeatBlock-AmendAS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5\fbidi \froman\fcharset238\fprq2 Times New Roman CE;}{\f306\fbidi \froman\fcharset204\fprq2 Times New Roman Cyr;}_x000d__x000a_{\f308\fbidi \froman\fcharset161\fprq2 Times New Roman Greek;}{\f309\fbidi \froman\fcharset162\fprq2 Times New Roman Tur;}{\f310\fbidi \froman\fcharset177\fprq2 Times New Roman (Hebrew);}{\f311\fbidi \froman\fcharset178\fprq2 Times New Roman (Arabic);}_x000d__x000a_{\f312\fbidi \froman\fcharset186\fprq2 Times New Roman Baltic;}{\f313\fbidi \froman\fcharset163\fprq2 Times New Roman (Vietnamese);}{\f315\fbidi \fswiss\fcharset238\fprq2 Arial CE;}{\f316\fbidi \fswiss\fcharset204\fprq2 Arial Cyr;}_x000d__x000a_{\f318\fbidi \fswiss\fcharset161\fprq2 Arial Greek;}{\f319\fbidi \fswiss\fcharset162\fprq2 Arial Tur;}{\f320\fbidi \fswiss\fcharset177\fprq2 Arial (Hebrew);}{\f321\fbidi \fswiss\fcharset178\fprq2 Arial (Arabic);}_x000d__x000a_{\f322\fbidi \fswiss\fcharset186\fprq2 Arial Baltic;}{\f323\fbidi \fswiss\fcharset163\fprq2 Arial (Vietnamese);}{\f645\fbidi \froman\fcharset238\fprq2 Cambria Math CE;}{\f646\fbidi \froman\fcharset204\fprq2 Cambria Math Cyr;}_x000d__x000a_{\f648\fbidi \froman\fcharset161\fprq2 Cambria Math Greek;}{\f649\fbidi \froman\fcharset162\fprq2 Cambria Math Tur;}{\f652\fbidi \froman\fcharset186\fprq2 Cambria Math Baltic;}{\f65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932620 HideTWBExt;}{\s16\ql \li0\ri0\sa120\nowidctlpar\wrapdefault\aspalpha\aspnum\faauto\adjustright\rin0\lin0\itap0 \rtlch\fcs1 \af0\afs20\alang1025 \ltrch\fcs0 _x000d__x000a_\fs24\lang1051\langfe2057\cgrid\langnp1051\langfenp2057 \sbasedon0 \snext16 \slink17 \spriority0 \styrsid12932620 Normal6;}{\*\cs17 \additive \fs24\lang1051\langfe0\langnp1051 \slink16 \slocked \spriority0 \styrsid12932620 Normal6 Char;}{_x000d__x000a_\s18\ql \li0\ri0\nowidctlpar\wrapdefault\aspalpha\aspnum\faauto\adjustright\rin0\lin0\itap0 \rtlch\fcs1 \af0\afs20\alang1025 \ltrch\fcs0 \b\fs24\lang1051\langfe2057\cgrid\langnp1051\langfenp2057 \sbasedon0 \snext18 \slink19 \spriority0 \styrsid12932620 _x000d__x000a_NormalBold;}{\*\cs19 \additive \b\fs24\lang1051\langfe0\langnp1051 \slink18 \slocked \spriority0 \styrsid12932620 NormalBold Char;}{\s20\ql \li0\ri0\sa240\nowidctlpar\wrapdefault\aspalpha\aspnum\faauto\adjustright\rin0\lin0\itap0 \rtlch\fcs1 _x000d__x000a_\af0\afs20\alang1025 \ltrch\fcs0 \i\fs24\lang1051\langfe2057\cgrid\langnp1051\langfenp2057 \sbasedon0 \snext20 \spriority0 \styrsid12932620 Normal12Italic;}{\*\cs21 \additive \v\cf15 \spriority0 \styrsid12932620 HideTWBInt;}{_x000d__x000a_\s22\qc \li0\ri0\sb240\sa240\keepn\nowidctlpar\wrapdefault\aspalpha\aspnum\faauto\adjustright\rin0\lin0\itap0 \rtlch\fcs1 \af0\afs20\alang1025 \ltrch\fcs0 \i\fs24\lang1051\langfe2057\cgrid\langnp1051\langfenp2057 _x000d__x000a_\sbasedon0 \snext0 \spriority0 \styrsid12932620 JustificationTitle;}{\s23\qc \li0\ri0\sa240\nowidctlpar\wrapdefault\aspalpha\aspnum\faauto\adjustright\rin0\lin0\itap0 \rtlch\fcs1 \af0\afs20\alang1025 \ltrch\fcs0 _x000d__x000a_\i\fs24\lang1051\langfe2057\cgrid\langnp1051\langfenp2057 \sbasedon0 \snext23 \spriority0 \styrsid12932620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51\langfe2057\cgrid\langnp1051\langfenp2057 \sbasedon0 \snext24 \spriority0 \styrsid12932620 AMNumberTabs;}{\s25\ql \li0\ri0\sb240\nowidctlpar\wrapdefault\aspalpha\aspnum\faauto\adjustright\rin0\lin0\itap0 \rtlch\fcs1 _x000d__x000a_\af0\afs20\alang1025 \ltrch\fcs0 \b\fs24\lang1051\langfe2057\cgrid\langnp1051\langfenp2057 \sbasedon0 \snext25 \spriority0 \styrsid12932620 NormalBold12b;}}{\*\rsidtbl \rsid24658\rsid735077\rsid2892074\rsid4666813\rsid6641733\rsid8003366\rsid9636012_x000d__x000a_\rsid11215221\rsid12154954\rsid12932620\rsid14424199\rsid15204470\rsid15285974\rsid15950462\rsid16324206\rsid16662270}{\mmathPr\mmathFont34\mbrkBin0\mbrkBinSub0\msmallFrac0\mdispDef1\mlMargin0\mrMargin0\mdefJc1\mwrapIndent1440\mintLim0\mnaryLim1}{\info_x000d__x000a_{\author TURZAKOVA Gabriela}{\operator TURZAKOVA Gabriela}{\creatim\yr2018\mo12\dy17\hr10\min2}{\revtim\yr2018\mo12\dy17\hr10\min2}{\version1}{\edmins0}{\nofpages1}{\nofwords27}{\nofchars298}{\*\company European Parliament}{\nofcharsws298}{\vern5744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932620\utinl \fet0{\*\wgrffmtfilter 013f}\ilfomacatclnup0{\*\template D:\\USERS\\GTURZA~1\\AppData\\Local\\Temp\\Blank1.dot}{\*\ftnsep \ltrpar \pard\plain \ltrpar_x000d__x000a_\ql \li0\ri0\widctlpar\wrapdefault\aspalpha\aspnum\faauto\adjustright\rin0\lin0\itap0 \rtlch\fcs1 \af0\afs20\alang1025 \ltrch\fcs0 \fs24\lang2057\langfe2057\cgrid\langnp2057\langfenp2057 {\rtlch\fcs1 \af0 \ltrch\fcs0 \insrsid8003366 \chftnsep _x000d__x000a_\par }}{\*\ftnsepc \ltrpar \pard\plain \ltrpar\ql \li0\ri0\widctlpar\wrapdefault\aspalpha\aspnum\faauto\adjustright\rin0\lin0\itap0 \rtlch\fcs1 \af0\afs20\alang1025 \ltrch\fcs0 \fs24\lang2057\langfe2057\cgrid\langnp2057\langfenp2057 {\rtlch\fcs1 \af0 _x000d__x000a_\ltrch\fcs0 \insrsid8003366 \chftnsepc _x000d__x000a_\par }}{\*\aftnsep \ltrpar \pard\plain \ltrpar\ql \li0\ri0\widctlpar\wrapdefault\aspalpha\aspnum\faauto\adjustright\rin0\lin0\itap0 \rtlch\fcs1 \af0\afs20\alang1025 \ltrch\fcs0 \fs24\lang2057\langfe2057\cgrid\langnp2057\langfenp2057 {\rtlch\fcs1 \af0 _x000d__x000a_\ltrch\fcs0 \insrsid8003366 \chftnsep _x000d__x000a_\par }}{\*\aftnsepc \ltrpar \pard\plain \ltrpar\ql \li0\ri0\widctlpar\wrapdefault\aspalpha\aspnum\faauto\adjustright\rin0\lin0\itap0 \rtlch\fcs1 \af0\afs20\alang1025 \ltrch\fcs0 \fs24\lang2057\langfe2057\cgrid\langnp2057\langfenp2057 {\rtlch\fcs1 \af0 _x000d__x000a_\ltrch\fcs0 \insrsid800336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5364815 \rtlch\fcs1 \af0\afs20\alang1025 \ltrch\fcs0 \b\fs24\lang1051\langfe2057\cgrid\langnp1051\langfenp2057 {\rtlch\fcs1 \af0 \ltrch\fcs0 \cs15\b0\v\f1\fs20\cf9\insrsid12932620\charrsid6106648 {\*\bkmkstart restartA}&lt;AmendA&gt;}{_x000d__x000a_\rtlch\fcs1 \af305 \ltrch\fcs0 \f305\insrsid12932620\charrsid6106648 Pozme\'f2uj\'faci n\'e1vrh\tab \tab }{\rtlch\fcs1 \af0 \ltrch\fcs0 \cs15\b0\v\f1\fs20\cf9\insrsid12932620\charrsid6106648 &lt;NumAmA&gt;}{\rtlch\fcs1 \af0 \ltrch\fcs0 _x000d__x000a_\insrsid12932620\charrsid6106648 #}{\rtlch\fcs1 \af0 \ltrch\fcs0 \cs21\v\cf15\insrsid12932620\charrsid6106648 ENMIENDA@NRAM@}{\rtlch\fcs1 \af0 \ltrch\fcs0 \insrsid12932620\charrsid6106648 #}{\rtlch\fcs1 \af0 \ltrch\fcs0 _x000d__x000a_\cs15\b0\v\f1\fs20\cf9\insrsid12932620\charrsid6106648 &lt;/NumAmA&gt;}{\rtlch\fcs1 \af0 \ltrch\fcs0 \insrsid12932620\charrsid6106648 _x000d__x000a_\par }\pard\plain \ltrpar\s25\ql \li0\ri0\sb240\keepn\nowidctlpar\wrapdefault\aspalpha\aspnum\faauto\adjustright\rin0\lin0\itap0\pararsid15364815 \rtlch\fcs1 \af0\afs20\alang1025 \ltrch\fcs0 \b\fs24\lang1051\langfe2057\cgrid\langnp1051\langfenp2057 {_x000d__x000a_\rtlch\fcs1 \af0 \ltrch\fcs0 \cs15\b0\v\f1\fs20\cf9\insrsid12932620\charrsid6106648 &lt;DocAmend&gt;}{\rtlch\fcs1 \af0 \ltrch\fcs0 \insrsid12932620\charrsid6106648 N\'e1vrh legislat\'edvneho uznesenia}{\rtlch\fcs1 \af0 \ltrch\fcs0 _x000d__x000a_\cs15\b0\v\f1\fs20\cf9\insrsid12932620\charrsid6106648 &lt;/DocAmend&gt;}{\rtlch\fcs1 \af0 \ltrch\fcs0 \insrsid12932620\charrsid6106648 _x000d__x000a_\par }\pard\plain \ltrpar\s18\ql \li0\ri0\nowidctlpar\wrapdefault\aspalpha\aspnum\faauto\adjustright\rin0\lin0\itap0\pararsid15364815 \rtlch\fcs1 \af0\afs20\alang1025 \ltrch\fcs0 \b\fs24\lang1051\langfe2057\cgrid\langnp1051\langfenp2057 {\rtlch\fcs1 \af0 _x000d__x000a_\ltrch\fcs0 \cs15\b0\v\f1\fs20\cf9\insrsid12932620\charrsid6106648 &lt;Article&gt;}{\rtlch\fcs1 \af0 \ltrch\fcs0 \cf10\insrsid12932620\charrsid14298240 \u9668\'3f}{\rtlch\fcs1 \af0 \ltrch\fcs0 \insrsid12932620\charrsid6106648 #}{\rtlch\fcs1 \af0 \ltrch\fcs0 _x000d__x000a_\cs21\v\cf15\insrsid12932620\charrsid6106648 TVTRESPART@RESPART@}{\rtlch\fcs1 \af0 \ltrch\fcs0 \insrsid12932620\charrsid6106648 #}{\rtlch\fcs1 \af0 \ltrch\fcs0 \cf10\insrsid12932620\charrsid14298240 \u9658\'3f}{\rtlch\fcs1 \af0 \ltrch\fcs0 _x000d__x000a_\cs15\b0\v\f1\fs20\cf9\insrsid12932620\charrsid6106648 &lt;/Article&gt;}{\rtlch\fcs1 \af0 \ltrch\fcs0 \cs19\b0\insrsid12932620\charrsid6106648 _x000d__x000a_\par \ltrrow}\trowd \ltrrow\ts11\trqc\trgaph340\trleft-340\trftsWidth1\trftsWidthB3\trftsWidthA3\trpaddl340\trpaddr340\trpaddfl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lang1051\langfe2057\langnp1051\insrsid12932620\charrsid6106648 \cell }\pard \ltrpar_x000d__x000a_\ql \li0\ri0\widctlpar\intbl\wrapdefault\aspalpha\aspnum\faauto\adjustright\rin0\lin0 {\rtlch\fcs1 \af0 \ltrch\fcs0 \lang1051\langfe2057\langnp1051\insrsid12932620\charrsid6106648 \trowd \ltrrow_x000d__x000a_\ts11\trqc\trgaph340\trleft-340\trftsWidth1\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1\trftsWidthB3\trftsWidthA3\trpaddl340\trpaddr340\trpaddfl3\trpaddfr3\tblrsid14374628\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pard\plain \ltrpar\s23\qc \li0\ri0\sa240\keepn\nowidctlpar\intbl\wrapdefault\aspalpha\aspnum\faauto\adjustright\rin0\lin0\pararsid14374628 \rtlch\fcs1 \af0\afs20\alang1025 \ltrch\fcs0 \i\fs24\lang1051\langfe2057\cgrid\langnp1051\langfenp2057 {_x000d__x000a_\rtlch\fcs1 \af0 \ltrch\fcs0 \insrsid12932620\charrsid6106648 N\'e1vrh legislat\'edvneho uznesenia\cell }{\rtlch\fcs1 \af305 \ltrch\fcs0 \f305\insrsid12932620\charrsid6106648 Pozme\'f2uj\'faci n\'e1vrh\cell }\pard\plain \ltrpar_x000d__x000a_\ql \li0\ri0\widctlpar\intbl\wrapdefault\aspalpha\aspnum\faauto\adjustright\rin0\lin0 \rtlch\fcs1 \af0\afs20\alang1025 \ltrch\fcs0 \fs24\lang2057\langfe2057\cgrid\langnp2057\langfenp2057 {\rtlch\fcs1 \af0 \ltrch\fcs0 _x000d__x000a_\lang1051\langfe2057\langnp1051\insrsid12932620\charrsid6106648 \trowd \ltrrow\ts11\trqc\trgaph340\trleft-340\trftsWidth1\trftsWidthB3\trftsWidthA3\trpaddl340\trpaddr340\trpaddfl3\trpaddfr3\tblrsid14374628\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6\ql \li0\ri0\sa120\nowidctlpar\intbl\wrapdefault\aspalpha\aspnum\faauto\adjustright\rin0\lin0\pararsid14374628 \rtlch\fcs1 \af0\afs20\alang1025 \ltrch\fcs0 \fs24\lang1051\langfe2057\cgrid\langnp1051\langfenp2057 {\rtlch\fcs1 \af0 _x000d__x000a_\ltrch\fcs0 \insrsid12932620\charrsid6106648 ##\cell ##}{\rtlch\fcs1 \af0\afs24 \ltrch\fcs0 \insrsid12932620\charrsid6106648 \cell }\pard\plain \ltrpar\ql \li0\ri0\widctlpar\intbl\wrapdefault\aspalpha\aspnum\faauto\adjustright\rin0\lin0 \rtlch\fcs1 _x000d__x000a_\af0\afs20\alang1025 \ltrch\fcs0 \fs24\lang2057\langfe2057\cgrid\langnp2057\langfenp2057 {\rtlch\fcs1 \af0 \ltrch\fcs0 \lang1051\langfe2057\langnp1051\insrsid12932620\charrsid6106648 \trowd \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sa240\keepn\nowidctlpar\wrapdefault\aspalpha\aspnum\faauto\adjustright\rin0\lin0\itap0\pararsid15364815 \rtlch\fcs1 \af0\afs20\alang1025 \ltrch\fcs0 \i\fs24\lang1051\langfe2057\cgrid\langnp1051\langfenp2057 {\rtlch\fcs1 \af0 _x000d__x000a_\ltrch\fcs0 \cs15\i0\v\f1\fs20\cf9\insrsid12932620\charrsid6106648 &lt;TitreJust&gt;}{\rtlch\fcs1 \af0 \ltrch\fcs0 \insrsid12932620\charrsid6106648 Od\'f4vodnenie}{\rtlch\fcs1 \af0 \ltrch\fcs0 \cs15\i0\v\f1\fs20\cf9\insrsid12932620\charrsid6106648 &lt;/TitreJust&gt;}_x000d__x000a_{\rtlch\fcs1 \af0 \ltrch\fcs0 \insrsid12932620\charrsid6106648 _x000d__x000a_\par }\pard\plain \ltrpar\s20\ql \li0\ri0\sa240\nowidctlpar\wrapdefault\aspalpha\aspnum\faauto\adjustright\rin0\lin0\itap0\pararsid15364815 \rtlch\fcs1 \af0\afs20\alang1025 \ltrch\fcs0 \i\fs24\lang1051\langfe2057\cgrid\langnp1051\langfenp2057 {\rtlch\fcs1 _x000d__x000a_\af0 \ltrch\fcs0 \cs15\i0\v\f1\fs20\cf9\insrsid12932620\charrsid6106648 &lt;OptDelPrev&gt;}{\rtlch\fcs1 \af0 \ltrch\fcs0 \insrsid12932620\charrsid6106648 #}{\rtlch\fcs1 \af0 \ltrch\fcs0 \cs21\v\cf15\insrsid12932620\charrsid6106648 _x000d__x000a_MNU[TEXTJUSTYES][TEXTJUSTNO]@CHOICE@}{\rtlch\fcs1 \af0 \ltrch\fcs0 \insrsid12932620\charrsid6106648 #}{\rtlch\fcs1 \af0 \ltrch\fcs0 \cs15\i0\v\f1\fs20\cf9\insrsid12932620\charrsid6106648 &lt;/OptDelPrev&gt;}{\rtlch\fcs1 \af0 \ltrch\fcs0 _x000d__x000a_\insrsid12932620\charrsid6106648 _x000d__x000a_\par }\pard\plain \ltrpar\ql \li0\ri0\widctlpar\wrapdefault\aspalpha\aspnum\faauto\adjustright\rin0\lin0\itap0\pararsid15364815 \rtlch\fcs1 \af0\afs20\alang1025 \ltrch\fcs0 \fs24\lang2057\langfe2057\cgrid\langnp2057\langfenp2057 {\rtlch\fcs1 \af0 \ltrch\fcs0 _x000d__x000a_\cs15\v\f1\fs20\cf9\lang1051\langfe2057\langnp1051\insrsid12932620\charrsid6106648 &lt;/AmendA&gt;}{\rtlch\fcs1 \af0 \ltrch\fcs0 \insrsid12932620\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cc_x000d__x000a_9540e79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S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5\fbidi \froman\fcharset238\fprq2 Times New Roman CE;}{\f306\fbidi \froman\fcharset204\fprq2 Times New Roman Cyr;}_x000d__x000a_{\f308\fbidi \froman\fcharset161\fprq2 Times New Roman Greek;}{\f309\fbidi \froman\fcharset162\fprq2 Times New Roman Tur;}{\f310\fbidi \froman\fcharset177\fprq2 Times New Roman (Hebrew);}{\f311\fbidi \froman\fcharset178\fprq2 Times New Roman (Arabic);}_x000d__x000a_{\f312\fbidi \froman\fcharset186\fprq2 Times New Roman Baltic;}{\f313\fbidi \froman\fcharset163\fprq2 Times New Roman (Vietnamese);}{\f315\fbidi \fswiss\fcharset238\fprq2 Arial CE;}{\f316\fbidi \fswiss\fcharset204\fprq2 Arial Cyr;}_x000d__x000a_{\f318\fbidi \fswiss\fcharset161\fprq2 Arial Greek;}{\f319\fbidi \fswiss\fcharset162\fprq2 Arial Tur;}{\f320\fbidi \fswiss\fcharset177\fprq2 Arial (Hebrew);}{\f321\fbidi \fswiss\fcharset178\fprq2 Arial (Arabic);}_x000d__x000a_{\f322\fbidi \fswiss\fcharset186\fprq2 Arial Baltic;}{\f323\fbidi \fswiss\fcharset163\fprq2 Arial (Vietnamese);}{\f645\fbidi \froman\fcharset238\fprq2 Cambria Math CE;}{\f646\fbidi \froman\fcharset204\fprq2 Cambria Math Cyr;}_x000d__x000a_{\f648\fbidi \froman\fcharset161\fprq2 Cambria Math Greek;}{\f649\fbidi \froman\fcharset162\fprq2 Cambria Math Tur;}{\f652\fbidi \froman\fcharset186\fprq2 Cambria Math Baltic;}{\f65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598079 HideTWBExt;}{\s16\ql \li0\ri0\sa120\nowidctlpar\wrapdefault\aspalpha\aspnum\faauto\adjustright\rin0\lin0\itap0 \rtlch\fcs1 \af0\afs20\alang1025 \ltrch\fcs0 _x000d__x000a_\fs24\lang1051\langfe2057\cgrid\langnp1051\langfenp2057 \sbasedon0 \snext16 \slink17 \spriority0 \styrsid8598079 Normal6;}{\*\cs17 \additive \fs24\lang1051\langfe0\langnp1051 \slink16 \slocked \spriority0 \styrsid8598079 Normal6 Char;}{_x000d__x000a_\s18\ql \li0\ri0\nowidctlpar\wrapdefault\aspalpha\aspnum\faauto\adjustright\rin0\lin0\itap0 \rtlch\fcs1 \af0\afs20\alang1025 \ltrch\fcs0 \b\fs24\lang1051\langfe2057\cgrid\langnp1051\langfenp2057 \sbasedon0 \snext18 \slink19 \spriority0 \styrsid8598079 _x000d__x000a_NormalBold;}{\*\cs19 \additive \b\fs24\lang1051\langfe0\langnp1051 \slink18 \slocked \spriority0 \styrsid8598079 NormalBold Char;}{\s20\ql \li0\ri0\sa240\nowidctlpar\wrapdefault\aspalpha\aspnum\faauto\adjustright\rin0\lin0\itap0 \rtlch\fcs1 _x000d__x000a_\af0\afs20\alang1025 \ltrch\fcs0 \i\fs24\lang1051\langfe2057\cgrid\langnp1051\langfenp2057 \sbasedon0 \snext20 \spriority0 \styrsid8598079 Normal12Italic;}{\s21\qc \li0\ri0\sb240\nowidctlpar\wrapdefault\aspalpha\aspnum\faauto\adjustright\rin0\lin0\itap0 _x000d__x000a_\rtlch\fcs1 \af0\afs20\alang1025 \ltrch\fcs0 \i\fs24\lang1051\langfe2057\cgrid\langnp1051\langfenp2057 \sbasedon0 \snext21 \spriority0 \styrsid8598079 CrossRef;}{\*\cs22 \additive \v\cf15 \spriority0 \styrsid8598079 HideTWBInt;}{_x000d__x000a_\s23\qc \li0\ri0\sb240\sa240\keepn\nowidctlpar\wrapdefault\aspalpha\aspnum\faauto\adjustright\rin0\lin0\itap0 \rtlch\fcs1 \af0\afs20\alang1025 \ltrch\fcs0 \i\fs24\lang1051\langfe2057\cgrid\langnp1051\langfenp2057 _x000d__x000a_\sbasedon0 \snext0 \spriority0 \styrsid8598079 JustificationTitle;}{\s24\qc \li0\ri0\sa240\nowidctlpar\wrapdefault\aspalpha\aspnum\faauto\adjustright\rin0\lin0\itap0 \rtlch\fcs1 \af0\afs20\alang1025 \ltrch\fcs0 _x000d__x000a_\i\fs24\lang1051\langfe2057\cgrid\langnp1051\langfenp2057 \sbasedon0 \snext24 \spriority0 \styrsid8598079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51\langfe2057\cgrid\langnp1051\langfenp2057 \sbasedon0 \snext25 \spriority0 \styrsid8598079 AMNumberTabs;}{\s26\ql \li0\ri0\sb240\nowidctlpar\wrapdefault\aspalpha\aspnum\faauto\adjustright\rin0\lin0\itap0 \rtlch\fcs1 _x000d__x000a_\af0\afs20\alang1025 \ltrch\fcs0 \b\fs24\lang1051\langfe2057\cgrid\langnp1051\langfenp2057 \sbasedon0 \snext26 \spriority0 \styrsid8598079 NormalBold12b;}}{\*\rsidtbl \rsid24658\rsid735077\rsid2892074\rsid4666813\rsid6641733\rsid8345654\rsid8598079_x000d__x000a_\rsid9636012\rsid11215221\rsid12154954\rsid14424199\rsid15204470\rsid15285974\rsid15950462\rsid16324206\rsid16662270}{\mmathPr\mmathFont34\mbrkBin0\mbrkBinSub0\msmallFrac0\mdispDef1\mlMargin0\mrMargin0\mdefJc1\mwrapIndent1440\mintLim0\mnaryLim1}{\info_x000d__x000a_{\author TURZAKOVA Gabriela}{\operator TURZAKOVA Gabriela}{\creatim\yr2018\mo12\dy17\hr10\min2}{\revtim\yr2018\mo12\dy17\hr10\min2}{\version1}{\edmins0}{\nofpages1}{\nofwords55}{\nofchars609}{\*\company European Parliament}{\nofcharsws609}{\vern5744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598079\utinl \fet0{\*\wgrffmtfilter 013f}\ilfomacatclnup0{\*\template D:\\USERS\\GTURZA~1\\AppData\\Local\\Temp\\Blank1.dot}{\*\ftnsep \ltrpar \pard\plain \ltrpar_x000d__x000a_\ql \li0\ri0\widctlpar\wrapdefault\aspalpha\aspnum\faauto\adjustright\rin0\lin0\itap0 \rtlch\fcs1 \af0\afs20\alang1025 \ltrch\fcs0 \fs24\lang2057\langfe2057\cgrid\langnp2057\langfenp2057 {\rtlch\fcs1 \af0 \ltrch\fcs0 \insrsid8345654 \chftnsep _x000d__x000a_\par }}{\*\ftnsepc \ltrpar \pard\plain \ltrpar\ql \li0\ri0\widctlpar\wrapdefault\aspalpha\aspnum\faauto\adjustright\rin0\lin0\itap0 \rtlch\fcs1 \af0\afs20\alang1025 \ltrch\fcs0 \fs24\lang2057\langfe2057\cgrid\langnp2057\langfenp2057 {\rtlch\fcs1 \af0 _x000d__x000a_\ltrch\fcs0 \insrsid8345654 \chftnsepc _x000d__x000a_\par }}{\*\aftnsep \ltrpar \pard\plain \ltrpar\ql \li0\ri0\widctlpar\wrapdefault\aspalpha\aspnum\faauto\adjustright\rin0\lin0\itap0 \rtlch\fcs1 \af0\afs20\alang1025 \ltrch\fcs0 \fs24\lang2057\langfe2057\cgrid\langnp2057\langfenp2057 {\rtlch\fcs1 \af0 _x000d__x000a_\ltrch\fcs0 \insrsid8345654 \chftnsep _x000d__x000a_\par }}{\*\aftnsepc \ltrpar \pard\plain \ltrpar\ql \li0\ri0\widctlpar\wrapdefault\aspalpha\aspnum\faauto\adjustright\rin0\lin0\itap0 \rtlch\fcs1 \af0\afs20\alang1025 \ltrch\fcs0 \fs24\lang2057\langfe2057\cgrid\langnp2057\langfenp2057 {\rtlch\fcs1 \af0 _x000d__x000a_\ltrch\fcs0 \insrsid834565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133796 \rtlch\fcs1 \af0\afs20\alang1025 \ltrch\fcs0 \b\fs24\lang1051\langfe2057\cgrid\langnp1051\langfenp2057 {\rtlch\fcs1 \af0 \ltrch\fcs0 \cs15\b0\v\f1\fs20\cf9\insrsid8598079\charrsid6106648 {\*\bkmkstart restartB}&lt;AmendB&gt;}{_x000d__x000a_\rtlch\fcs1 \af305 \ltrch\fcs0 \f305\insrsid8598079\charrsid6106648 Pozme\'f2uj\'faci n\'e1vrh\tab \tab }{\rtlch\fcs1 \af0 \ltrch\fcs0 \cs15\b0\v\f1\fs20\cf9\insrsid8598079\charrsid6106648 &lt;NumAmB&gt;}{\rtlch\fcs1 \af0 \ltrch\fcs0 _x000d__x000a_\insrsid8598079\charrsid6106648 #}{\rtlch\fcs1 \af0 \ltrch\fcs0 \cs22\v\cf15\insrsid8598079\charrsid6106648 ENMIENDA@NRAM@}{\rtlch\fcs1 \af0 \ltrch\fcs0 \insrsid8598079\charrsid6106648 #}{\rtlch\fcs1 \af0 \ltrch\fcs0 _x000d__x000a_\cs15\b0\v\f1\fs20\cf9\insrsid8598079\charrsid6106648 &lt;/NumAmB&gt;}{\rtlch\fcs1 \af0 \ltrch\fcs0 \insrsid8598079\charrsid6106648 _x000d__x000a_\par }\pard\plain \ltrpar\s26\ql \li0\ri0\sb240\keepn\nowidctlpar\wrapdefault\aspalpha\aspnum\faauto\adjustright\rin0\lin0\itap0\pararsid1133796 \rtlch\fcs1 \af0\afs20\alang1025 \ltrch\fcs0 \b\fs24\lang1051\langfe2057\cgrid\langnp1051\langfenp2057 {_x000d__x000a_\rtlch\fcs1 \af0 \ltrch\fcs0 \cs15\b0\v\f1\fs20\cf9\insrsid8598079\charrsid6106648 &lt;DocAmend&gt;}{\rtlch\fcs1 \af0 \ltrch\fcs0 \insrsid8598079\charrsid6106648 #}{\rtlch\fcs1 \af0 \ltrch\fcs0 \cs22\v\cf15\insrsid8598079\charrsid6106648 _x000d__x000a_MNU[OPTPROPOSALCOD][OPTPROPOSALCNS][OPTPROPOSALNLE]@CHOICE@CODEMNU}{\rtlch\fcs1 \af0 \ltrch\fcs0 \insrsid8598079\charrsid6106648 ##}{\rtlch\fcs1 \af0 \ltrch\fcs0 \cs22\v\cf15\insrsid8598079\charrsid6106648 MNU[AMACTYES][NOTAPP]@CHOICE@AMACTMNU}{_x000d__x000a_\rtlch\fcs1 \af0 \ltrch\fcs0 \insrsid8598079\charrsid6106648 #}{\rtlch\fcs1 \af0 \ltrch\fcs0 \cs15\b0\v\f1\fs20\cf9\insrsid8598079\charrsid6106648 &lt;/DocAmend&gt;}{\rtlch\fcs1 \af0 \ltrch\fcs0 \insrsid8598079\charrsid6106648 _x000d__x000a_\par }\pard\plain \ltrpar\s18\ql \li0\ri0\keepn\nowidctlpar\wrapdefault\aspalpha\aspnum\faauto\adjustright\rin0\lin0\itap0\pararsid1133796 \rtlch\fcs1 \af0\afs20\alang1025 \ltrch\fcs0 \b\fs24\lang1051\langfe2057\cgrid\langnp1051\langfenp2057 {\rtlch\fcs1 \af0 _x000d__x000a_\ltrch\fcs0 \cs15\b0\v\f1\fs20\cf9\insrsid8598079\charrsid6106648 &lt;Article&gt;}{\rtlch\fcs1 \af0 \ltrch\fcs0 \insrsid8598079\charrsid6106648 #}{\rtlch\fcs1 \af0 \ltrch\fcs0 \cs22\v\cf15\insrsid8598079\charrsid6106648 _x000d__x000a_MNU[AMACTPARTYES][AMACTPARTNO]@CHOICE@AMACTMNU}{\rtlch\fcs1 \af0 \ltrch\fcs0 \insrsid8598079\charrsid6106648 #}{\rtlch\fcs1 \af0 \ltrch\fcs0 \cs15\b0\v\f1\fs20\cf9\insrsid8598079\charrsid6106648 &lt;/Article&gt;}{\rtlch\fcs1 \af0 \ltrch\fcs0 _x000d__x000a_\insrsid8598079\charrsid6106648 _x000d__x000a_\par }\pard\plain \ltrpar\ql \li0\ri0\keepn\widctlpar\wrapdefault\aspalpha\aspnum\faauto\adjustright\rin0\lin0\itap0\pararsid1133796 \rtlch\fcs1 \af0\afs20\alang1025 \ltrch\fcs0 \fs24\lang2057\langfe2057\cgrid\langnp2057\langfenp2057 {\rtlch\fcs1 \af0 _x000d__x000a_\ltrch\fcs0 \cs15\v\f1\fs20\cf9\lang1051\langfe2057\langnp1051\insrsid8598079\charrsid6106648 &lt;DocAmend2&gt;&lt;OptDel&gt;}{\rtlch\fcs1 \af0 \ltrch\fcs0 \lang1051\langfe2057\langnp1051\insrsid8598079\charrsid6106648 #}{\rtlch\fcs1 \af0 \ltrch\fcs0 _x000d__x000a_\cs22\v\cf15\lang1051\langfe2057\langnp1051\insrsid8598079\charrsid6106648 MNU[OPTNRACTYES][NOTAPP]@CHOICE@AMACTMNU}{\rtlch\fcs1 \af0 \ltrch\fcs0 \lang1051\langfe2057\langnp1051\insrsid8598079\charrsid6106648 #}{\rtlch\fcs1 \af0 \ltrch\fcs0 _x000d__x000a_\cs15\v\f1\fs20\cf9\lang1051\langfe2057\langnp1051\insrsid8598079\charrsid6106648 &lt;/OptDel&gt;&lt;/DocAmend2&gt;}{\rtlch\fcs1 \af0 \ltrch\fcs0 \lang1051\langfe2057\langnp1051\insrsid8598079\charrsid6106648 _x000d__x000a_\par }\pard \ltrpar\ql \li0\ri0\widctlpar\wrapdefault\aspalpha\aspnum\faauto\adjustright\rin0\lin0\itap0\pararsid1133796 {\rtlch\fcs1 \af0 \ltrch\fcs0 \cs15\v\f1\fs20\cf9\lang1051\langfe2057\langnp1051\insrsid8598079\charrsid6106648 &lt;Article2&gt;&lt;OptDel&gt;}{_x000d__x000a_\rtlch\fcs1 \af0 \ltrch\fcs0 \lang1051\langfe2057\langnp1051\insrsid8598079\charrsid6106648 #}{\rtlch\fcs1 \af0 \ltrch\fcs0 \cs22\v\cf15\lang1051\langfe2057\langnp1051\insrsid8598079\charrsid6106648 MNU[OPTACTPARTYES][NOTAPP]@CHOICE@AMACTMNU}{\rtlch\fcs1 _x000d__x000a_\af0 \ltrch\fcs0 \lang1051\langfe2057\langnp1051\insrsid8598079\charrsid6106648 #}{\rtlch\fcs1 \af0 \ltrch\fcs0 \cs15\v\f1\fs20\cf9\lang1051\langfe2057\langnp1051\insrsid8598079\charrsid6106648 &lt;/OptDel&gt;&lt;/Article2&gt;}{\rtlch\fcs1 \af0 \ltrch\fcs0 _x000d__x000a_\lang1051\langfe2057\langnp1051\insrsid8598079\charrsid6106648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_x000d__x000a_\lang1051\langfe2057\langnp1051\insrsid8598079\charrsid6106648 \cell }\pard \ltrpar\ql \li0\ri0\widctlpar\intbl\wrapdefault\aspalpha\aspnum\faauto\adjustright\rin0\lin0 {\rtlch\fcs1 \af0 \ltrch\fcs0 _x000d__x000a_\lang1051\langfe2057\langnp1051\insrsid8598079\charrsid6106648 \trowd \ltrrow\ts11\trqc\trgaph340\trleft-340\trftsWidth3\trwWidth9752\trftsWidthB3\trftsWidthA3\trpaddl340\trpaddr340\trpaddfl3\trpaddfr3\tblrsid14374628\tblind0\tblindtype3 \clvertalt_x000d__x000a_\clbrdrt\brdrtbl \clbrdrl\brdrtbl \clbrdrb\brdrtbl \clbrdrr\brdrtbl \cltxlrtb\clftsWidth3\clwWidth9752\clshdrawnil \cellx9412\row \ltrrow}\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1051\langfe2057\cgrid\langnp1051\langfenp2057 {\rtlch\fcs1 \af0 \ltrch\fcs0 _x000d__x000a_\insrsid8598079\charrsid6106648 #}{\rtlch\fcs1 \af0 \ltrch\fcs0 \cs22\v\cf15\insrsid8598079\charrsid6106648 MNU[OPTLEFTAMACT][LEFTPROP]@CHOICE@AMACTMNU}{\rtlch\fcs1 \af0 \ltrch\fcs0 \insrsid8598079\charrsid6106648 #\cell }{\rtlch\fcs1 \af305 \ltrch\fcs0 _x000d__x000a_\f305\insrsid8598079\charrsid6106648 Pozme\'f2uj\'faci n\'e1vrh\cell }\pard\plain \ltrpar\ql \li0\ri0\widctlpar\intbl\wrapdefault\aspalpha\aspnum\faauto\adjustright\rin0\lin0 \rtlch\fcs1 \af0\afs20\alang1025 \ltrch\fcs0 _x000d__x000a_\fs24\lang2057\langfe2057\cgrid\langnp2057\langfenp2057 {\rtlch\fcs1 \af0 \ltrch\fcs0 \lang1051\langfe2057\langnp1051\insrsid8598079\charrsid610664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1051\langfe2057\cgrid\langnp1051\langfenp2057 {\rtlch\fcs1 \af0 \ltrch\fcs0 _x000d__x000a_\insrsid8598079\charrsid6106648 ##\cell ##}{\rtlch\fcs1 \af0\afs24 \ltrch\fcs0 \insrsid8598079\charrsid6106648 \cell }\pard\plain \ltrpar\ql \li0\ri0\widctlpar\intbl\wrapdefault\aspalpha\aspnum\faauto\adjustright\rin0\lin0 \rtlch\fcs1 _x000d__x000a_\af0\afs20\alang1025 \ltrch\fcs0 \fs24\lang2057\langfe2057\cgrid\langnp2057\langfenp2057 {\rtlch\fcs1 \af0 \ltrch\fcs0 \lang1051\langfe2057\langnp1051\insrsid8598079\charrsid6106648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1133796 \rtlch\fcs1 \af0\afs20\alang1025 \ltrch\fcs0 \i\fs24\lang1051\langfe2057\cgrid\langnp1051\langfenp2057 {\rtlch\fcs1 \af0 \ltrch\fcs0 _x000d__x000a_\cs15\i0\v\f1\fs20\cf9\insrsid8598079\charrsid6106648 &lt;OptDel&gt;}{\rtlch\fcs1 \af0 \ltrch\fcs0 \insrsid8598079\charrsid6106648 #}{\rtlch\fcs1 \af0 \ltrch\fcs0 \cs22\v\cf15\insrsid8598079\charrsid6106648 MNU[CROSSREFNO][CROSSREFYES]@CHOICE@}{\rtlch\fcs1 _x000d__x000a_\af0 \ltrch\fcs0 \insrsid8598079\charrsid6106648 #}{\rtlch\fcs1 \af0 \ltrch\fcs0 \cs15\i0\v\f1\fs20\cf9\insrsid8598079\charrsid6106648 &lt;/OptDel&gt;}{\rtlch\fcs1 \af0 \ltrch\fcs0 \insrsid8598079\charrsid6106648 _x000d__x000a_\par }\pard\plain \ltrpar\s23\qc \li0\ri0\sb240\sa240\keepn\nowidctlpar\wrapdefault\aspalpha\aspnum\faauto\adjustright\rin0\lin0\itap0\pararsid1133796 \rtlch\fcs1 \af0\afs20\alang1025 \ltrch\fcs0 \i\fs24\lang1051\langfe2057\cgrid\langnp1051\langfenp2057 {_x000d__x000a_\rtlch\fcs1 \af0 \ltrch\fcs0 \cs15\i0\v\f1\fs20\cf9\insrsid8598079\charrsid6106648 &lt;TitreJust&gt;}{\rtlch\fcs1 \af0 \ltrch\fcs0 \insrsid8598079\charrsid6106648 Od\'f4vodnenie}{\rtlch\fcs1 \af0 \ltrch\fcs0 _x000d__x000a_\cs15\i0\v\f1\fs20\cf9\insrsid8598079\charrsid6106648 &lt;/TitreJust&gt;}{\rtlch\fcs1 \af0 \ltrch\fcs0 \insrsid8598079\charrsid6106648 _x000d__x000a_\par }\pard\plain \ltrpar\s20\ql \li0\ri0\sa240\nowidctlpar\wrapdefault\aspalpha\aspnum\faauto\adjustright\rin0\lin0\itap0\pararsid1133796 \rtlch\fcs1 \af0\afs20\alang1025 \ltrch\fcs0 \i\fs24\lang1051\langfe2057\cgrid\langnp1051\langfenp2057 {\rtlch\fcs1 \af0 _x000d__x000a_\ltrch\fcs0 \cs15\i0\v\f1\fs20\cf9\insrsid8598079\charrsid6106648 &lt;OptDelPrev&gt;}{\rtlch\fcs1 \af0 \ltrch\fcs0 \insrsid8598079\charrsid6106648 #}{\rtlch\fcs1 \af0 \ltrch\fcs0 \cs22\v\cf15\insrsid8598079\charrsid6106648 MNU[TEXTJUSTYES][TEXTJUSTNO]@CHOICE@}{_x000d__x000a_\rtlch\fcs1 \af0 \ltrch\fcs0 \insrsid8598079\charrsid6106648 #}{\rtlch\fcs1 \af0 \ltrch\fcs0 \cs15\i0\v\f1\fs20\cf9\insrsid8598079\charrsid6106648 &lt;/OptDelPrev&gt;}{\rtlch\fcs1 \af0 \ltrch\fcs0 \insrsid8598079\charrsid6106648 _x000d__x000a_\par }\pard\plain \ltrpar\ql \li0\ri0\widctlpar\wrapdefault\aspalpha\aspnum\faauto\adjustright\rin0\lin0\itap0\pararsid1133796 \rtlch\fcs1 \af0\afs20\alang1025 \ltrch\fcs0 \fs24\lang2057\langfe2057\cgrid\langnp2057\langfenp2057 {\rtlch\fcs1 \af0 \ltrch\fcs0 _x000d__x000a_\cs15\v\f1\fs20\cf9\lang1051\langfe2057\langnp1051\insrsid8598079\charrsid6106648 &lt;/AmendB&gt;}{\rtlch\fcs1 \af0 \ltrch\fcs0 \insrsid8598079\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e7_x000d__x000a_2c42e79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5\fbidi \froman\fcharset238\fprq2 Times New Roman CE;}{\f306\fbidi \froman\fcharset204\fprq2 Times New Roman Cyr;}_x000d__x000a_{\f308\fbidi \froman\fcharset161\fprq2 Times New Roman Greek;}{\f309\fbidi \froman\fcharset162\fprq2 Times New Roman Tur;}{\f310\fbidi \froman\fcharset177\fprq2 Times New Roman (Hebrew);}{\f311\fbidi \froman\fcharset178\fprq2 Times New Roman (Arabic);}_x000d__x000a_{\f312\fbidi \froman\fcharset186\fprq2 Times New Roman Baltic;}{\f313\fbidi \froman\fcharset163\fprq2 Times New Roman (Vietnamese);}{\f315\fbidi \fswiss\fcharset238\fprq2 Arial CE;}{\f316\fbidi \fswiss\fcharset204\fprq2 Arial Cyr;}_x000d__x000a_{\f318\fbidi \fswiss\fcharset161\fprq2 Arial Greek;}{\f319\fbidi \fswiss\fcharset162\fprq2 Arial Tur;}{\f320\fbidi \fswiss\fcharset177\fprq2 Arial (Hebrew);}{\f321\fbidi \fswiss\fcharset178\fprq2 Arial (Arabic);}_x000d__x000a_{\f322\fbidi \fswiss\fcharset186\fprq2 Arial Baltic;}{\f323\fbidi \fswiss\fcharset163\fprq2 Arial (Vietnamese);}{\f645\fbidi \froman\fcharset238\fprq2 Cambria Math CE;}{\f646\fbidi \froman\fcharset204\fprq2 Cambria Math Cyr;}_x000d__x000a_{\f648\fbidi \froman\fcharset161\fprq2 Cambria Math Greek;}{\f649\fbidi \froman\fcharset162\fprq2 Cambria Math Tur;}{\f652\fbidi \froman\fcharset186\fprq2 Cambria Math Baltic;}{\f65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784744 HideTWBExt;}{\s16\ql \li0\ri0\sa120\nowidctlpar\wrapdefault\aspalpha\aspnum\faauto\adjustright\rin0\lin0\itap0 \rtlch\fcs1 \af0\afs20\alang1025 \ltrch\fcs0 _x000d__x000a_\fs24\lang2057\langfe2057\cgrid\langnp2057\langfenp2057 \sbasedon0 \snext16 \slink17 \spriority0 \styrsid8784744 Normal6;}{\*\cs17 \additive \fs24 \slink16 \slocked \spriority0 \styrsid8784744 Normal6 Char;}{_x000d__x000a_\s18\ql \li0\ri0\nowidctlpar\wrapdefault\aspalpha\aspnum\faauto\adjustright\rin0\lin0\itap0 \rtlch\fcs1 \af0\afs20\alang1025 \ltrch\fcs0 \b\fs24\lang2057\langfe2057\cgrid\langnp2057\langfenp2057 \sbasedon0 \snext18 \slink19 \spriority0 \styrsid8784744 _x000d__x000a_NormalBold;}{\*\cs19 \additive \b\fs24 \slink18 \slocked \spriority0 \styrsid8784744 NormalBold Char;}{\s20\ql \li0\ri0\sa240\nowidctlpar\wrapdefault\aspalpha\aspnum\faauto\adjustright\rin0\lin0\itap0 \rtlch\fcs1 \af0\afs20\alang1025 \ltrch\fcs0 _x000d__x000a_\i\fs24\lang2057\langfe2057\cgrid\langnp2057\langfenp2057 \sbasedon0 \snext20 \spriority0 \styrsid8784744 Normal12Italic;}{\s21\qc \li0\ri0\sb240\sa240\keepn\nowidctlpar\wrapdefault\aspalpha\aspnum\faauto\adjustright\rin0\lin0\itap0 \rtlch\fcs1 _x000d__x000a_\af0\afs20\alang1025 \ltrch\fcs0 \i\fs24\lang2057\langfe2057\cgrid\langnp2057\langfenp2057 \sbasedon0 \snext0 \spriority0 \styrsid8784744 JustificationTitle;}{_x000d__x000a_\s22\qc \li0\ri0\sa240\nowidctlpar\wrapdefault\aspalpha\aspnum\faauto\adjustright\rin0\lin0\itap0 \rtlch\fcs1 \af0\afs20\alang1025 \ltrch\fcs0 \i\fs24\lang2057\langfe2057\cgrid\langnp2057\langfenp2057 \sbasedon0 \snext22 \spriority0 \styrsid8784744 _x000d__x000a_ColumnHeading;}{\s23\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3 \spriority0 \styrsid8784744 AMNumberTabs;}{_x000d__x000a_\s24\ql \li0\ri0\sb240\nowidctlpar\wrapdefault\aspalpha\aspnum\faauto\adjustright\rin0\lin0\itap0 \rtlch\fcs1 \af0\afs20\alang1025 \ltrch\fcs0 \b\fs24\lang2057\langfe2057\cgrid\langnp2057\langfenp2057 \sbasedon0 \snext24 \spriority0 \styrsid8784744 _x000d__x000a_NormalBold12b;}}{\*\rsidtbl \rsid24658\rsid735077\rsid746552\rsid2892074\rsid4666813\rsid6641733\rsid8784744\rsid9636012\rsid11215221\rsid12154954\rsid14424199\rsid15204470\rsid15285974\rsid15950462\rsid16324206\rsid16662270}{\mmathPr\mmathFont34\mbrkBin0_x000d__x000a_\mbrkBinSub0\msmallFrac0\mdispDef1\mlMargin0\mrMargin0\mdefJc1\mwrapIndent1440\mintLim0\mnaryLim1}{\info{\author TURZAKOVA Gabriela}{\operator TURZAKOVA Gabriela}{\creatim\yr2018\mo12\dy17\hr10\min2}{\revtim\yr2018\mo12\dy17\hr10\min2}{\version1}_x000d__x000a_{\edmins0}{\nofpages1}{\nofwords20}{\nofchars220}{\*\company European Parliament}{\nofcharsws221}{\vern5744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784744\utinl \fet0{\*\wgrffmtfilter 013f}\ilfomacatclnup0{\*\template D:\\USERS\\GTURZA~1\\AppData\\Local\\Temp\\Blank1.dot}{\*\ftnsep \ltrpar \pard\plain \ltrpar_x000d__x000a_\ql \li0\ri0\widctlpar\wrapdefault\aspalpha\aspnum\faauto\adjustright\rin0\lin0\itap0 \rtlch\fcs1 \af0\afs20\alang1025 \ltrch\fcs0 \fs24\lang2057\langfe2057\cgrid\langnp2057\langfenp2057 {\rtlch\fcs1 \af0 \ltrch\fcs0 \insrsid746552 \chftnsep _x000d__x000a_\par }}{\*\ftnsepc \ltrpar \pard\plain \ltrpar\ql \li0\ri0\widctlpar\wrapdefault\aspalpha\aspnum\faauto\adjustright\rin0\lin0\itap0 \rtlch\fcs1 \af0\afs20\alang1025 \ltrch\fcs0 \fs24\lang2057\langfe2057\cgrid\langnp2057\langfenp2057 {\rtlch\fcs1 \af0 _x000d__x000a_\ltrch\fcs0 \insrsid746552 \chftnsepc _x000d__x000a_\par }}{\*\aftnsep \ltrpar \pard\plain \ltrpar\ql \li0\ri0\widctlpar\wrapdefault\aspalpha\aspnum\faauto\adjustright\rin0\lin0\itap0 \rtlch\fcs1 \af0\afs20\alang1025 \ltrch\fcs0 \fs24\lang2057\langfe2057\cgrid\langnp2057\langfenp2057 {\rtlch\fcs1 \af0 _x000d__x000a_\ltrch\fcs0 \insrsid746552 \chftnsep _x000d__x000a_\par }}{\*\aftnsepc \ltrpar \pard\plain \ltrpar\ql \li0\ri0\widctlpar\wrapdefault\aspalpha\aspnum\faauto\adjustright\rin0\lin0\itap0 \rtlch\fcs1 \af0\afs20\alang1025 \ltrch\fcs0 \fs24\lang2057\langfe2057\cgrid\langnp2057\langfenp2057 {\rtlch\fcs1 \af0 _x000d__x000a_\ltrch\fcs0 \insrsid74655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3975772 \rtlch\fcs1 \af0\afs20\alang1025 \ltrch\fcs0 \b\fs24\lang2057\langfe2057\cgrid\langnp2057\langfenp2057 {\rtlch\fcs1 \af0 \ltrch\fcs0 \cs15\b0\v\f1\fs20\cf9\insrsid8784744\charrsid15879488 {\*\bkmkstart restartA}&lt;AmendA&gt;}{_x000d__x000a_\rtlch\fcs1 \af0 \ltrch\fcs0 \insrsid8784744\charrsid15879488 [ZAMENDMENT]\tab \tab }{\rtlch\fcs1 \af0 \ltrch\fcs0 \cs15\b0\v\f1\fs20\cf9\insrsid8784744\charrsid15879488 &lt;NumAmA&gt;}{\rtlch\fcs1 \af0 \ltrch\fcs0 \insrsid8784744\charrsid15879488 [ZNRAM]}{_x000d__x000a_\rtlch\fcs1 \af0 \ltrch\fcs0 \cs15\b0\v\f1\fs20\cf9\insrsid8784744\charrsid15879488 &lt;/NumAmA&gt;}{\rtlch\fcs1 \af0 \ltrch\fcs0 \insrsid8784744\charrsid15879488 _x000d__x000a_\par }\pard\plain \ltrpar\s24\ql \li0\ri0\sb240\keepn\nowidctlpar\wrapdefault\aspalpha\aspnum\faauto\adjustright\rin0\lin0\itap0\pararsid13975772 \rtlch\fcs1 \af0\afs20\alang1025 \ltrch\fcs0 \b\fs24\lang2057\langfe2057\cgrid\langnp2057\langfenp2057 {_x000d__x000a_\rtlch\fcs1 \af0 \ltrch\fcs0 \cs15\b0\v\f1\fs20\cf9\insrsid8784744\charrsid15879488 &lt;DocAmend&gt;}{\rtlch\fcs1 \af0 \ltrch\fcs0 \insrsid8784744\charrsid15879488 [ZRESOLUTION]}{\rtlch\fcs1 \af0 \ltrch\fcs0 _x000d__x000a_\cs15\b0\v\f1\fs20\cf9\insrsid8784744\charrsid15879488 &lt;/DocAmend&gt;}{\rtlch\fcs1 \af0 \ltrch\fcs0 \insrsid8784744\charrsid15879488 _x000d__x000a_\par }\pard\plain \ltrpar\s18\ql \li0\ri0\nowidctlpar\wrapdefault\aspalpha\aspnum\faauto\adjustright\rin0\lin0\itap0\pararsid13975772 \rtlch\fcs1 \af0\afs20\alang1025 \ltrch\fcs0 \b\fs24\lang2057\langfe2057\cgrid\langnp2057\langfenp2057 {\rtlch\fcs1 \af0 _x000d__x000a_\ltrch\fcs0 \cs15\b0\v\f1\fs20\cf9\insrsid8784744\charrsid15879488 &lt;Article&gt;}{\rtlch\fcs1 \af0 \ltrch\fcs0 \insrsid8784744\charrsid15879488 [ZRESPART]}{\rtlch\fcs1 \af0 \ltrch\fcs0 \cs15\b0\v\f1\fs20\cf9\insrsid8784744\charrsid15879488 &lt;/Article&gt;}{_x000d__x000a_\rtlch\fcs1 \af0 \ltrch\fcs0 \cs19\b0\insrsid8784744\charrsid15879488 _x000d__x000a_\par \ltrrow}\trowd \ltrrow\ts11\trqc\trgaph340\trleft-340\trftsWidth1\trftsWidthB3\trftsWidthA3\trpaddl340\trpaddr340\trpaddfl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8784744\charrsid15879488 \cell }\pard \ltrpar\ql \li0\ri0\widctlpar\intbl\wrapdefault\aspalpha\aspnum\faauto\adjustright\rin0\lin0 {\rtlch\fcs1 \af0 \ltrch\fcs0 _x000d__x000a_\insrsid8784744\charrsid15879488 \trowd \ltrrow\ts11\trqc\trgaph340\trleft-340\trftsWidth1\trftsWidthB3\trftsWidthA3\trpaddl340\trpaddr340\trpaddfl3\trpaddfr3\tblrsid14374628\tblind0\tblindtype3 \clvertalt\clbrdrt\brdrtbl \clbrdrl\brdrtbl \clbrdrb_x000d__x000a_\brdrtbl \clbrdrr\brdrtbl \cltxlrtb\clftsWidth3\clwWidth9752\clshdrawnil \cellx9412\row \ltrrow}\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74628 \rtlch\fcs1 \af0\afs20\alang1025 \ltrch\fcs0 \i\fs24\lang2057\langfe2057\cgrid\langnp2057\langfenp2057 {\rtlch\fcs1 \af0 \ltrch\fcs0 _x000d__x000a_\insrsid8784744\charrsid15879488 [ZLEFTA]\cell [ZRIGHT]\cell }\pard\plain \ltrpar\ql \li0\ri0\widctlpar\intbl\wrapdefault\aspalpha\aspnum\faauto\adjustright\rin0\lin0 \rtlch\fcs1 \af0\afs20\alang1025 \ltrch\fcs0 _x000d__x000a_\fs24\lang2057\langfe2057\cgrid\langnp2057\langfenp2057 {\rtlch\fcs1 \af0 \ltrch\fcs0 \insrsid8784744\charrsid15879488 \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8784744\charrsid15879488 [ZTEXTL]\cell [ZTEXTR]}{\rtlch\fcs1 \af0\afs24 \ltrch\fcs0 \insrsid8784744\charrsid15879488 \cell }\pard\plain \ltrpar\ql \li0\ri0\widctlpar\intbl\wrapdefault\aspalpha\aspnum\faauto\adjustright\rin0\lin0 \rtlch\fcs1 _x000d__x000a_\af0\afs20\alang1025 \ltrch\fcs0 \fs24\lang2057\langfe2057\cgrid\langnp2057\langfenp2057 {\rtlch\fcs1 \af0 \ltrch\fcs0 \insrsid8784744\charrsid15879488 \trowd \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keepn\nowidctlpar\wrapdefault\aspalpha\aspnum\faauto\adjustright\rin0\lin0\itap0\pararsid13975772 \rtlch\fcs1 \af0\afs20\alang1025 \ltrch\fcs0 \i\fs24\lang2057\langfe2057\cgrid\langnp2057\langfenp2057 {\rtlch\fcs1 \af0 _x000d__x000a_\ltrch\fcs0 \cs15\i0\v\f1\fs20\cf9\insrsid8784744\charrsid15879488 &lt;TitreJust&gt;}{\rtlch\fcs1 \af0 \ltrch\fcs0 \insrsid8784744\charrsid15879488 [ZJUSTIFICATION]}{\rtlch\fcs1 \af0 \ltrch\fcs0 \cs15\i0\v\f1\fs20\cf9\insrsid8784744\charrsid15879488 _x000d__x000a_&lt;/TitreJust&gt;}{\rtlch\fcs1 \af0 \ltrch\fcs0 \insrsid8784744\charrsid15879488 _x000d__x000a_\par }\pard\plain \ltrpar\s20\ql \li0\ri0\sa240\nowidctlpar\wrapdefault\aspalpha\aspnum\faauto\adjustright\rin0\lin0\itap0\pararsid13975772 \rtlch\fcs1 \af0\afs20\alang1025 \ltrch\fcs0 \i\fs24\lang2057\langfe2057\cgrid\langnp2057\langfenp2057 {\rtlch\fcs1 _x000d__x000a_\af0 \ltrch\fcs0 \cs15\i0\v\f1\fs20\cf9\insrsid8784744\charrsid15879488 &lt;OptDelPrev&gt;}{\rtlch\fcs1 \af0 \ltrch\fcs0 \insrsid8784744\charrsid15879488 [ZTEXTJUST]}{\rtlch\fcs1 \af0 \ltrch\fcs0 \cs15\i0\v\f1\fs20\cf9\insrsid8784744\charrsid15879488 _x000d__x000a_&lt;/OptDelPrev&gt;}{\rtlch\fcs1 \af0 \ltrch\fcs0 \insrsid8784744\charrsid15879488 _x000d__x000a_\par }\pard\plain \ltrpar\ql \li0\ri0\widctlpar\wrapdefault\aspalpha\aspnum\faauto\adjustright\rin0\lin0\itap0\pararsid13975772 \rtlch\fcs1 \af0\afs20\alang1025 \ltrch\fcs0 \fs24\lang2057\langfe2057\cgrid\langnp2057\langfenp2057 {\rtlch\fcs1 \af0 \ltrch\fcs0 _x000d__x000a_\cs15\v\f1\fs20\cf9\insrsid8784744\charrsid15879488 &lt;/AmendA&gt;}{\rtlch\fcs1 \af0 \ltrch\fcs0 \insrsid8784744\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ae_x000d__x000a_bc43e79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5\fbidi \froman\fcharset238\fprq2 Times New Roman CE;}{\f306\fbidi \froman\fcharset204\fprq2 Times New Roman Cyr;}_x000d__x000a_{\f308\fbidi \froman\fcharset161\fprq2 Times New Roman Greek;}{\f309\fbidi \froman\fcharset162\fprq2 Times New Roman Tur;}{\f310\fbidi \froman\fcharset177\fprq2 Times New Roman (Hebrew);}{\f311\fbidi \froman\fcharset178\fprq2 Times New Roman (Arabic);}_x000d__x000a_{\f312\fbidi \froman\fcharset186\fprq2 Times New Roman Baltic;}{\f313\fbidi \froman\fcharset163\fprq2 Times New Roman (Vietnamese);}{\f315\fbidi \fswiss\fcharset238\fprq2 Arial CE;}{\f316\fbidi \fswiss\fcharset204\fprq2 Arial Cyr;}_x000d__x000a_{\f318\fbidi \fswiss\fcharset161\fprq2 Arial Greek;}{\f319\fbidi \fswiss\fcharset162\fprq2 Arial Tur;}{\f320\fbidi \fswiss\fcharset177\fprq2 Arial (Hebrew);}{\f321\fbidi \fswiss\fcharset178\fprq2 Arial (Arabic);}_x000d__x000a_{\f322\fbidi \fswiss\fcharset186\fprq2 Arial Baltic;}{\f323\fbidi \fswiss\fcharset163\fprq2 Arial (Vietnamese);}{\f645\fbidi \froman\fcharset238\fprq2 Cambria Math CE;}{\f646\fbidi \froman\fcharset204\fprq2 Cambria Math Cyr;}_x000d__x000a_{\f648\fbidi \froman\fcharset161\fprq2 Cambria Math Greek;}{\f649\fbidi \froman\fcharset162\fprq2 Cambria Math Tur;}{\f652\fbidi \froman\fcharset186\fprq2 Cambria Math Baltic;}{\f65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512736 HideTWBExt;}{\s16\ql \li0\ri0\sa120\nowidctlpar\wrapdefault\aspalpha\aspnum\faauto\adjustright\rin0\lin0\itap0 \rtlch\fcs1 \af0\afs20\alang1025 \ltrch\fcs0 _x000d__x000a_\fs24\lang2057\langfe2057\cgrid\langnp2057\langfenp2057 \sbasedon0 \snext16 \slink17 \spriority0 \styrsid14512736 Normal6;}{\*\cs17 \additive \fs24 \slink16 \slocked \spriority0 \styrsid14512736 Normal6 Char;}{_x000d__x000a_\s18\ql \li0\ri0\nowidctlpar\wrapdefault\aspalpha\aspnum\faauto\adjustright\rin0\lin0\itap0 \rtlch\fcs1 \af0\afs20\alang1025 \ltrch\fcs0 \b\fs24\lang2057\langfe2057\cgrid\langnp2057\langfenp2057 \sbasedon0 \snext18 \slink19 \spriority0 \styrsid14512736 _x000d__x000a_NormalBold;}{\*\cs19 \additive \b\fs24 \slink18 \slocked \spriority0 \styrsid14512736 NormalBold Char;}{\s20\ql \li0\ri0\sa240\nowidctlpar\wrapdefault\aspalpha\aspnum\faauto\adjustright\rin0\lin0\itap0 \rtlch\fcs1 \af0\afs20\alang1025 \ltrch\fcs0 _x000d__x000a_\i\fs24\lang2057\langfe2057\cgrid\langnp2057\langfenp2057 \sbasedon0 \snext20 \spriority0 \styrsid14512736 Normal12Italic;}{\s21\qc \li0\ri0\sb240\nowidctlpar\wrapdefault\aspalpha\aspnum\faauto\adjustright\rin0\lin0\itap0 \rtlch\fcs1 \af0\afs20\alang1025 _x000d__x000a_\ltrch\fcs0 \i\fs24\lang2057\langfe2057\cgrid\langnp2057\langfenp2057 \sbasedon0 \snext21 \spriority0 \styrsid14512736 CrossRef;}{\s22\qc \li0\ri0\sb240\sa240\keepn\nowidctlpar\wrapdefault\aspalpha\aspnum\faauto\adjustright\rin0\lin0\itap0 \rtlch\fcs1 _x000d__x000a_\af0\afs20\alang1025 \ltrch\fcs0 \i\fs24\lang2057\langfe2057\cgrid\langnp2057\langfenp2057 \sbasedon0 \snext0 \spriority0 \styrsid14512736 JustificationTitle;}{_x000d__x000a_\s23\qc \li0\ri0\sa240\nowidctlpar\wrapdefault\aspalpha\aspnum\faauto\adjustright\rin0\lin0\itap0 \rtlch\fcs1 \af0\afs20\alang1025 \ltrch\fcs0 \i\fs24\lang2057\langfe2057\cgrid\langnp2057\langfenp2057 \sbasedon0 \snext23 \spriority0 \styrsid14512736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14512736 AMNumberTabs;}{_x000d__x000a_\s25\ql \li0\ri0\sb240\nowidctlpar\wrapdefault\aspalpha\aspnum\faauto\adjustright\rin0\lin0\itap0 \rtlch\fcs1 \af0\afs20\alang1025 \ltrch\fcs0 \b\fs24\lang2057\langfe2057\cgrid\langnp2057\langfenp2057 \sbasedon0 \snext25 \spriority0 \styrsid14512736 _x000d__x000a_NormalBold12b;}}{\*\rsidtbl \rsid24658\rsid735077\rsid2892074\rsid4076008\rsid4666813\rsid6641733\rsid9636012\rsid11215221\rsid12154954\rsid14424199\rsid14512736\rsid15204470\rsid15285974\rsid15950462\rsid16324206\rsid16662270}{\mmathPr\mmathFont34_x000d__x000a_\mbrkBin0\mbrkBinSub0\msmallFrac0\mdispDef1\mlMargin0\mrMargin0\mdefJc1\mwrapIndent1440\mintLim0\mnaryLim1}{\info{\author TURZAKOVA Gabriela}{\operator TURZAKOVA Gabriela}{\creatim\yr2018\mo12\dy17\hr10\min2}{\revtim\yr2018\mo12\dy17\hr10\min2}{\version1}_x000d__x000a_{\edmins0}{\nofpages1}{\nofwords31}{\nofchars341}{\*\company European Parliament}{\nofcharsws342}{\vern5744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512736\utinl \fet0{\*\wgrffmtfilter 013f}\ilfomacatclnup0{\*\template D:\\USERS\\GTURZA~1\\AppData\\Local\\Temp\\Blank1.dot}{\*\ftnsep \ltrpar \pard\plain \ltrpar_x000d__x000a_\ql \li0\ri0\widctlpar\wrapdefault\aspalpha\aspnum\faauto\adjustright\rin0\lin0\itap0 \rtlch\fcs1 \af0\afs20\alang1025 \ltrch\fcs0 \fs24\lang2057\langfe2057\cgrid\langnp2057\langfenp2057 {\rtlch\fcs1 \af0 \ltrch\fcs0 \insrsid4076008 \chftnsep _x000d__x000a_\par }}{\*\ftnsepc \ltrpar \pard\plain \ltrpar\ql \li0\ri0\widctlpar\wrapdefault\aspalpha\aspnum\faauto\adjustright\rin0\lin0\itap0 \rtlch\fcs1 \af0\afs20\alang1025 \ltrch\fcs0 \fs24\lang2057\langfe2057\cgrid\langnp2057\langfenp2057 {\rtlch\fcs1 \af0 _x000d__x000a_\ltrch\fcs0 \insrsid4076008 \chftnsepc _x000d__x000a_\par }}{\*\aftnsep \ltrpar \pard\plain \ltrpar\ql \li0\ri0\widctlpar\wrapdefault\aspalpha\aspnum\faauto\adjustright\rin0\lin0\itap0 \rtlch\fcs1 \af0\afs20\alang1025 \ltrch\fcs0 \fs24\lang2057\langfe2057\cgrid\langnp2057\langfenp2057 {\rtlch\fcs1 \af0 _x000d__x000a_\ltrch\fcs0 \insrsid4076008 \chftnsep _x000d__x000a_\par }}{\*\aftnsepc \ltrpar \pard\plain \ltrpar\ql \li0\ri0\widctlpar\wrapdefault\aspalpha\aspnum\faauto\adjustright\rin0\lin0\itap0 \rtlch\fcs1 \af0\afs20\alang1025 \ltrch\fcs0 \fs24\lang2057\langfe2057\cgrid\langnp2057\langfenp2057 {\rtlch\fcs1 \af0 _x000d__x000a_\ltrch\fcs0 \insrsid407600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9060501 \rtlch\fcs1 \af0\afs20\alang1025 \ltrch\fcs0 \b\fs24\lang2057\langfe2057\cgrid\langnp2057\langfenp2057 {\rtlch\fcs1 \af0 \ltrch\fcs0 \cs15\b0\v\f1\fs20\cf9\insrsid14512736\charrsid15879488 {\*\bkmkstart restartB}&lt;AmendB&gt;}{_x000d__x000a_\rtlch\fcs1 \af0 \ltrch\fcs0 \insrsid14512736\charrsid15879488 [ZAMENDMENT]\tab \tab }{\rtlch\fcs1 \af0 \ltrch\fcs0 \cs15\b0\v\f1\fs20\cf9\insrsid14512736\charrsid15879488 &lt;NumAmB&gt;}{\rtlch\fcs1 \af0 \ltrch\fcs0 \insrsid14512736\charrsid15879488 [ZNRAM]}{_x000d__x000a_\rtlch\fcs1 \af0 \ltrch\fcs0 \cs15\b0\v\f1\fs20\cf9\insrsid14512736\charrsid15879488 &lt;/NumAmB&gt;}{\rtlch\fcs1 \af0 \ltrch\fcs0 \insrsid14512736\charrsid15879488 _x000d__x000a_\par }\pard\plain \ltrpar\s25\ql \li0\ri0\sb240\keepn\nowidctlpar\wrapdefault\aspalpha\aspnum\faauto\adjustright\rin0\lin0\itap0\pararsid9060501 \rtlch\fcs1 \af0\afs20\alang1025 \ltrch\fcs0 \b\fs24\lang2057\langfe2057\cgrid\langnp2057\langfenp2057 {_x000d__x000a_\rtlch\fcs1 \af0 \ltrch\fcs0 \cs15\b0\v\f1\fs20\cf9\insrsid14512736\charrsid15879488 &lt;DocAmend&gt;}{\rtlch\fcs1 \af0 \ltrch\fcs0 \insrsid14512736\charrsid15879488 [ZPROPOSAL][ZAMACT]}{\rtlch\fcs1 \af0 \ltrch\fcs0 _x000d__x000a_\cs15\b0\v\f1\fs20\cf9\insrsid14512736\charrsid15879488 &lt;/DocAmend&gt;}{\rtlch\fcs1 \af0 \ltrch\fcs0 \insrsid14512736\charrsid15879488 _x000d__x000a_\par }\pard\plain \ltrpar\s18\ql \li0\ri0\keepn\nowidctlpar\wrapdefault\aspalpha\aspnum\faauto\adjustright\rin0\lin0\itap0\pararsid9060501 \rtlch\fcs1 \af0\afs20\alang1025 \ltrch\fcs0 \b\fs24\lang2057\langfe2057\cgrid\langnp2057\langfenp2057 {\rtlch\fcs1 \af0 _x000d__x000a_\ltrch\fcs0 \cs15\b0\v\f1\fs20\cf9\insrsid14512736\charrsid15879488 &lt;Article&gt;}{\rtlch\fcs1 \af0 \ltrch\fcs0 \insrsid14512736\charrsid15879488 [ZAMPART]}{\rtlch\fcs1 \af0 \ltrch\fcs0 \cs15\b0\v\f1\fs20\cf9\insrsid14512736\charrsid15879488 &lt;/Article&gt;}{_x000d__x000a_\rtlch\fcs1 \af0 \ltrch\fcs0 \insrsid14512736\charrsid15879488 _x000d__x000a_\par }\pard\plain \ltrpar\ql \li0\ri0\keepn\widctlpar\wrapdefault\aspalpha\aspnum\faauto\adjustright\rin0\lin0\itap0\pararsid9060501 \rtlch\fcs1 \af0\afs20\alang1025 \ltrch\fcs0 \fs24\lang2057\langfe2057\cgrid\langnp2057\langfenp2057 {\rtlch\fcs1 \af0 _x000d__x000a_\ltrch\fcs0 \cs15\v\f1\fs20\cf9\insrsid14512736\charrsid15879488 &lt;DocAmend2&gt;&lt;OptDel&gt;}{\rtlch\fcs1 \af0 \ltrch\fcs0 \insrsid14512736\charrsid15879488 [ZNRACT]}{\rtlch\fcs1 \af0 \ltrch\fcs0 \cs15\v\f1\fs20\cf9\insrsid14512736\charrsid15879488 _x000d__x000a_&lt;/OptDel&gt;&lt;/DocAmend2&gt;}{\rtlch\fcs1 \af0 \ltrch\fcs0 \insrsid14512736\charrsid15879488 _x000d__x000a_\par }\pard \ltrpar\ql \li0\ri0\widctlpar\wrapdefault\aspalpha\aspnum\faauto\adjustright\rin0\lin0\itap0\pararsid9060501 {\rtlch\fcs1 \af0 \ltrch\fcs0 \cs15\v\f1\fs20\cf9\insrsid14512736\charrsid15879488 &lt;Article2&gt;&lt;OptDel&gt;}{\rtlch\fcs1 \af0 \ltrch\fcs0 _x000d__x000a_\insrsid14512736\charrsid15879488 [ZACTPART]}{\rtlch\fcs1 \af0 \ltrch\fcs0 \cs15\v\f1\fs20\cf9\insrsid14512736\charrsid15879488 &lt;/OptDel&gt;&lt;/Article2&gt;}{\rtlch\fcs1 \af0 \ltrch\fcs0 \insrsid14512736\charrsid15879488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14512736\charrsid15879488 _x000d__x000a_\cell }\pard \ltrpar\ql \li0\ri0\widctlpar\intbl\wrapdefault\aspalpha\aspnum\faauto\adjustright\rin0\lin0 {\rtlch\fcs1 \af0 \ltrch\fcs0 \insrsid14512736\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74628 \rtlch\fcs1 \af0\afs20\alang1025 \ltrch\fcs0 \i\fs24\lang2057\langfe2057\cgrid\langnp2057\langfenp2057 {_x000d__x000a_\rtlch\fcs1 \af0 \ltrch\fcs0 \insrsid14512736\charrsid15879488 [ZLEFTB]\cell [ZRIGHT]\cell }\pard\plain \ltrpar\ql \li0\ri0\widctlpar\intbl\wrapdefault\aspalpha\aspnum\faauto\adjustright\rin0\lin0 \rtlch\fcs1 \af0\afs20\alang1025 \ltrch\fcs0 _x000d__x000a_\fs24\lang2057\langfe2057\cgrid\langnp2057\langfenp2057 {\rtlch\fcs1 \af0 \ltrch\fcs0 \insrsid14512736\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4512736\charrsid15879488 [ZTEXTL]\cell [ZTEXTR]}{\rtlch\fcs1 \af0\afs24 \ltrch\fcs0 \insrsid14512736\charrsid15879488 \cell }\pard\plain \ltrpar\ql \li0\ri0\widctlpar\intbl\wrapdefault\aspalpha\aspnum\faauto\adjustright\rin0\lin0 \rtlch\fcs1 _x000d__x000a_\af0\afs20\alang1025 \ltrch\fcs0 \fs24\lang2057\langfe2057\cgrid\langnp2057\langfenp2057 {\rtlch\fcs1 \af0 \ltrch\fcs0 \insrsid14512736\charrsid15879488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9060501 \rtlch\fcs1 \af0\afs20\alang1025 \ltrch\fcs0 \i\fs24\lang2057\langfe2057\cgrid\langnp2057\langfenp2057 {\rtlch\fcs1 \af0 \ltrch\fcs0 _x000d__x000a_\cs15\i0\v\f1\fs20\cf9\insrsid14512736\charrsid15879488 &lt;OptDel&gt;}{\rtlch\fcs1 \af0 \ltrch\fcs0 \insrsid14512736\charrsid15879488 [ZCROSSREF]}{\rtlch\fcs1 \af0 \ltrch\fcs0 \cs15\i0\v\f1\fs20\cf9\insrsid14512736\charrsid15879488 &lt;/OptDel&gt;}{\rtlch\fcs1 \af0 _x000d__x000a_\ltrch\fcs0 \insrsid14512736\charrsid15879488 _x000d__x000a_\par }\pard\plain \ltrpar\s22\qc \li0\ri0\sb240\sa240\keepn\nowidctlpar\wrapdefault\aspalpha\aspnum\faauto\adjustright\rin0\lin0\itap0\pararsid9060501 \rtlch\fcs1 \af0\afs20\alang1025 \ltrch\fcs0 \i\fs24\lang2057\langfe2057\cgrid\langnp2057\langfenp2057 {_x000d__x000a_\rtlch\fcs1 \af0 \ltrch\fcs0 \cs15\i0\v\f1\fs20\cf9\insrsid14512736\charrsid15879488 &lt;TitreJust&gt;}{\rtlch\fcs1 \af0 \ltrch\fcs0 \insrsid14512736\charrsid15879488 [ZJUSTIFICATION]}{\rtlch\fcs1 \af0 \ltrch\fcs0 _x000d__x000a_\cs15\i0\v\f1\fs20\cf9\insrsid14512736\charrsid15879488 &lt;/TitreJust&gt;}{\rtlch\fcs1 \af0 \ltrch\fcs0 \insrsid14512736\charrsid15879488 _x000d__x000a_\par }\pard\plain \ltrpar\s20\ql \li0\ri0\sa240\nowidctlpar\wrapdefault\aspalpha\aspnum\faauto\adjustright\rin0\lin0\itap0\pararsid9060501 \rtlch\fcs1 \af0\afs20\alang1025 \ltrch\fcs0 \i\fs24\lang2057\langfe2057\cgrid\langnp2057\langfenp2057 {\rtlch\fcs1 \af0 _x000d__x000a_\ltrch\fcs0 \cs15\i0\v\f1\fs20\cf9\insrsid14512736\charrsid15879488 &lt;OptDelPrev&gt;}{\rtlch\fcs1 \af0 \ltrch\fcs0 \insrsid14512736\charrsid15879488 [ZTEXTJUST]}{\rtlch\fcs1 \af0 \ltrch\fcs0 \cs15\i0\v\f1\fs20\cf9\insrsid14512736\charrsid15879488 _x000d__x000a_&lt;/OptDelPrev&gt;}{\rtlch\fcs1 \af0 \ltrch\fcs0 \insrsid14512736\charrsid15879488 _x000d__x000a_\par }\pard\plain \ltrpar\ql \li0\ri0\widctlpar\wrapdefault\aspalpha\aspnum\faauto\adjustright\rin0\lin0\itap0\pararsid9060501 \rtlch\fcs1 \af0\afs20\alang1025 \ltrch\fcs0 \fs24\lang2057\langfe2057\cgrid\langnp2057\langfenp2057 {\rtlch\fcs1 \af0 \ltrch\fcs0 _x000d__x000a_\cs15\v\f1\fs20\cf9\insrsid14512736\charrsid15879488 &lt;/AmendB&gt;}{\rtlch\fcs1 \af0 \ltrch\fcs0 \insrsid14512736\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71_x000d__x000a_4545e79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169"/>
    <w:docVar w:name="TXTLANGUE" w:val="SK"/>
    <w:docVar w:name="TXTLANGUEMIN" w:val="sk"/>
    <w:docVar w:name="TXTNRPE" w:val="627.712"/>
    <w:docVar w:name="TXTNRPROC" w:val="2018/0210"/>
    <w:docVar w:name="TXTPEorAP" w:val="PE"/>
    <w:docVar w:name="TXTROUTE" w:val="AD\1169823SK.docx"/>
    <w:docVar w:name="TXTVERSION" w:val="02-00"/>
  </w:docVars>
  <w:rsids>
    <w:rsidRoot w:val="00A80AAF"/>
    <w:rsid w:val="00026559"/>
    <w:rsid w:val="0004474F"/>
    <w:rsid w:val="000738E6"/>
    <w:rsid w:val="000A6903"/>
    <w:rsid w:val="000B04B6"/>
    <w:rsid w:val="00134974"/>
    <w:rsid w:val="00141CD7"/>
    <w:rsid w:val="0014456E"/>
    <w:rsid w:val="001820A9"/>
    <w:rsid w:val="001B0A1E"/>
    <w:rsid w:val="001B3F83"/>
    <w:rsid w:val="001C0886"/>
    <w:rsid w:val="001E3AC4"/>
    <w:rsid w:val="00304EA8"/>
    <w:rsid w:val="00341A99"/>
    <w:rsid w:val="00360FAA"/>
    <w:rsid w:val="0038294E"/>
    <w:rsid w:val="003A2F84"/>
    <w:rsid w:val="003C7390"/>
    <w:rsid w:val="0040055C"/>
    <w:rsid w:val="004418FD"/>
    <w:rsid w:val="00487596"/>
    <w:rsid w:val="004C2A0D"/>
    <w:rsid w:val="00522B51"/>
    <w:rsid w:val="005A2D5D"/>
    <w:rsid w:val="005B40F7"/>
    <w:rsid w:val="005F3FDE"/>
    <w:rsid w:val="00613134"/>
    <w:rsid w:val="0063682E"/>
    <w:rsid w:val="00671818"/>
    <w:rsid w:val="00691B1C"/>
    <w:rsid w:val="006A0F0A"/>
    <w:rsid w:val="006A48AA"/>
    <w:rsid w:val="006B1267"/>
    <w:rsid w:val="006D292E"/>
    <w:rsid w:val="00712462"/>
    <w:rsid w:val="00736D58"/>
    <w:rsid w:val="0078548A"/>
    <w:rsid w:val="007F187F"/>
    <w:rsid w:val="00817D13"/>
    <w:rsid w:val="00820C7D"/>
    <w:rsid w:val="00823EFF"/>
    <w:rsid w:val="00833D11"/>
    <w:rsid w:val="00836FD3"/>
    <w:rsid w:val="00865D52"/>
    <w:rsid w:val="008A3182"/>
    <w:rsid w:val="00904864"/>
    <w:rsid w:val="009052FE"/>
    <w:rsid w:val="00924555"/>
    <w:rsid w:val="00982B83"/>
    <w:rsid w:val="009857B4"/>
    <w:rsid w:val="009E7319"/>
    <w:rsid w:val="00A31F42"/>
    <w:rsid w:val="00A4023B"/>
    <w:rsid w:val="00A80AAF"/>
    <w:rsid w:val="00A872BA"/>
    <w:rsid w:val="00B476DC"/>
    <w:rsid w:val="00B556CD"/>
    <w:rsid w:val="00B62D4B"/>
    <w:rsid w:val="00BD1F76"/>
    <w:rsid w:val="00BE20CF"/>
    <w:rsid w:val="00C22327"/>
    <w:rsid w:val="00C75E98"/>
    <w:rsid w:val="00CE0DEC"/>
    <w:rsid w:val="00D25CF2"/>
    <w:rsid w:val="00D6254D"/>
    <w:rsid w:val="00D74FD1"/>
    <w:rsid w:val="00D75C24"/>
    <w:rsid w:val="00D8748F"/>
    <w:rsid w:val="00D943A5"/>
    <w:rsid w:val="00DB56E4"/>
    <w:rsid w:val="00E14440"/>
    <w:rsid w:val="00E27F01"/>
    <w:rsid w:val="00E917F2"/>
    <w:rsid w:val="00EF33D5"/>
    <w:rsid w:val="00F15744"/>
    <w:rsid w:val="00F24D40"/>
    <w:rsid w:val="00F3126E"/>
    <w:rsid w:val="00FE5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8380DA"/>
  <w15:chartTrackingRefBased/>
  <w15:docId w15:val="{73560D8E-7268-4D18-8B8F-4035258C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9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sid w:val="00DB56E4"/>
    <w:rPr>
      <w:rFonts w:ascii="Arial" w:hAnsi="Arial" w:cs="Arial"/>
      <w:b w:val="0"/>
      <w:i w:val="0"/>
      <w:strike w:val="0"/>
      <w:noProof/>
      <w:vanish/>
      <w:color w:val="000080"/>
      <w:sz w:val="20"/>
    </w:rPr>
  </w:style>
  <w:style w:type="paragraph" w:styleId="Footer">
    <w:name w:val="footer"/>
    <w:basedOn w:val="Normal"/>
    <w:rsid w:val="00DB56E4"/>
    <w:pPr>
      <w:widowControl w:val="0"/>
      <w:tabs>
        <w:tab w:val="center" w:pos="4535"/>
        <w:tab w:val="right" w:pos="9071"/>
      </w:tabs>
      <w:spacing w:before="240" w:after="240"/>
    </w:pPr>
    <w:rPr>
      <w:sz w:val="22"/>
      <w:szCs w:val="20"/>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rsid w:val="00DB56E4"/>
    <w:pPr>
      <w:widowControl w:val="0"/>
      <w:spacing w:after="240"/>
    </w:pPr>
    <w:rPr>
      <w:szCs w:val="20"/>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sk-SK" w:eastAsia="en-GB" w:bidi="ar-SA"/>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sk-SK" w:eastAsia="en-GB" w:bidi="ar-SA"/>
    </w:rPr>
  </w:style>
  <w:style w:type="paragraph" w:customStyle="1" w:styleId="Normal12Italic">
    <w:name w:val="Normal12Italic"/>
    <w:basedOn w:val="Normal"/>
    <w:rsid w:val="00304EA8"/>
    <w:pPr>
      <w:widowControl w:val="0"/>
      <w:spacing w:after="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basedOn w:val="DefaultParagraphFont"/>
    <w:rsid w:val="006A48AA"/>
    <w:rPr>
      <w:vanish/>
      <w:color w:val="808080"/>
    </w:rPr>
  </w:style>
  <w:style w:type="paragraph" w:customStyle="1" w:styleId="JustificationTitle">
    <w:name w:val="JustificationTitle"/>
    <w:basedOn w:val="Normal"/>
    <w:next w:val="Normal12"/>
    <w:rsid w:val="00304EA8"/>
    <w:pPr>
      <w:keepNext/>
      <w:widowControl w:val="0"/>
      <w:spacing w:before="240" w:after="240"/>
      <w:jc w:val="center"/>
    </w:pPr>
    <w:rPr>
      <w:i/>
      <w:szCs w:val="20"/>
    </w:rPr>
  </w:style>
  <w:style w:type="character" w:customStyle="1" w:styleId="Normal12Char">
    <w:name w:val="Normal12 Char"/>
    <w:basedOn w:val="DefaultParagraphFont"/>
    <w:link w:val="Normal12"/>
    <w:locked/>
    <w:rsid w:val="005B40F7"/>
    <w:rPr>
      <w:sz w:val="24"/>
      <w:lang w:val="sk-SK"/>
    </w:r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lang w:eastAsia="en-US"/>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rPr>
  </w:style>
  <w:style w:type="paragraph" w:styleId="BalloonText">
    <w:name w:val="Balloon Text"/>
    <w:basedOn w:val="Normal"/>
    <w:link w:val="BalloonTextChar"/>
    <w:rsid w:val="005B40F7"/>
    <w:rPr>
      <w:rFonts w:ascii="Segoe UI" w:hAnsi="Segoe UI" w:cs="Segoe UI"/>
      <w:sz w:val="18"/>
      <w:szCs w:val="18"/>
    </w:rPr>
  </w:style>
  <w:style w:type="character" w:customStyle="1" w:styleId="BalloonTextChar">
    <w:name w:val="Balloon Text Char"/>
    <w:basedOn w:val="DefaultParagraphFont"/>
    <w:link w:val="BalloonText"/>
    <w:rsid w:val="005B40F7"/>
    <w:rPr>
      <w:rFonts w:ascii="Segoe UI" w:hAnsi="Segoe UI" w:cs="Segoe UI"/>
      <w:sz w:val="18"/>
      <w:szCs w:val="18"/>
    </w:rPr>
  </w:style>
  <w:style w:type="character" w:styleId="CommentReference">
    <w:name w:val="annotation reference"/>
    <w:basedOn w:val="DefaultParagraphFont"/>
    <w:rsid w:val="005B40F7"/>
    <w:rPr>
      <w:sz w:val="16"/>
      <w:szCs w:val="16"/>
    </w:rPr>
  </w:style>
  <w:style w:type="paragraph" w:styleId="CommentText">
    <w:name w:val="annotation text"/>
    <w:basedOn w:val="Normal"/>
    <w:link w:val="CommentTextChar"/>
    <w:rsid w:val="005B40F7"/>
    <w:rPr>
      <w:sz w:val="20"/>
      <w:szCs w:val="20"/>
    </w:rPr>
  </w:style>
  <w:style w:type="character" w:customStyle="1" w:styleId="CommentTextChar">
    <w:name w:val="Comment Text Char"/>
    <w:basedOn w:val="DefaultParagraphFont"/>
    <w:link w:val="CommentText"/>
    <w:rsid w:val="005B40F7"/>
  </w:style>
  <w:style w:type="paragraph" w:styleId="CommentSubject">
    <w:name w:val="annotation subject"/>
    <w:basedOn w:val="CommentText"/>
    <w:next w:val="CommentText"/>
    <w:link w:val="CommentSubjectChar"/>
    <w:rsid w:val="005B40F7"/>
    <w:rPr>
      <w:b/>
      <w:bCs/>
    </w:rPr>
  </w:style>
  <w:style w:type="character" w:customStyle="1" w:styleId="CommentSubjectChar">
    <w:name w:val="Comment Subject Char"/>
    <w:basedOn w:val="CommentTextChar"/>
    <w:link w:val="CommentSubject"/>
    <w:rsid w:val="005B40F7"/>
    <w:rPr>
      <w:b/>
      <w:bCs/>
    </w:rPr>
  </w:style>
  <w:style w:type="character" w:customStyle="1" w:styleId="Sup">
    <w:name w:val="Sup"/>
    <w:rsid w:val="000A6903"/>
    <w:rPr>
      <w:color w:val="000000"/>
      <w:vertAlign w:val="superscript"/>
    </w:rPr>
  </w:style>
  <w:style w:type="paragraph" w:customStyle="1" w:styleId="Normal6Center">
    <w:name w:val="Normal6 + Center"/>
    <w:qFormat/>
    <w:rsid w:val="000A6903"/>
    <w:pPr>
      <w:spacing w:after="120"/>
      <w:jc w:val="center"/>
    </w:pPr>
    <w:rPr>
      <w:b/>
      <w:i/>
      <w:color w:val="000000"/>
      <w:sz w:val="24"/>
      <w:szCs w:val="24"/>
    </w:rPr>
  </w:style>
  <w:style w:type="character" w:styleId="Hyperlink">
    <w:name w:val="Hyperlink"/>
    <w:basedOn w:val="DefaultParagraphFont"/>
    <w:rsid w:val="000A6903"/>
    <w:rPr>
      <w:color w:val="0563C1" w:themeColor="hyperlink"/>
      <w:u w:val="single"/>
    </w:rPr>
  </w:style>
  <w:style w:type="paragraph" w:customStyle="1" w:styleId="NormalTabs">
    <w:name w:val="NormalTabs"/>
    <w:basedOn w:val="Normal"/>
    <w:qFormat/>
    <w:rsid w:val="000A6903"/>
    <w:pPr>
      <w:widowControl w:val="0"/>
      <w:tabs>
        <w:tab w:val="center" w:pos="284"/>
        <w:tab w:val="left" w:pos="426"/>
      </w:tabs>
    </w:pPr>
    <w:rPr>
      <w:snapToGrid w:val="0"/>
      <w:szCs w:val="20"/>
      <w:lang w:eastAsia="en-US"/>
    </w:rPr>
  </w:style>
  <w:style w:type="paragraph" w:styleId="Revision">
    <w:name w:val="Revision"/>
    <w:hidden/>
    <w:uiPriority w:val="99"/>
    <w:semiHidden/>
    <w:rsid w:val="000A69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12196</Words>
  <Characters>81704</Characters>
  <Application>Microsoft Office Word</Application>
  <DocSecurity>0</DocSecurity>
  <Lines>680</Lines>
  <Paragraphs>187</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93713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PETROVA Daniela</dc:creator>
  <cp:keywords/>
  <dc:description/>
  <cp:lastModifiedBy>VOROSOVA Ivana</cp:lastModifiedBy>
  <cp:revision>2</cp:revision>
  <dcterms:created xsi:type="dcterms:W3CDTF">2019-01-03T11:07:00Z</dcterms:created>
  <dcterms:modified xsi:type="dcterms:W3CDTF">2019-01-03T11:07:00Z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9.5.1 Build [20181101]</vt:lpwstr>
  </property>
  <property fmtid="{D5CDD505-2E9C-101B-9397-08002B2CF9AE}" pid="4" name="&lt;FdR&gt;">
    <vt:lpwstr>1169823</vt:lpwstr>
  </property>
  <property fmtid="{D5CDD505-2E9C-101B-9397-08002B2CF9AE}" pid="5" name="&lt;Type&gt;">
    <vt:lpwstr>AD</vt:lpwstr>
  </property>
  <property fmtid="{D5CDD505-2E9C-101B-9397-08002B2CF9AE}" pid="6" name="&lt;ModelCod&gt;">
    <vt:lpwstr>\\eiciLUXpr1\pdocep$\DocEP\DOCS\General\PA\PA_Legam.dot(14/11/2017 12:18:10)</vt:lpwstr>
  </property>
  <property fmtid="{D5CDD505-2E9C-101B-9397-08002B2CF9AE}" pid="7" name="&lt;ModelTra&gt;">
    <vt:lpwstr>\\eiciLUXpr1\pdocep$\DocEP\TRANSFIL\SK\PA_Legam.SK(14/02/2018 13:57:02)</vt:lpwstr>
  </property>
  <property fmtid="{D5CDD505-2E9C-101B-9397-08002B2CF9AE}" pid="8" name="&lt;Model&gt;">
    <vt:lpwstr>PA_Legam</vt:lpwstr>
  </property>
  <property fmtid="{D5CDD505-2E9C-101B-9397-08002B2CF9AE}" pid="9" name="FooterPath">
    <vt:lpwstr>AD\1169823SK.docx</vt:lpwstr>
  </property>
  <property fmtid="{D5CDD505-2E9C-101B-9397-08002B2CF9AE}" pid="10" name="PE number">
    <vt:lpwstr>627.712</vt:lpwstr>
  </property>
  <property fmtid="{D5CDD505-2E9C-101B-9397-08002B2CF9AE}" pid="11" name="Bookout">
    <vt:lpwstr>OK - 2019/01/03 12:07</vt:lpwstr>
  </property>
  <property fmtid="{D5CDD505-2E9C-101B-9397-08002B2CF9AE}" pid="12" name="SubscribeElise">
    <vt:lpwstr/>
  </property>
  <property fmtid="{D5CDD505-2E9C-101B-9397-08002B2CF9AE}" pid="13" name="SDLStudio">
    <vt:lpwstr/>
  </property>
  <property fmtid="{D5CDD505-2E9C-101B-9397-08002B2CF9AE}" pid="14" name="&lt;Extension&gt;">
    <vt:lpwstr>SK</vt:lpwstr>
  </property>
</Properties>
</file>