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6008DA" w14:paraId="174AD35F" w14:textId="77777777" w:rsidTr="00904864">
        <w:trPr>
          <w:trHeight w:hRule="exact" w:val="1418"/>
        </w:trPr>
        <w:tc>
          <w:tcPr>
            <w:tcW w:w="6804" w:type="dxa"/>
            <w:shd w:val="clear" w:color="auto" w:fill="auto"/>
            <w:vAlign w:val="center"/>
          </w:tcPr>
          <w:p w14:paraId="1381E8FB" w14:textId="77777777" w:rsidR="00522B51" w:rsidRPr="006008DA" w:rsidRDefault="00836ACC" w:rsidP="00904864">
            <w:pPr>
              <w:pStyle w:val="EPName"/>
            </w:pPr>
            <w:r w:rsidRPr="006008DA">
              <w:t>Europaparlamentet</w:t>
            </w:r>
          </w:p>
          <w:p w14:paraId="79D38DE7" w14:textId="77777777" w:rsidR="00522B51" w:rsidRPr="006008DA" w:rsidRDefault="00F45817" w:rsidP="00F45817">
            <w:pPr>
              <w:pStyle w:val="EPTerm"/>
              <w:rPr>
                <w:rStyle w:val="HideTWBExt"/>
                <w:noProof w:val="0"/>
              </w:rPr>
            </w:pPr>
            <w:r w:rsidRPr="006008DA">
              <w:t>2014-2019</w:t>
            </w:r>
          </w:p>
        </w:tc>
        <w:tc>
          <w:tcPr>
            <w:tcW w:w="2268" w:type="dxa"/>
            <w:shd w:val="clear" w:color="auto" w:fill="auto"/>
          </w:tcPr>
          <w:p w14:paraId="43F7DFA0" w14:textId="77777777" w:rsidR="00522B51" w:rsidRPr="006008DA" w:rsidRDefault="00E810F4" w:rsidP="00904864">
            <w:pPr>
              <w:pStyle w:val="EPLogo"/>
            </w:pPr>
            <w:r w:rsidRPr="006008DA">
              <w:drawing>
                <wp:inline distT="0" distB="0" distL="0" distR="0" wp14:anchorId="5337F1E1" wp14:editId="244731D6">
                  <wp:extent cx="1160780"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14:paraId="2C9B999D" w14:textId="77777777" w:rsidR="00F24D40" w:rsidRPr="006008DA" w:rsidRDefault="00F24D40" w:rsidP="00F24D40">
      <w:pPr>
        <w:pStyle w:val="LineTop"/>
      </w:pPr>
    </w:p>
    <w:p w14:paraId="6860D50E" w14:textId="77777777" w:rsidR="00F24D40" w:rsidRPr="006008DA" w:rsidRDefault="00F24D40" w:rsidP="00F24D40">
      <w:pPr>
        <w:pStyle w:val="ZCommittee"/>
      </w:pPr>
      <w:r w:rsidRPr="006008DA">
        <w:rPr>
          <w:rStyle w:val="HideTWBExt"/>
          <w:i w:val="0"/>
          <w:noProof w:val="0"/>
          <w:szCs w:val="24"/>
        </w:rPr>
        <w:t>&lt;Commission&gt;</w:t>
      </w:r>
      <w:r w:rsidRPr="006008DA">
        <w:rPr>
          <w:rStyle w:val="HideTWBInt"/>
          <w:rFonts w:ascii="Times New Roman" w:hAnsi="Times New Roman"/>
          <w:i w:val="0"/>
          <w:color w:val="auto"/>
          <w:sz w:val="24"/>
          <w:szCs w:val="24"/>
        </w:rPr>
        <w:t>{ENVI}</w:t>
      </w:r>
      <w:r w:rsidRPr="006008DA">
        <w:t>Utskottet för miljö, folkhälsa och livsmedelssäkerhet</w:t>
      </w:r>
      <w:r w:rsidRPr="006008DA">
        <w:rPr>
          <w:rStyle w:val="HideTWBExt"/>
          <w:i w:val="0"/>
          <w:noProof w:val="0"/>
          <w:szCs w:val="24"/>
        </w:rPr>
        <w:t>&lt;/Commission&gt;</w:t>
      </w:r>
    </w:p>
    <w:p w14:paraId="65DA5CB1" w14:textId="77777777" w:rsidR="00F24D40" w:rsidRPr="006008DA" w:rsidRDefault="00F24D40" w:rsidP="00F24D40">
      <w:pPr>
        <w:pStyle w:val="LineBottom"/>
      </w:pPr>
    </w:p>
    <w:p w14:paraId="0522CDA4" w14:textId="77777777" w:rsidR="00E276AB" w:rsidRPr="006008DA" w:rsidRDefault="00E276AB" w:rsidP="00E276AB">
      <w:pPr>
        <w:pStyle w:val="RefProc"/>
      </w:pPr>
      <w:r w:rsidRPr="006008DA">
        <w:rPr>
          <w:rStyle w:val="HideTWBExt"/>
          <w:b w:val="0"/>
          <w:caps w:val="0"/>
          <w:noProof w:val="0"/>
          <w:szCs w:val="24"/>
        </w:rPr>
        <w:t>&lt;RefProc&gt;</w:t>
      </w:r>
      <w:r w:rsidRPr="006008DA">
        <w:t>2018/0180</w:t>
      </w:r>
      <w:r w:rsidRPr="006008DA">
        <w:rPr>
          <w:rStyle w:val="HideTWBExt"/>
          <w:b w:val="0"/>
          <w:caps w:val="0"/>
          <w:noProof w:val="0"/>
          <w:szCs w:val="24"/>
        </w:rPr>
        <w:t>&lt;/RefProc&gt;&lt;RefTypeProc&gt;</w:t>
      </w:r>
      <w:r w:rsidRPr="006008DA">
        <w:t>(COD)</w:t>
      </w:r>
      <w:r w:rsidRPr="006008DA">
        <w:rPr>
          <w:rStyle w:val="HideTWBExt"/>
          <w:b w:val="0"/>
          <w:caps w:val="0"/>
          <w:noProof w:val="0"/>
          <w:szCs w:val="24"/>
        </w:rPr>
        <w:t>&lt;/RefTypeProc&gt;</w:t>
      </w:r>
    </w:p>
    <w:p w14:paraId="2337D02A" w14:textId="77777777" w:rsidR="00E276AB" w:rsidRPr="006008DA" w:rsidRDefault="00E276AB" w:rsidP="00E276AB">
      <w:pPr>
        <w:pStyle w:val="ZDate"/>
      </w:pPr>
      <w:r w:rsidRPr="006008DA">
        <w:rPr>
          <w:rStyle w:val="HideTWBExt"/>
          <w:noProof w:val="0"/>
        </w:rPr>
        <w:t>&lt;Date&gt;</w:t>
      </w:r>
      <w:r w:rsidRPr="006008DA">
        <w:rPr>
          <w:rStyle w:val="HideTWBInt"/>
          <w:color w:val="auto"/>
        </w:rPr>
        <w:t>{22/11/2018}</w:t>
      </w:r>
      <w:r w:rsidRPr="006008DA">
        <w:t>22.11.2018</w:t>
      </w:r>
      <w:r w:rsidRPr="006008DA">
        <w:rPr>
          <w:rStyle w:val="HideTWBExt"/>
          <w:noProof w:val="0"/>
        </w:rPr>
        <w:t>&lt;/Date&gt;</w:t>
      </w:r>
    </w:p>
    <w:p w14:paraId="2F39AEF4" w14:textId="77777777" w:rsidR="00E276AB" w:rsidRPr="006008DA" w:rsidRDefault="00E276AB" w:rsidP="00E276AB">
      <w:pPr>
        <w:pStyle w:val="TypeDoc"/>
      </w:pPr>
      <w:r w:rsidRPr="006008DA">
        <w:rPr>
          <w:rStyle w:val="HideTWBExt"/>
          <w:b w:val="0"/>
          <w:noProof w:val="0"/>
          <w:szCs w:val="24"/>
        </w:rPr>
        <w:t>&lt;TitreType&gt;</w:t>
      </w:r>
      <w:r w:rsidRPr="006008DA">
        <w:t>YTTRANDE</w:t>
      </w:r>
      <w:r w:rsidRPr="006008DA">
        <w:rPr>
          <w:rStyle w:val="HideTWBExt"/>
          <w:b w:val="0"/>
          <w:noProof w:val="0"/>
          <w:szCs w:val="24"/>
        </w:rPr>
        <w:t>&lt;/TitreType&gt;</w:t>
      </w:r>
    </w:p>
    <w:p w14:paraId="52F99C5C" w14:textId="77777777" w:rsidR="00E276AB" w:rsidRPr="006008DA" w:rsidRDefault="00E276AB" w:rsidP="00E276AB">
      <w:pPr>
        <w:pStyle w:val="Cover24"/>
      </w:pPr>
      <w:r w:rsidRPr="006008DA">
        <w:rPr>
          <w:rStyle w:val="HideTWBExt"/>
          <w:noProof w:val="0"/>
        </w:rPr>
        <w:t>&lt;CommissionResp&gt;</w:t>
      </w:r>
      <w:r w:rsidRPr="006008DA">
        <w:t>från utskottet för miljö, folkhälsa och livsmedelssäkerhet</w:t>
      </w:r>
      <w:r w:rsidRPr="006008DA">
        <w:rPr>
          <w:rStyle w:val="HideTWBExt"/>
          <w:noProof w:val="0"/>
        </w:rPr>
        <w:t>&lt;/CommissionResp&gt;</w:t>
      </w:r>
    </w:p>
    <w:p w14:paraId="4CF04778" w14:textId="77777777" w:rsidR="00E276AB" w:rsidRPr="006008DA" w:rsidRDefault="00E276AB" w:rsidP="00E276AB">
      <w:pPr>
        <w:pStyle w:val="Cover24"/>
      </w:pPr>
      <w:r w:rsidRPr="006008DA">
        <w:rPr>
          <w:rStyle w:val="HideTWBExt"/>
          <w:noProof w:val="0"/>
        </w:rPr>
        <w:t>&lt;CommissionInt&gt;</w:t>
      </w:r>
      <w:r w:rsidRPr="006008DA">
        <w:t>till utskottet för ekonomi och valutafrågor</w:t>
      </w:r>
      <w:r w:rsidRPr="006008DA">
        <w:rPr>
          <w:rStyle w:val="HideTWBExt"/>
          <w:noProof w:val="0"/>
        </w:rPr>
        <w:t>&lt;/CommissionInt&gt;</w:t>
      </w:r>
    </w:p>
    <w:p w14:paraId="38F29C76" w14:textId="0DC0BB38" w:rsidR="00E276AB" w:rsidRPr="006008DA" w:rsidRDefault="00E276AB" w:rsidP="00E276AB">
      <w:pPr>
        <w:pStyle w:val="CoverNormal"/>
      </w:pPr>
      <w:r w:rsidRPr="006008DA">
        <w:rPr>
          <w:rStyle w:val="HideTWBExt"/>
          <w:noProof w:val="0"/>
        </w:rPr>
        <w:t>&lt;Titre&gt;</w:t>
      </w:r>
      <w:r w:rsidRPr="006008DA">
        <w:t>över förslaget till Europaparlamentets och rådets förordning om ändring av förordning (EU) 2016/1011 avseende referensvärden för koldioxidsnåla investeringar och för klimatpositiva investeringar</w:t>
      </w:r>
      <w:r w:rsidRPr="006008DA">
        <w:rPr>
          <w:rStyle w:val="HideTWBExt"/>
          <w:noProof w:val="0"/>
        </w:rPr>
        <w:t>&lt;/Titre&gt;</w:t>
      </w:r>
    </w:p>
    <w:p w14:paraId="4E693ADA" w14:textId="77777777" w:rsidR="00E276AB" w:rsidRPr="006008DA" w:rsidRDefault="00E276AB" w:rsidP="00E276AB">
      <w:pPr>
        <w:pStyle w:val="Cover24"/>
      </w:pPr>
      <w:r w:rsidRPr="006008DA">
        <w:rPr>
          <w:rStyle w:val="HideTWBExt"/>
          <w:noProof w:val="0"/>
        </w:rPr>
        <w:t>&lt;DocRef&gt;</w:t>
      </w:r>
      <w:r w:rsidRPr="006008DA">
        <w:t>(COM(2018)0355 – C8</w:t>
      </w:r>
      <w:r w:rsidRPr="006008DA">
        <w:noBreakHyphen/>
        <w:t>0209/2018 – 2018/0180(COD))</w:t>
      </w:r>
      <w:r w:rsidRPr="006008DA">
        <w:rPr>
          <w:rStyle w:val="HideTWBExt"/>
          <w:noProof w:val="0"/>
        </w:rPr>
        <w:t>&lt;/DocRef&gt;</w:t>
      </w:r>
    </w:p>
    <w:p w14:paraId="36038AD2" w14:textId="77777777" w:rsidR="00E276AB" w:rsidRPr="006008DA" w:rsidRDefault="00E276AB" w:rsidP="00E276AB">
      <w:pPr>
        <w:pStyle w:val="Cover24"/>
        <w:rPr>
          <w:rStyle w:val="HideTWBExt"/>
          <w:noProof w:val="0"/>
        </w:rPr>
      </w:pPr>
      <w:r w:rsidRPr="006008DA">
        <w:t xml:space="preserve">Föredragande av yttrande: </w:t>
      </w:r>
      <w:r w:rsidRPr="006008DA">
        <w:rPr>
          <w:rStyle w:val="HideTWBExt"/>
          <w:noProof w:val="0"/>
        </w:rPr>
        <w:t>&lt;Depute&gt;</w:t>
      </w:r>
      <w:r w:rsidRPr="006008DA">
        <w:t>Adina</w:t>
      </w:r>
      <w:r w:rsidRPr="006008DA">
        <w:noBreakHyphen/>
        <w:t>Ioana Vălean</w:t>
      </w:r>
      <w:r w:rsidRPr="006008DA">
        <w:rPr>
          <w:rStyle w:val="HideTWBExt"/>
          <w:noProof w:val="0"/>
        </w:rPr>
        <w:t>&lt;/Depute&gt;</w:t>
      </w:r>
    </w:p>
    <w:p w14:paraId="40F17B06" w14:textId="77777777" w:rsidR="00E276AB" w:rsidRPr="006008DA" w:rsidRDefault="00E276AB" w:rsidP="00E276AB">
      <w:pPr>
        <w:tabs>
          <w:tab w:val="center" w:pos="4677"/>
        </w:tabs>
      </w:pPr>
      <w:r w:rsidRPr="006008DA">
        <w:br w:type="page"/>
      </w:r>
    </w:p>
    <w:p w14:paraId="0B095BC4" w14:textId="77777777" w:rsidR="00E276AB" w:rsidRPr="006008DA" w:rsidRDefault="00E276AB" w:rsidP="00E276AB">
      <w:pPr>
        <w:tabs>
          <w:tab w:val="center" w:pos="4677"/>
        </w:tabs>
      </w:pPr>
      <w:r w:rsidRPr="006008DA">
        <w:lastRenderedPageBreak/>
        <w:t>PA_Legam</w:t>
      </w:r>
    </w:p>
    <w:p w14:paraId="011225BB" w14:textId="77777777" w:rsidR="00E276AB" w:rsidRPr="006008DA" w:rsidRDefault="00E276AB" w:rsidP="00E276AB">
      <w:pPr>
        <w:pStyle w:val="ConclusionsPA"/>
      </w:pPr>
      <w:r w:rsidRPr="006008DA">
        <w:br w:type="page"/>
      </w:r>
      <w:r w:rsidRPr="006008DA">
        <w:lastRenderedPageBreak/>
        <w:t>ÄNDRINGSFÖRSLAG</w:t>
      </w:r>
    </w:p>
    <w:p w14:paraId="303E1AE7" w14:textId="77777777" w:rsidR="00E276AB" w:rsidRPr="006008DA" w:rsidRDefault="00E276AB" w:rsidP="00E276AB">
      <w:pPr>
        <w:pStyle w:val="Normal12"/>
      </w:pPr>
      <w:bookmarkStart w:id="0" w:name="IntroA"/>
      <w:r w:rsidRPr="006008DA">
        <w:t>Utskottet för miljö, folkhälsa och livsmedelssäkerhet uppmanar utskottet för ekonomi och valutafrågor att som ansvarigt utskott beakta följande ändringsförslag:</w:t>
      </w:r>
    </w:p>
    <w:p w14:paraId="599ACA96" w14:textId="77777777" w:rsidR="00E276AB" w:rsidRPr="006008DA" w:rsidRDefault="00E276AB" w:rsidP="00E276AB">
      <w:pPr>
        <w:pStyle w:val="AMNumberTabs"/>
      </w:pPr>
      <w:bookmarkStart w:id="1" w:name="IntroB"/>
      <w:bookmarkEnd w:id="0"/>
      <w:r w:rsidRPr="006008DA">
        <w:rPr>
          <w:rStyle w:val="HideTWBExt"/>
          <w:b w:val="0"/>
          <w:noProof w:val="0"/>
          <w:szCs w:val="24"/>
        </w:rPr>
        <w:t>&lt;RepeatBlock-Amend&gt;</w:t>
      </w:r>
      <w:bookmarkEnd w:id="1"/>
    </w:p>
    <w:p w14:paraId="225ACA74" w14:textId="77777777" w:rsidR="00E276AB" w:rsidRPr="006008DA" w:rsidRDefault="00E276AB" w:rsidP="003109BA">
      <w:pPr>
        <w:pStyle w:val="AMNumberTabs"/>
        <w:keepNext/>
        <w:spacing w:before="0"/>
      </w:pPr>
      <w:bookmarkStart w:id="2" w:name="EndB"/>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w:t>
      </w:r>
      <w:r w:rsidRPr="006008DA">
        <w:rPr>
          <w:rStyle w:val="HideTWBExt"/>
          <w:b w:val="0"/>
          <w:noProof w:val="0"/>
        </w:rPr>
        <w:t>&lt;/NumAm&gt;</w:t>
      </w:r>
    </w:p>
    <w:p w14:paraId="101579CB"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22EE1652" w14:textId="277F9B0C" w:rsidR="00E276AB" w:rsidRPr="006008DA" w:rsidRDefault="00E276AB" w:rsidP="00E276AB">
      <w:pPr>
        <w:pStyle w:val="NormalBold"/>
      </w:pPr>
      <w:r w:rsidRPr="006008DA">
        <w:rPr>
          <w:rStyle w:val="HideTWBExt"/>
          <w:b w:val="0"/>
          <w:noProof w:val="0"/>
        </w:rPr>
        <w:t>&lt;Article&gt;</w:t>
      </w:r>
      <w:r w:rsidRPr="006008DA">
        <w:t>Titel</w:t>
      </w:r>
      <w:r w:rsidR="003109BA">
        <w:t>n</w:t>
      </w:r>
      <w:bookmarkStart w:id="3" w:name="_GoBack"/>
      <w:bookmarkEnd w:id="3"/>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4AEB1791" w14:textId="77777777" w:rsidTr="005A1857">
        <w:trPr>
          <w:jc w:val="center"/>
        </w:trPr>
        <w:tc>
          <w:tcPr>
            <w:tcW w:w="9752" w:type="dxa"/>
            <w:gridSpan w:val="2"/>
          </w:tcPr>
          <w:p w14:paraId="22DB1CC3" w14:textId="77777777" w:rsidR="00E276AB" w:rsidRPr="006008DA" w:rsidRDefault="00E276AB" w:rsidP="005A1857">
            <w:pPr>
              <w:keepNext/>
            </w:pPr>
          </w:p>
        </w:tc>
      </w:tr>
      <w:tr w:rsidR="00E276AB" w:rsidRPr="006008DA" w14:paraId="2D8BDB28" w14:textId="77777777" w:rsidTr="005A1857">
        <w:trPr>
          <w:jc w:val="center"/>
        </w:trPr>
        <w:tc>
          <w:tcPr>
            <w:tcW w:w="4876" w:type="dxa"/>
            <w:hideMark/>
          </w:tcPr>
          <w:p w14:paraId="37F3EE64" w14:textId="77777777" w:rsidR="00E276AB" w:rsidRPr="006008DA" w:rsidRDefault="00E276AB" w:rsidP="005A1857">
            <w:pPr>
              <w:pStyle w:val="ColumnHeading"/>
              <w:keepNext/>
            </w:pPr>
            <w:r w:rsidRPr="006008DA">
              <w:t>Kommissionens förslag</w:t>
            </w:r>
          </w:p>
        </w:tc>
        <w:tc>
          <w:tcPr>
            <w:tcW w:w="4876" w:type="dxa"/>
            <w:hideMark/>
          </w:tcPr>
          <w:p w14:paraId="240D4E91" w14:textId="77777777" w:rsidR="00E276AB" w:rsidRPr="006008DA" w:rsidRDefault="00E276AB" w:rsidP="005A1857">
            <w:pPr>
              <w:pStyle w:val="ColumnHeading"/>
              <w:keepNext/>
            </w:pPr>
            <w:r w:rsidRPr="006008DA">
              <w:t>Ändringsförslag</w:t>
            </w:r>
          </w:p>
        </w:tc>
      </w:tr>
      <w:tr w:rsidR="00E276AB" w:rsidRPr="006008DA" w14:paraId="5FCFB69C" w14:textId="77777777" w:rsidTr="005A1857">
        <w:trPr>
          <w:jc w:val="center"/>
        </w:trPr>
        <w:tc>
          <w:tcPr>
            <w:tcW w:w="4876" w:type="dxa"/>
            <w:hideMark/>
          </w:tcPr>
          <w:p w14:paraId="69635622" w14:textId="77777777" w:rsidR="00E276AB" w:rsidRPr="006008DA" w:rsidRDefault="00E276AB" w:rsidP="005A1857">
            <w:pPr>
              <w:pStyle w:val="Normal6"/>
            </w:pPr>
            <w:r w:rsidRPr="006008DA">
              <w:t>Förslag till</w:t>
            </w:r>
          </w:p>
        </w:tc>
        <w:tc>
          <w:tcPr>
            <w:tcW w:w="4876" w:type="dxa"/>
            <w:hideMark/>
          </w:tcPr>
          <w:p w14:paraId="22EC56EE" w14:textId="77777777" w:rsidR="00E276AB" w:rsidRPr="006008DA" w:rsidRDefault="00E276AB" w:rsidP="005A1857">
            <w:pPr>
              <w:pStyle w:val="Normal6"/>
              <w:rPr>
                <w:szCs w:val="24"/>
              </w:rPr>
            </w:pPr>
            <w:r w:rsidRPr="006008DA">
              <w:t>Förslag till</w:t>
            </w:r>
          </w:p>
        </w:tc>
      </w:tr>
      <w:tr w:rsidR="00E276AB" w:rsidRPr="006008DA" w14:paraId="43FE4F79" w14:textId="77777777" w:rsidTr="005A1857">
        <w:trPr>
          <w:jc w:val="center"/>
        </w:trPr>
        <w:tc>
          <w:tcPr>
            <w:tcW w:w="4876" w:type="dxa"/>
            <w:hideMark/>
          </w:tcPr>
          <w:p w14:paraId="3E9D69D2" w14:textId="77777777" w:rsidR="00E276AB" w:rsidRPr="006008DA" w:rsidRDefault="00E276AB" w:rsidP="005A1857">
            <w:pPr>
              <w:pStyle w:val="Normal6"/>
            </w:pPr>
            <w:r w:rsidRPr="006008DA">
              <w:t>EUROPAPARLAMENTETS OCH RÅDETS FÖRORDNING</w:t>
            </w:r>
          </w:p>
        </w:tc>
        <w:tc>
          <w:tcPr>
            <w:tcW w:w="4876" w:type="dxa"/>
            <w:hideMark/>
          </w:tcPr>
          <w:p w14:paraId="37F16D63" w14:textId="77777777" w:rsidR="00E276AB" w:rsidRPr="006008DA" w:rsidRDefault="00E276AB" w:rsidP="005A1857">
            <w:pPr>
              <w:pStyle w:val="Normal6"/>
              <w:rPr>
                <w:szCs w:val="24"/>
              </w:rPr>
            </w:pPr>
            <w:r w:rsidRPr="006008DA">
              <w:t>EUROPAPARLAMENTETS OCH RÅDETS FÖRORDNING</w:t>
            </w:r>
          </w:p>
        </w:tc>
      </w:tr>
      <w:tr w:rsidR="00E276AB" w:rsidRPr="006008DA" w14:paraId="225779AC" w14:textId="77777777" w:rsidTr="005A1857">
        <w:trPr>
          <w:jc w:val="center"/>
        </w:trPr>
        <w:tc>
          <w:tcPr>
            <w:tcW w:w="4876" w:type="dxa"/>
            <w:hideMark/>
          </w:tcPr>
          <w:p w14:paraId="0E3BAD00" w14:textId="77777777" w:rsidR="00E276AB" w:rsidRPr="006008DA" w:rsidRDefault="00E276AB" w:rsidP="005A1857">
            <w:pPr>
              <w:pStyle w:val="Normal6"/>
            </w:pPr>
            <w:r w:rsidRPr="006008DA">
              <w:t xml:space="preserve">om ändring av förordning (EU) 2016/1011 avseende </w:t>
            </w:r>
            <w:r w:rsidRPr="006008DA">
              <w:rPr>
                <w:b/>
                <w:i/>
              </w:rPr>
              <w:t>referensvärden för koldioxidsnåla investeringar</w:t>
            </w:r>
            <w:r w:rsidRPr="006008DA">
              <w:t xml:space="preserve"> </w:t>
            </w:r>
            <w:r w:rsidRPr="006008DA">
              <w:rPr>
                <w:b/>
                <w:i/>
              </w:rPr>
              <w:t>och för</w:t>
            </w:r>
            <w:r w:rsidRPr="006008DA">
              <w:t xml:space="preserve"> </w:t>
            </w:r>
            <w:r w:rsidRPr="006008DA">
              <w:rPr>
                <w:b/>
                <w:i/>
              </w:rPr>
              <w:t>klimatpositiva investeringar</w:t>
            </w:r>
          </w:p>
        </w:tc>
        <w:tc>
          <w:tcPr>
            <w:tcW w:w="4876" w:type="dxa"/>
            <w:hideMark/>
          </w:tcPr>
          <w:p w14:paraId="22689CE3" w14:textId="77777777" w:rsidR="00E276AB" w:rsidRPr="006008DA" w:rsidRDefault="00E276AB" w:rsidP="005A1857">
            <w:pPr>
              <w:pStyle w:val="Normal6"/>
              <w:rPr>
                <w:szCs w:val="24"/>
              </w:rPr>
            </w:pPr>
            <w:r w:rsidRPr="006008DA">
              <w:t xml:space="preserve">om ändring av förordning (EU) 2016/1011 avseende </w:t>
            </w:r>
            <w:r w:rsidRPr="006008DA">
              <w:rPr>
                <w:b/>
                <w:i/>
              </w:rPr>
              <w:t>integrering av hållbarhetsindikatorer i referensvärdesmetoden</w:t>
            </w:r>
            <w:r w:rsidRPr="006008DA">
              <w:t xml:space="preserve"> </w:t>
            </w:r>
            <w:r w:rsidRPr="006008DA">
              <w:rPr>
                <w:b/>
                <w:i/>
              </w:rPr>
              <w:t>och</w:t>
            </w:r>
            <w:r w:rsidRPr="006008DA">
              <w:t xml:space="preserve"> </w:t>
            </w:r>
            <w:r w:rsidRPr="006008DA">
              <w:rPr>
                <w:b/>
                <w:i/>
              </w:rPr>
              <w:t>referensvärden för</w:t>
            </w:r>
            <w:r w:rsidRPr="006008DA">
              <w:t xml:space="preserve"> </w:t>
            </w:r>
            <w:r w:rsidRPr="006008DA">
              <w:rPr>
                <w:b/>
                <w:i/>
              </w:rPr>
              <w:t>investeringar med positiv effekt</w:t>
            </w:r>
          </w:p>
        </w:tc>
      </w:tr>
      <w:tr w:rsidR="00E276AB" w:rsidRPr="006008DA" w14:paraId="300C521C" w14:textId="77777777" w:rsidTr="005A1857">
        <w:trPr>
          <w:jc w:val="center"/>
        </w:trPr>
        <w:tc>
          <w:tcPr>
            <w:tcW w:w="4876" w:type="dxa"/>
            <w:hideMark/>
          </w:tcPr>
          <w:p w14:paraId="10E380B9" w14:textId="77777777" w:rsidR="00E276AB" w:rsidRPr="006008DA" w:rsidRDefault="00E276AB" w:rsidP="005A1857">
            <w:pPr>
              <w:pStyle w:val="Normal6"/>
            </w:pPr>
            <w:r w:rsidRPr="006008DA">
              <w:t>(Text av betydelse för EES)</w:t>
            </w:r>
          </w:p>
        </w:tc>
        <w:tc>
          <w:tcPr>
            <w:tcW w:w="4876" w:type="dxa"/>
            <w:hideMark/>
          </w:tcPr>
          <w:p w14:paraId="02CDE665" w14:textId="77777777" w:rsidR="00E276AB" w:rsidRPr="006008DA" w:rsidRDefault="00E276AB" w:rsidP="005A1857">
            <w:pPr>
              <w:pStyle w:val="Normal6"/>
              <w:rPr>
                <w:szCs w:val="24"/>
              </w:rPr>
            </w:pPr>
            <w:r w:rsidRPr="006008DA">
              <w:t>(Text av betydelse för EES)</w:t>
            </w:r>
          </w:p>
        </w:tc>
      </w:tr>
    </w:tbl>
    <w:p w14:paraId="63B6D676" w14:textId="77777777" w:rsidR="00E276AB" w:rsidRPr="006008DA" w:rsidRDefault="00E276AB" w:rsidP="00E276AB">
      <w:r w:rsidRPr="006008DA">
        <w:rPr>
          <w:rStyle w:val="HideTWBExt"/>
          <w:noProof w:val="0"/>
        </w:rPr>
        <w:t>&lt;/Amend&gt;</w:t>
      </w:r>
    </w:p>
    <w:p w14:paraId="784E58FC"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w:t>
      </w:r>
      <w:r w:rsidRPr="006008DA">
        <w:rPr>
          <w:rStyle w:val="HideTWBExt"/>
          <w:b w:val="0"/>
          <w:noProof w:val="0"/>
        </w:rPr>
        <w:t>&lt;/NumAm&gt;</w:t>
      </w:r>
    </w:p>
    <w:p w14:paraId="70B8BFDE"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7AA59F75" w14:textId="77777777" w:rsidR="00E276AB" w:rsidRPr="006008DA" w:rsidRDefault="00E276AB" w:rsidP="00E276AB">
      <w:pPr>
        <w:pStyle w:val="NormalBold"/>
      </w:pPr>
      <w:r w:rsidRPr="006008DA">
        <w:rPr>
          <w:rStyle w:val="HideTWBExt"/>
          <w:b w:val="0"/>
          <w:noProof w:val="0"/>
        </w:rPr>
        <w:t>&lt;Article&gt;</w:t>
      </w:r>
      <w:r w:rsidRPr="006008DA">
        <w:t>Skäl 7</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2DABD53B" w14:textId="77777777" w:rsidTr="005A1857">
        <w:trPr>
          <w:jc w:val="center"/>
        </w:trPr>
        <w:tc>
          <w:tcPr>
            <w:tcW w:w="9752" w:type="dxa"/>
            <w:gridSpan w:val="2"/>
          </w:tcPr>
          <w:p w14:paraId="3EE3366D" w14:textId="77777777" w:rsidR="00E276AB" w:rsidRPr="006008DA" w:rsidRDefault="00E276AB" w:rsidP="005A1857">
            <w:pPr>
              <w:keepNext/>
            </w:pPr>
          </w:p>
        </w:tc>
      </w:tr>
      <w:tr w:rsidR="00E276AB" w:rsidRPr="006008DA" w14:paraId="5D5853E0" w14:textId="77777777" w:rsidTr="005A1857">
        <w:trPr>
          <w:jc w:val="center"/>
        </w:trPr>
        <w:tc>
          <w:tcPr>
            <w:tcW w:w="4876" w:type="dxa"/>
            <w:hideMark/>
          </w:tcPr>
          <w:p w14:paraId="342005E9" w14:textId="77777777" w:rsidR="00E276AB" w:rsidRPr="006008DA" w:rsidRDefault="00E276AB" w:rsidP="005A1857">
            <w:pPr>
              <w:pStyle w:val="ColumnHeading"/>
              <w:keepNext/>
            </w:pPr>
            <w:r w:rsidRPr="006008DA">
              <w:t>Kommissionens förslag</w:t>
            </w:r>
          </w:p>
        </w:tc>
        <w:tc>
          <w:tcPr>
            <w:tcW w:w="4876" w:type="dxa"/>
            <w:hideMark/>
          </w:tcPr>
          <w:p w14:paraId="4B8F8E71" w14:textId="77777777" w:rsidR="00E276AB" w:rsidRPr="006008DA" w:rsidRDefault="00E276AB" w:rsidP="005A1857">
            <w:pPr>
              <w:pStyle w:val="ColumnHeading"/>
              <w:keepNext/>
            </w:pPr>
            <w:r w:rsidRPr="006008DA">
              <w:t>Ändringsförslag</w:t>
            </w:r>
          </w:p>
        </w:tc>
      </w:tr>
      <w:tr w:rsidR="00E276AB" w:rsidRPr="006008DA" w14:paraId="3423283F" w14:textId="77777777" w:rsidTr="005A1857">
        <w:trPr>
          <w:jc w:val="center"/>
        </w:trPr>
        <w:tc>
          <w:tcPr>
            <w:tcW w:w="4876" w:type="dxa"/>
            <w:hideMark/>
          </w:tcPr>
          <w:p w14:paraId="20969583" w14:textId="77777777" w:rsidR="00E276AB" w:rsidRPr="006008DA" w:rsidRDefault="00E276AB" w:rsidP="005A1857">
            <w:pPr>
              <w:pStyle w:val="Normal6"/>
            </w:pPr>
            <w:r w:rsidRPr="006008DA">
              <w:t>(7)</w:t>
            </w:r>
            <w:r w:rsidRPr="006008DA">
              <w:tab/>
              <w:t>Europaparlamentets och rådets förordning (EU) 2016/1011</w:t>
            </w:r>
            <w:r w:rsidRPr="006008DA">
              <w:rPr>
                <w:vertAlign w:val="superscript"/>
              </w:rPr>
              <w:t>29</w:t>
            </w:r>
            <w:r w:rsidRPr="006008DA">
              <w:t xml:space="preserve"> fastställer enhetliga regler för referensvärden i unionen och omfattar olika typer av referensvärden. </w:t>
            </w:r>
            <w:r w:rsidRPr="006008DA">
              <w:rPr>
                <w:b/>
                <w:i/>
              </w:rPr>
              <w:t>Koldioxidsnåla</w:t>
            </w:r>
            <w:r w:rsidRPr="006008DA">
              <w:t xml:space="preserve"> investeringsstrategier blir allt vanligare och investerarna använder i allt högre grad referensvärden för</w:t>
            </w:r>
            <w:r w:rsidRPr="006008DA">
              <w:rPr>
                <w:b/>
                <w:i/>
              </w:rPr>
              <w:t xml:space="preserve"> koldioxidsnåla</w:t>
            </w:r>
            <w:r w:rsidRPr="006008DA">
              <w:t xml:space="preserve"> investeringar för att mäta sina investeringsportföljers resultat.</w:t>
            </w:r>
          </w:p>
        </w:tc>
        <w:tc>
          <w:tcPr>
            <w:tcW w:w="4876" w:type="dxa"/>
            <w:hideMark/>
          </w:tcPr>
          <w:p w14:paraId="4BF293F6" w14:textId="77777777" w:rsidR="00E276AB" w:rsidRPr="006008DA" w:rsidRDefault="00E276AB" w:rsidP="005A1857">
            <w:pPr>
              <w:pStyle w:val="Normal6"/>
              <w:rPr>
                <w:szCs w:val="24"/>
              </w:rPr>
            </w:pPr>
            <w:r w:rsidRPr="006008DA">
              <w:t>(7)</w:t>
            </w:r>
            <w:r w:rsidRPr="006008DA">
              <w:tab/>
              <w:t>Europaparlamentets och rådets förordning (EU) 2016/1011</w:t>
            </w:r>
            <w:r w:rsidRPr="006008DA">
              <w:rPr>
                <w:vertAlign w:val="superscript"/>
              </w:rPr>
              <w:t>29</w:t>
            </w:r>
            <w:r w:rsidRPr="006008DA">
              <w:t xml:space="preserve"> fastställer enhetliga regler för referensvärden i unionen och omfattar olika typer av referensvärden. </w:t>
            </w:r>
            <w:r w:rsidRPr="006008DA">
              <w:rPr>
                <w:b/>
                <w:i/>
              </w:rPr>
              <w:t>Hållbara</w:t>
            </w:r>
            <w:r w:rsidRPr="006008DA">
              <w:t xml:space="preserve"> investeringsstrategier blir allt vanligare och investerarna använder i allt högre grad referensvärden för investeringar för att mäta sina investeringsportföljers resultat.</w:t>
            </w:r>
          </w:p>
        </w:tc>
      </w:tr>
      <w:tr w:rsidR="00E276AB" w:rsidRPr="006008DA" w14:paraId="661735CE" w14:textId="77777777" w:rsidTr="005A1857">
        <w:trPr>
          <w:jc w:val="center"/>
        </w:trPr>
        <w:tc>
          <w:tcPr>
            <w:tcW w:w="4876" w:type="dxa"/>
            <w:hideMark/>
          </w:tcPr>
          <w:p w14:paraId="43CBD799" w14:textId="77777777" w:rsidR="00E276AB" w:rsidRPr="006008DA" w:rsidRDefault="00E276AB" w:rsidP="005A1857">
            <w:pPr>
              <w:pStyle w:val="Normal6"/>
            </w:pPr>
            <w:r w:rsidRPr="006008DA">
              <w:t>__________________</w:t>
            </w:r>
          </w:p>
        </w:tc>
        <w:tc>
          <w:tcPr>
            <w:tcW w:w="4876" w:type="dxa"/>
            <w:hideMark/>
          </w:tcPr>
          <w:p w14:paraId="7E1AD2D5" w14:textId="77777777" w:rsidR="00E276AB" w:rsidRPr="006008DA" w:rsidRDefault="00E276AB" w:rsidP="005A1857">
            <w:pPr>
              <w:pStyle w:val="Normal6"/>
              <w:rPr>
                <w:szCs w:val="24"/>
              </w:rPr>
            </w:pPr>
            <w:r w:rsidRPr="006008DA">
              <w:t>__________________</w:t>
            </w:r>
          </w:p>
        </w:tc>
      </w:tr>
      <w:tr w:rsidR="00E276AB" w:rsidRPr="006008DA" w14:paraId="02BE73E7" w14:textId="77777777" w:rsidTr="005A1857">
        <w:trPr>
          <w:jc w:val="center"/>
        </w:trPr>
        <w:tc>
          <w:tcPr>
            <w:tcW w:w="4876" w:type="dxa"/>
            <w:hideMark/>
          </w:tcPr>
          <w:p w14:paraId="23780691" w14:textId="7BA9122F" w:rsidR="00E276AB" w:rsidRPr="006008DA" w:rsidRDefault="00E276AB" w:rsidP="003109BA">
            <w:pPr>
              <w:pStyle w:val="Normal6"/>
            </w:pPr>
            <w:r w:rsidRPr="006008DA">
              <w:rPr>
                <w:vertAlign w:val="superscript"/>
              </w:rPr>
              <w:t>29</w:t>
            </w:r>
            <w:r w:rsidRPr="006008DA">
              <w:t xml:space="preserve"> Europaparlamentets och rådets förordning (EU) 2016/1011 av den 8 juni 2016 om index som används som </w:t>
            </w:r>
            <w:r w:rsidRPr="006008DA">
              <w:lastRenderedPageBreak/>
              <w:t>referensvärden för finansiella instrument och finansiella avtal eller för att mäta investeringsfonders resultat, och om ändring av direktiven 2008/48/EG och 2014/17/EU och förordning (EU) nr</w:t>
            </w:r>
            <w:r w:rsidR="003109BA">
              <w:t> </w:t>
            </w:r>
            <w:r w:rsidRPr="006008DA">
              <w:t>596/2014 (EUT L 171, 29.6.2016, s. 1).</w:t>
            </w:r>
          </w:p>
        </w:tc>
        <w:tc>
          <w:tcPr>
            <w:tcW w:w="4876" w:type="dxa"/>
            <w:hideMark/>
          </w:tcPr>
          <w:p w14:paraId="4EA09D46" w14:textId="4C330548" w:rsidR="00E276AB" w:rsidRPr="006008DA" w:rsidRDefault="00E276AB" w:rsidP="003109BA">
            <w:pPr>
              <w:pStyle w:val="Normal6"/>
              <w:rPr>
                <w:szCs w:val="24"/>
              </w:rPr>
            </w:pPr>
            <w:r w:rsidRPr="006008DA">
              <w:rPr>
                <w:vertAlign w:val="superscript"/>
              </w:rPr>
              <w:lastRenderedPageBreak/>
              <w:t>29</w:t>
            </w:r>
            <w:r w:rsidRPr="006008DA">
              <w:t xml:space="preserve"> Europaparlamentets och rådets förordning (EU) 2016/1011 av den 8 juni 2016 om index som används som </w:t>
            </w:r>
            <w:r w:rsidRPr="006008DA">
              <w:lastRenderedPageBreak/>
              <w:t>referensvärden för finansiella instrument och finansiella avtal eller för att mäta investeringsfonders resultat, och om ändring av direktiven 2008/48/EG och 2014/17/EU och förordning (EU) nr</w:t>
            </w:r>
            <w:r w:rsidR="003109BA">
              <w:t> </w:t>
            </w:r>
            <w:r w:rsidRPr="006008DA">
              <w:t>596/2014 (EUT L 171, 29.6.2016, s. 1).</w:t>
            </w:r>
          </w:p>
        </w:tc>
      </w:tr>
    </w:tbl>
    <w:p w14:paraId="5F7126DA" w14:textId="77777777" w:rsidR="00E276AB" w:rsidRPr="006008DA" w:rsidRDefault="00E276AB" w:rsidP="00E276AB">
      <w:r w:rsidRPr="006008DA">
        <w:rPr>
          <w:rStyle w:val="HideTWBExt"/>
          <w:noProof w:val="0"/>
        </w:rPr>
        <w:lastRenderedPageBreak/>
        <w:t>&lt;/Amend&gt;</w:t>
      </w:r>
    </w:p>
    <w:p w14:paraId="12EC7369"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w:t>
      </w:r>
      <w:r w:rsidRPr="006008DA">
        <w:rPr>
          <w:rStyle w:val="HideTWBExt"/>
          <w:b w:val="0"/>
          <w:noProof w:val="0"/>
        </w:rPr>
        <w:t>&lt;/NumAm&gt;</w:t>
      </w:r>
    </w:p>
    <w:p w14:paraId="14143114"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65AB8D00" w14:textId="77777777" w:rsidR="00E276AB" w:rsidRPr="006008DA" w:rsidRDefault="00E276AB" w:rsidP="00E276AB">
      <w:pPr>
        <w:pStyle w:val="NormalBold"/>
      </w:pPr>
      <w:r w:rsidRPr="006008DA">
        <w:rPr>
          <w:rStyle w:val="HideTWBExt"/>
          <w:b w:val="0"/>
          <w:noProof w:val="0"/>
        </w:rPr>
        <w:t>&lt;Article&gt;</w:t>
      </w:r>
      <w:r w:rsidRPr="006008DA">
        <w:t>Skäl 8</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0A3C55B4" w14:textId="77777777" w:rsidTr="005A1857">
        <w:trPr>
          <w:jc w:val="center"/>
        </w:trPr>
        <w:tc>
          <w:tcPr>
            <w:tcW w:w="9752" w:type="dxa"/>
            <w:gridSpan w:val="2"/>
          </w:tcPr>
          <w:p w14:paraId="014D36CF" w14:textId="77777777" w:rsidR="00E276AB" w:rsidRPr="006008DA" w:rsidRDefault="00E276AB" w:rsidP="005A1857">
            <w:pPr>
              <w:keepNext/>
            </w:pPr>
          </w:p>
        </w:tc>
      </w:tr>
      <w:tr w:rsidR="00E276AB" w:rsidRPr="006008DA" w14:paraId="10823E75" w14:textId="77777777" w:rsidTr="005A1857">
        <w:trPr>
          <w:jc w:val="center"/>
        </w:trPr>
        <w:tc>
          <w:tcPr>
            <w:tcW w:w="4876" w:type="dxa"/>
            <w:hideMark/>
          </w:tcPr>
          <w:p w14:paraId="47B09E34" w14:textId="77777777" w:rsidR="00E276AB" w:rsidRPr="006008DA" w:rsidRDefault="00E276AB" w:rsidP="005A1857">
            <w:pPr>
              <w:pStyle w:val="ColumnHeading"/>
              <w:keepNext/>
            </w:pPr>
            <w:r w:rsidRPr="006008DA">
              <w:t>Kommissionens förslag</w:t>
            </w:r>
          </w:p>
        </w:tc>
        <w:tc>
          <w:tcPr>
            <w:tcW w:w="4876" w:type="dxa"/>
            <w:hideMark/>
          </w:tcPr>
          <w:p w14:paraId="5DB1FEA1" w14:textId="77777777" w:rsidR="00E276AB" w:rsidRPr="006008DA" w:rsidRDefault="00E276AB" w:rsidP="005A1857">
            <w:pPr>
              <w:pStyle w:val="ColumnHeading"/>
              <w:keepNext/>
            </w:pPr>
            <w:r w:rsidRPr="006008DA">
              <w:t>Ändringsförslag</w:t>
            </w:r>
          </w:p>
        </w:tc>
      </w:tr>
      <w:tr w:rsidR="00E276AB" w:rsidRPr="006008DA" w14:paraId="0DC2482D" w14:textId="77777777" w:rsidTr="005A1857">
        <w:trPr>
          <w:jc w:val="center"/>
        </w:trPr>
        <w:tc>
          <w:tcPr>
            <w:tcW w:w="4876" w:type="dxa"/>
            <w:hideMark/>
          </w:tcPr>
          <w:p w14:paraId="6FA2CB6B" w14:textId="77777777" w:rsidR="00E276AB" w:rsidRPr="006008DA" w:rsidRDefault="00E276AB" w:rsidP="005A1857">
            <w:pPr>
              <w:pStyle w:val="Normal6"/>
            </w:pPr>
            <w:r w:rsidRPr="006008DA">
              <w:t>(8)</w:t>
            </w:r>
            <w:r w:rsidRPr="006008DA">
              <w:tab/>
              <w:t xml:space="preserve">Det finns för närvarande en rad olika index som fungerar som index för koldioxidsnåla investeringar. De används som referensvärden för investeringsportföljer och -produkter som säljs över gränserna. Kvaliteten och integriteten hos referensvärdena </w:t>
            </w:r>
            <w:r w:rsidRPr="006008DA">
              <w:rPr>
                <w:b/>
                <w:i/>
              </w:rPr>
              <w:t xml:space="preserve">för koldioxidsnåla investeringar </w:t>
            </w:r>
            <w:r w:rsidRPr="006008DA">
              <w:t>påverkar den inre marknadens effektiva funktion för en rad olika individuella och kollektiva investeringsportföljer. Många index för koldioxidsnåla investeringar som används för att mäta investeringsportföljers resultat, särskilt för separerade placeringskonton och företag för kollektiva investeringar, tillhandahålls i en viss medlemsstat men används av portfölj- och kapitalförvaltare i andra medlemsstater. Portfölj- och kapitalförvaltare säkrar dessutom ofta sina klimatexponeringsrisker med hjälp av referensvärden som konstrueras i andra medlemsstater.</w:t>
            </w:r>
          </w:p>
        </w:tc>
        <w:tc>
          <w:tcPr>
            <w:tcW w:w="4876" w:type="dxa"/>
            <w:hideMark/>
          </w:tcPr>
          <w:p w14:paraId="5362BB8F" w14:textId="77777777" w:rsidR="00E276AB" w:rsidRPr="006008DA" w:rsidRDefault="00E276AB" w:rsidP="005A1857">
            <w:pPr>
              <w:pStyle w:val="Normal6"/>
              <w:rPr>
                <w:szCs w:val="24"/>
              </w:rPr>
            </w:pPr>
            <w:r w:rsidRPr="006008DA">
              <w:t>(8)</w:t>
            </w:r>
            <w:r w:rsidRPr="006008DA">
              <w:tab/>
              <w:t>Det finns för närvarande en rad olika index som fungerar som index för koldioxidsnåla investeringar</w:t>
            </w:r>
            <w:r w:rsidRPr="006008DA">
              <w:rPr>
                <w:b/>
                <w:i/>
              </w:rPr>
              <w:t xml:space="preserve"> eller hållbarhet</w:t>
            </w:r>
            <w:r w:rsidRPr="006008DA">
              <w:t>. De används som referensvärden för investeringsportföljer och -produkter som säljs över gränserna. Kvaliteten och integriteten hos referensvärdena påverkar den inre marknadens effektiva funktion för en rad olika individuella och kollektiva investeringsportföljer. Många index för koldioxidsnåla investeringar</w:t>
            </w:r>
            <w:r w:rsidRPr="006008DA">
              <w:rPr>
                <w:b/>
                <w:i/>
              </w:rPr>
              <w:t xml:space="preserve"> och hållbarhet</w:t>
            </w:r>
            <w:r w:rsidRPr="006008DA">
              <w:t xml:space="preserve"> som används för att mäta investeringsportföljers resultat, särskilt för separerade placeringskonton och företag för kollektiva investeringar, tillhandahålls i en viss medlemsstat men används av portfölj- och kapitalförvaltare i andra medlemsstater. Portfölj- och kapitalförvaltare säkrar dessutom ofta sina klimatexponeringsrisker</w:t>
            </w:r>
            <w:r w:rsidRPr="006008DA">
              <w:rPr>
                <w:b/>
                <w:i/>
              </w:rPr>
              <w:t xml:space="preserve"> och miljörisker</w:t>
            </w:r>
            <w:r w:rsidRPr="006008DA">
              <w:t xml:space="preserve"> med hjälp av referensvärden som konstrueras i andra medlemsstater.</w:t>
            </w:r>
          </w:p>
        </w:tc>
      </w:tr>
    </w:tbl>
    <w:p w14:paraId="7157970C" w14:textId="77777777" w:rsidR="00E276AB" w:rsidRPr="006008DA" w:rsidRDefault="00E276AB" w:rsidP="00E276AB">
      <w:r w:rsidRPr="006008DA">
        <w:rPr>
          <w:rStyle w:val="HideTWBExt"/>
          <w:noProof w:val="0"/>
        </w:rPr>
        <w:t>&lt;/Amend&gt;</w:t>
      </w:r>
    </w:p>
    <w:p w14:paraId="484AAA1C"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4</w:t>
      </w:r>
      <w:r w:rsidRPr="006008DA">
        <w:rPr>
          <w:rStyle w:val="HideTWBExt"/>
          <w:b w:val="0"/>
          <w:noProof w:val="0"/>
        </w:rPr>
        <w:t>&lt;/NumAm&gt;</w:t>
      </w:r>
    </w:p>
    <w:p w14:paraId="736CCCA9"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2FF45D17" w14:textId="77777777" w:rsidR="00E276AB" w:rsidRPr="006008DA" w:rsidRDefault="00E276AB" w:rsidP="00E276AB">
      <w:pPr>
        <w:pStyle w:val="NormalBold"/>
      </w:pPr>
      <w:r w:rsidRPr="006008DA">
        <w:rPr>
          <w:rStyle w:val="HideTWBExt"/>
          <w:b w:val="0"/>
          <w:noProof w:val="0"/>
        </w:rPr>
        <w:t>&lt;Article&gt;</w:t>
      </w:r>
      <w:r w:rsidRPr="006008DA">
        <w:t>Skäl 9</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4D5AF602" w14:textId="77777777" w:rsidTr="005A1857">
        <w:trPr>
          <w:jc w:val="center"/>
        </w:trPr>
        <w:tc>
          <w:tcPr>
            <w:tcW w:w="9752" w:type="dxa"/>
            <w:gridSpan w:val="2"/>
          </w:tcPr>
          <w:p w14:paraId="4CA41232" w14:textId="77777777" w:rsidR="00E276AB" w:rsidRPr="006008DA" w:rsidRDefault="00E276AB" w:rsidP="005A1857">
            <w:pPr>
              <w:keepNext/>
            </w:pPr>
          </w:p>
        </w:tc>
      </w:tr>
      <w:tr w:rsidR="00E276AB" w:rsidRPr="006008DA" w14:paraId="1CEF13C3" w14:textId="77777777" w:rsidTr="005A1857">
        <w:trPr>
          <w:jc w:val="center"/>
        </w:trPr>
        <w:tc>
          <w:tcPr>
            <w:tcW w:w="4876" w:type="dxa"/>
            <w:hideMark/>
          </w:tcPr>
          <w:p w14:paraId="359C8F82" w14:textId="77777777" w:rsidR="00E276AB" w:rsidRPr="006008DA" w:rsidRDefault="00E276AB" w:rsidP="005A1857">
            <w:pPr>
              <w:pStyle w:val="ColumnHeading"/>
              <w:keepNext/>
            </w:pPr>
            <w:r w:rsidRPr="006008DA">
              <w:t>Kommissionens förslag</w:t>
            </w:r>
          </w:p>
        </w:tc>
        <w:tc>
          <w:tcPr>
            <w:tcW w:w="4876" w:type="dxa"/>
            <w:hideMark/>
          </w:tcPr>
          <w:p w14:paraId="523A2D77" w14:textId="77777777" w:rsidR="00E276AB" w:rsidRPr="006008DA" w:rsidRDefault="00E276AB" w:rsidP="005A1857">
            <w:pPr>
              <w:pStyle w:val="ColumnHeading"/>
              <w:keepNext/>
            </w:pPr>
            <w:r w:rsidRPr="006008DA">
              <w:t>Ändringsförslag</w:t>
            </w:r>
          </w:p>
        </w:tc>
      </w:tr>
      <w:tr w:rsidR="00E276AB" w:rsidRPr="006008DA" w14:paraId="267D5396" w14:textId="77777777" w:rsidTr="005A1857">
        <w:trPr>
          <w:jc w:val="center"/>
        </w:trPr>
        <w:tc>
          <w:tcPr>
            <w:tcW w:w="4876" w:type="dxa"/>
            <w:hideMark/>
          </w:tcPr>
          <w:p w14:paraId="1AD5D80A" w14:textId="77777777" w:rsidR="00E276AB" w:rsidRPr="006008DA" w:rsidRDefault="00E276AB" w:rsidP="005A1857">
            <w:pPr>
              <w:pStyle w:val="Normal6"/>
            </w:pPr>
            <w:r w:rsidRPr="006008DA">
              <w:t>(9)</w:t>
            </w:r>
            <w:r w:rsidRPr="006008DA">
              <w:tab/>
              <w:t xml:space="preserve">Olika kategorier av index för </w:t>
            </w:r>
            <w:r w:rsidRPr="006008DA">
              <w:rPr>
                <w:b/>
                <w:i/>
              </w:rPr>
              <w:t>koldioxidsnåla investeringar</w:t>
            </w:r>
            <w:r w:rsidRPr="006008DA">
              <w:t>, med olika hög ambitionsgrad, har dykt upp på marknaden.</w:t>
            </w:r>
            <w:r w:rsidRPr="006008DA">
              <w:rPr>
                <w:b/>
                <w:i/>
              </w:rPr>
              <w:t xml:space="preserve"> Vissa referensvärden går ut på att minska koldioxidavtrycket från en standardinvesteringsportfölj, medan andra går ut på att enbart ta med tillgångar som bidrar till att uppnå klimatmålet på två grader enligt Parisavtalet.</w:t>
            </w:r>
            <w:r w:rsidRPr="006008DA">
              <w:t xml:space="preserve"> Trots att dessa referensvärden bygger på olika mål och strategier marknadsförs de gemensamt som </w:t>
            </w:r>
            <w:r w:rsidRPr="006008DA">
              <w:rPr>
                <w:b/>
                <w:i/>
              </w:rPr>
              <w:t xml:space="preserve">gröna </w:t>
            </w:r>
            <w:r w:rsidRPr="006008DA">
              <w:t>referensvärden.</w:t>
            </w:r>
          </w:p>
        </w:tc>
        <w:tc>
          <w:tcPr>
            <w:tcW w:w="4876" w:type="dxa"/>
            <w:hideMark/>
          </w:tcPr>
          <w:p w14:paraId="18CDB3F4" w14:textId="77777777" w:rsidR="00E276AB" w:rsidRPr="006008DA" w:rsidRDefault="00E276AB" w:rsidP="005A1857">
            <w:pPr>
              <w:pStyle w:val="Normal6"/>
              <w:rPr>
                <w:szCs w:val="24"/>
              </w:rPr>
            </w:pPr>
            <w:r w:rsidRPr="006008DA">
              <w:t>(9)</w:t>
            </w:r>
            <w:r w:rsidRPr="006008DA">
              <w:tab/>
              <w:t xml:space="preserve">Olika kategorier av index för </w:t>
            </w:r>
            <w:r w:rsidRPr="006008DA">
              <w:rPr>
                <w:b/>
                <w:i/>
              </w:rPr>
              <w:t>hållbarhet</w:t>
            </w:r>
            <w:r w:rsidRPr="006008DA">
              <w:t>, med olika hög ambitionsgrad, har dykt upp på marknaden. Trots att dessa referensvärden bygger på olika mål och strategier marknadsförs de gemensamt som referensvärden</w:t>
            </w:r>
            <w:r w:rsidRPr="006008DA">
              <w:rPr>
                <w:b/>
                <w:i/>
              </w:rPr>
              <w:t xml:space="preserve"> för hållbarhet</w:t>
            </w:r>
            <w:r w:rsidRPr="006008DA">
              <w:t>.</w:t>
            </w:r>
          </w:p>
        </w:tc>
      </w:tr>
    </w:tbl>
    <w:p w14:paraId="30FC60F5" w14:textId="77777777" w:rsidR="00E276AB" w:rsidRPr="006008DA" w:rsidRDefault="00E276AB" w:rsidP="00E276AB">
      <w:r w:rsidRPr="006008DA">
        <w:rPr>
          <w:rStyle w:val="HideTWBExt"/>
          <w:noProof w:val="0"/>
        </w:rPr>
        <w:t>&lt;/Amend&gt;</w:t>
      </w:r>
    </w:p>
    <w:p w14:paraId="5D206B12"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5</w:t>
      </w:r>
      <w:r w:rsidRPr="006008DA">
        <w:rPr>
          <w:rStyle w:val="HideTWBExt"/>
          <w:b w:val="0"/>
          <w:noProof w:val="0"/>
        </w:rPr>
        <w:t>&lt;/NumAm&gt;</w:t>
      </w:r>
    </w:p>
    <w:p w14:paraId="3FB88A19"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2596C4E3" w14:textId="77777777" w:rsidR="00E276AB" w:rsidRPr="006008DA" w:rsidRDefault="00E276AB" w:rsidP="00E276AB">
      <w:pPr>
        <w:pStyle w:val="NormalBold"/>
      </w:pPr>
      <w:r w:rsidRPr="006008DA">
        <w:rPr>
          <w:rStyle w:val="HideTWBExt"/>
          <w:b w:val="0"/>
          <w:noProof w:val="0"/>
        </w:rPr>
        <w:t>&lt;Article&gt;</w:t>
      </w:r>
      <w:r w:rsidRPr="006008DA">
        <w:t>Skäl 10a (nytt)</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7DD68FA0" w14:textId="77777777" w:rsidTr="005A1857">
        <w:trPr>
          <w:jc w:val="center"/>
        </w:trPr>
        <w:tc>
          <w:tcPr>
            <w:tcW w:w="9752" w:type="dxa"/>
            <w:gridSpan w:val="2"/>
          </w:tcPr>
          <w:p w14:paraId="240C1035" w14:textId="77777777" w:rsidR="00E276AB" w:rsidRPr="006008DA" w:rsidRDefault="00E276AB" w:rsidP="005A1857">
            <w:pPr>
              <w:keepNext/>
            </w:pPr>
          </w:p>
        </w:tc>
      </w:tr>
      <w:tr w:rsidR="00E276AB" w:rsidRPr="006008DA" w14:paraId="70B7F3EA" w14:textId="77777777" w:rsidTr="005A1857">
        <w:trPr>
          <w:jc w:val="center"/>
        </w:trPr>
        <w:tc>
          <w:tcPr>
            <w:tcW w:w="4876" w:type="dxa"/>
            <w:hideMark/>
          </w:tcPr>
          <w:p w14:paraId="2B50ED2E" w14:textId="77777777" w:rsidR="00E276AB" w:rsidRPr="006008DA" w:rsidRDefault="00E276AB" w:rsidP="005A1857">
            <w:pPr>
              <w:pStyle w:val="ColumnHeading"/>
              <w:keepNext/>
            </w:pPr>
            <w:r w:rsidRPr="006008DA">
              <w:t>Kommissionens förslag</w:t>
            </w:r>
          </w:p>
        </w:tc>
        <w:tc>
          <w:tcPr>
            <w:tcW w:w="4876" w:type="dxa"/>
            <w:hideMark/>
          </w:tcPr>
          <w:p w14:paraId="5AA7C185" w14:textId="77777777" w:rsidR="00E276AB" w:rsidRPr="006008DA" w:rsidRDefault="00E276AB" w:rsidP="005A1857">
            <w:pPr>
              <w:pStyle w:val="ColumnHeading"/>
              <w:keepNext/>
            </w:pPr>
            <w:r w:rsidRPr="006008DA">
              <w:t>Ändringsförslag</w:t>
            </w:r>
          </w:p>
        </w:tc>
      </w:tr>
      <w:tr w:rsidR="00E276AB" w:rsidRPr="006008DA" w14:paraId="7E808D32" w14:textId="77777777" w:rsidTr="005A1857">
        <w:trPr>
          <w:jc w:val="center"/>
        </w:trPr>
        <w:tc>
          <w:tcPr>
            <w:tcW w:w="4876" w:type="dxa"/>
          </w:tcPr>
          <w:p w14:paraId="5C1547B9" w14:textId="77777777" w:rsidR="00E276AB" w:rsidRPr="006008DA" w:rsidRDefault="00E276AB" w:rsidP="005A1857">
            <w:pPr>
              <w:pStyle w:val="Normal6"/>
            </w:pPr>
          </w:p>
        </w:tc>
        <w:tc>
          <w:tcPr>
            <w:tcW w:w="4876" w:type="dxa"/>
            <w:hideMark/>
          </w:tcPr>
          <w:p w14:paraId="376D7DD1" w14:textId="77777777" w:rsidR="00E276AB" w:rsidRPr="006008DA" w:rsidRDefault="00E276AB" w:rsidP="005A1857">
            <w:pPr>
              <w:pStyle w:val="Normal6"/>
              <w:rPr>
                <w:szCs w:val="24"/>
              </w:rPr>
            </w:pPr>
            <w:r w:rsidRPr="006008DA">
              <w:rPr>
                <w:b/>
                <w:i/>
              </w:rPr>
              <w:t>(10a)</w:t>
            </w:r>
            <w:r w:rsidRPr="006008DA">
              <w:rPr>
                <w:b/>
                <w:i/>
              </w:rPr>
              <w:tab/>
              <w:t>Som kommissionens högnivågrupp för hållbar finansiering kommit fram till behöver referensvärdena anpassas mer till hållbarhet och återspegla exponeringen för hållbarhetsrisker. Investerare behöver jämförbar och heltäckande information om miljörisker och miljöpåverkan för att kunna bedöma sina portföljer utifrån andra faktorer än koldioxidexponering. En snäv inriktning på koldioxidexponering kan få negativa effekter genom att investeringsflöden styrs om till mål med andra miljörisker. Referensvärdesadministratörerna bör därför beakta och redogöra för i vilken utsträckning hållbarshetsaspekter (i fråga om miljö, samhällsansvar och bolagsstyrning) återspeglas i referensvärdesmetoden.</w:t>
            </w:r>
          </w:p>
        </w:tc>
      </w:tr>
    </w:tbl>
    <w:p w14:paraId="24B5A1F0" w14:textId="77777777" w:rsidR="00E276AB" w:rsidRPr="006008DA" w:rsidRDefault="00E276AB" w:rsidP="00E276AB">
      <w:r w:rsidRPr="006008DA">
        <w:rPr>
          <w:rStyle w:val="HideTWBExt"/>
          <w:noProof w:val="0"/>
        </w:rPr>
        <w:t>&lt;/Amend&gt;</w:t>
      </w:r>
    </w:p>
    <w:p w14:paraId="671247E1"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6</w:t>
      </w:r>
      <w:r w:rsidRPr="006008DA">
        <w:rPr>
          <w:rStyle w:val="HideTWBExt"/>
          <w:b w:val="0"/>
          <w:noProof w:val="0"/>
        </w:rPr>
        <w:t>&lt;/NumAm&gt;</w:t>
      </w:r>
    </w:p>
    <w:p w14:paraId="435C7ED2"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4E7A1056" w14:textId="77777777" w:rsidR="00E276AB" w:rsidRPr="006008DA" w:rsidRDefault="00E276AB" w:rsidP="00E276AB">
      <w:pPr>
        <w:pStyle w:val="NormalBold"/>
      </w:pPr>
      <w:r w:rsidRPr="006008DA">
        <w:rPr>
          <w:rStyle w:val="HideTWBExt"/>
          <w:b w:val="0"/>
          <w:noProof w:val="0"/>
        </w:rPr>
        <w:t>&lt;Article&gt;</w:t>
      </w:r>
      <w:r w:rsidRPr="006008DA">
        <w:t>Skäl 10b (nytt)</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7085D727" w14:textId="77777777" w:rsidTr="005A1857">
        <w:trPr>
          <w:jc w:val="center"/>
        </w:trPr>
        <w:tc>
          <w:tcPr>
            <w:tcW w:w="9752" w:type="dxa"/>
            <w:gridSpan w:val="2"/>
          </w:tcPr>
          <w:p w14:paraId="3BD1891C" w14:textId="77777777" w:rsidR="00E276AB" w:rsidRPr="006008DA" w:rsidRDefault="00E276AB" w:rsidP="005A1857">
            <w:pPr>
              <w:keepNext/>
            </w:pPr>
          </w:p>
        </w:tc>
      </w:tr>
      <w:tr w:rsidR="00E276AB" w:rsidRPr="006008DA" w14:paraId="0BFF594A" w14:textId="77777777" w:rsidTr="005A1857">
        <w:trPr>
          <w:jc w:val="center"/>
        </w:trPr>
        <w:tc>
          <w:tcPr>
            <w:tcW w:w="4876" w:type="dxa"/>
            <w:hideMark/>
          </w:tcPr>
          <w:p w14:paraId="599BE728" w14:textId="77777777" w:rsidR="00E276AB" w:rsidRPr="006008DA" w:rsidRDefault="00E276AB" w:rsidP="005A1857">
            <w:pPr>
              <w:pStyle w:val="ColumnHeading"/>
              <w:keepNext/>
            </w:pPr>
            <w:r w:rsidRPr="006008DA">
              <w:t>Kommissionens förslag</w:t>
            </w:r>
          </w:p>
        </w:tc>
        <w:tc>
          <w:tcPr>
            <w:tcW w:w="4876" w:type="dxa"/>
            <w:hideMark/>
          </w:tcPr>
          <w:p w14:paraId="4CFFCA43" w14:textId="77777777" w:rsidR="00E276AB" w:rsidRPr="006008DA" w:rsidRDefault="00E276AB" w:rsidP="005A1857">
            <w:pPr>
              <w:pStyle w:val="ColumnHeading"/>
              <w:keepNext/>
            </w:pPr>
            <w:r w:rsidRPr="006008DA">
              <w:t>Ändringsförslag</w:t>
            </w:r>
          </w:p>
        </w:tc>
      </w:tr>
      <w:tr w:rsidR="00E276AB" w:rsidRPr="006008DA" w14:paraId="49EB6E34" w14:textId="77777777" w:rsidTr="005A1857">
        <w:trPr>
          <w:jc w:val="center"/>
        </w:trPr>
        <w:tc>
          <w:tcPr>
            <w:tcW w:w="4876" w:type="dxa"/>
          </w:tcPr>
          <w:p w14:paraId="5E112367" w14:textId="77777777" w:rsidR="00E276AB" w:rsidRPr="006008DA" w:rsidRDefault="00E276AB" w:rsidP="005A1857">
            <w:pPr>
              <w:pStyle w:val="Normal6"/>
            </w:pPr>
          </w:p>
        </w:tc>
        <w:tc>
          <w:tcPr>
            <w:tcW w:w="4876" w:type="dxa"/>
            <w:hideMark/>
          </w:tcPr>
          <w:p w14:paraId="5288171C" w14:textId="2DF48365" w:rsidR="00E276AB" w:rsidRPr="006008DA" w:rsidRDefault="00E276AB" w:rsidP="005A1857">
            <w:pPr>
              <w:pStyle w:val="Normal6"/>
              <w:rPr>
                <w:szCs w:val="24"/>
              </w:rPr>
            </w:pPr>
            <w:r w:rsidRPr="006008DA">
              <w:rPr>
                <w:b/>
                <w:i/>
              </w:rPr>
              <w:t>(10b)</w:t>
            </w:r>
            <w:r w:rsidRPr="006008DA">
              <w:rPr>
                <w:b/>
                <w:i/>
              </w:rPr>
              <w:tab/>
              <w:t>Alla referensvärdesadministratörer bör därför in sina referensvärdesmetoder inkludera centrala resurseffektivitetsindikatorer, som utöver koldioxidutsläpp också omfattar övriga utsläpp, inverkan på den biologiska mångfalden, produktionen av avfall samt användningen av energi, förnybar energi, råvaror, vatten och mark, i enlighet med kommissionens övervakningsram för den cirkulära ekonomin, EU:s handlingsplan för den cirkulära ekonomin och Europaparlamentets</w:t>
            </w:r>
            <w:r w:rsidR="003109BA">
              <w:rPr>
                <w:b/>
                <w:i/>
              </w:rPr>
              <w:t xml:space="preserve"> resolution av den 9 juli 2015 </w:t>
            </w:r>
            <w:r w:rsidRPr="006008DA">
              <w:rPr>
                <w:b/>
                <w:i/>
              </w:rPr>
              <w:t>”Resurseffektivitet: på väg mot ett kretsloppssamhälle”.</w:t>
            </w:r>
          </w:p>
        </w:tc>
      </w:tr>
    </w:tbl>
    <w:p w14:paraId="67EFA358" w14:textId="77777777" w:rsidR="00E276AB" w:rsidRPr="006008DA" w:rsidRDefault="00E276AB" w:rsidP="00E276AB">
      <w:r w:rsidRPr="006008DA">
        <w:rPr>
          <w:rStyle w:val="HideTWBExt"/>
          <w:noProof w:val="0"/>
        </w:rPr>
        <w:t>&lt;/Amend&gt;</w:t>
      </w:r>
    </w:p>
    <w:p w14:paraId="6F5A5ABB"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7</w:t>
      </w:r>
      <w:r w:rsidRPr="006008DA">
        <w:rPr>
          <w:rStyle w:val="HideTWBExt"/>
          <w:b w:val="0"/>
          <w:noProof w:val="0"/>
        </w:rPr>
        <w:t>&lt;/NumAm&gt;</w:t>
      </w:r>
    </w:p>
    <w:p w14:paraId="7857AA1F"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56266092" w14:textId="77777777" w:rsidR="00E276AB" w:rsidRPr="006008DA" w:rsidRDefault="00E276AB" w:rsidP="00E276AB">
      <w:pPr>
        <w:pStyle w:val="NormalBold"/>
      </w:pPr>
      <w:r w:rsidRPr="006008DA">
        <w:rPr>
          <w:rStyle w:val="HideTWBExt"/>
          <w:b w:val="0"/>
          <w:noProof w:val="0"/>
        </w:rPr>
        <w:t>&lt;Article&gt;</w:t>
      </w:r>
      <w:r w:rsidRPr="006008DA">
        <w:t>Skäl 10c (nytt)</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37DC763D" w14:textId="77777777" w:rsidTr="005A1857">
        <w:trPr>
          <w:jc w:val="center"/>
        </w:trPr>
        <w:tc>
          <w:tcPr>
            <w:tcW w:w="9752" w:type="dxa"/>
            <w:gridSpan w:val="2"/>
          </w:tcPr>
          <w:p w14:paraId="19539DE1" w14:textId="77777777" w:rsidR="00E276AB" w:rsidRPr="006008DA" w:rsidRDefault="00E276AB" w:rsidP="005A1857">
            <w:pPr>
              <w:keepNext/>
            </w:pPr>
          </w:p>
        </w:tc>
      </w:tr>
      <w:tr w:rsidR="00E276AB" w:rsidRPr="006008DA" w14:paraId="5EA7EE26" w14:textId="77777777" w:rsidTr="005A1857">
        <w:trPr>
          <w:jc w:val="center"/>
        </w:trPr>
        <w:tc>
          <w:tcPr>
            <w:tcW w:w="4876" w:type="dxa"/>
            <w:hideMark/>
          </w:tcPr>
          <w:p w14:paraId="1FB0D02A" w14:textId="77777777" w:rsidR="00E276AB" w:rsidRPr="006008DA" w:rsidRDefault="00E276AB" w:rsidP="005A1857">
            <w:pPr>
              <w:pStyle w:val="ColumnHeading"/>
              <w:keepNext/>
            </w:pPr>
            <w:r w:rsidRPr="006008DA">
              <w:t>Kommissionens förslag</w:t>
            </w:r>
          </w:p>
        </w:tc>
        <w:tc>
          <w:tcPr>
            <w:tcW w:w="4876" w:type="dxa"/>
            <w:hideMark/>
          </w:tcPr>
          <w:p w14:paraId="5D2E921B" w14:textId="77777777" w:rsidR="00E276AB" w:rsidRPr="006008DA" w:rsidRDefault="00E276AB" w:rsidP="005A1857">
            <w:pPr>
              <w:pStyle w:val="ColumnHeading"/>
              <w:keepNext/>
            </w:pPr>
            <w:r w:rsidRPr="006008DA">
              <w:t>Ändringsförslag</w:t>
            </w:r>
          </w:p>
        </w:tc>
      </w:tr>
      <w:tr w:rsidR="00E276AB" w:rsidRPr="006008DA" w14:paraId="6E8A55DC" w14:textId="77777777" w:rsidTr="005A1857">
        <w:trPr>
          <w:jc w:val="center"/>
        </w:trPr>
        <w:tc>
          <w:tcPr>
            <w:tcW w:w="4876" w:type="dxa"/>
          </w:tcPr>
          <w:p w14:paraId="6B680790" w14:textId="77777777" w:rsidR="00E276AB" w:rsidRPr="006008DA" w:rsidRDefault="00E276AB" w:rsidP="005A1857">
            <w:pPr>
              <w:pStyle w:val="Normal6"/>
            </w:pPr>
          </w:p>
        </w:tc>
        <w:tc>
          <w:tcPr>
            <w:tcW w:w="4876" w:type="dxa"/>
            <w:hideMark/>
          </w:tcPr>
          <w:p w14:paraId="10F6FE66" w14:textId="3E3FB0D3" w:rsidR="00E276AB" w:rsidRPr="006008DA" w:rsidRDefault="00E276AB" w:rsidP="003109BA">
            <w:pPr>
              <w:pStyle w:val="Normal6"/>
              <w:rPr>
                <w:szCs w:val="24"/>
              </w:rPr>
            </w:pPr>
            <w:r w:rsidRPr="006008DA">
              <w:rPr>
                <w:b/>
                <w:i/>
              </w:rPr>
              <w:t>(10c)</w:t>
            </w:r>
            <w:r w:rsidRPr="006008DA">
              <w:rPr>
                <w:b/>
                <w:i/>
              </w:rPr>
              <w:tab/>
              <w:t>Såsom kommissionens högnivågrupp för hållbar finansiering har föreslagit bör den europeiska värdepappers- och marknadsmyndigheten (Esma) inkludera hänvisningar till ESG</w:t>
            </w:r>
            <w:r w:rsidR="003109BA">
              <w:rPr>
                <w:b/>
                <w:i/>
              </w:rPr>
              <w:noBreakHyphen/>
            </w:r>
            <w:r w:rsidRPr="006008DA">
              <w:rPr>
                <w:b/>
                <w:i/>
              </w:rPr>
              <w:t>mål (miljö, samhällsansvar och bolagsstyrning) och hållbarhetsaspekter i sina riktlinjer om referensvärdesdeklarationen. Esma bör, tillsammans med European Financial Reporting Advisory Group (Efrag), utarbeta riktlinjer för referensvärdesadministratörer för att indikatorer för cirkulär ekonomi ska införlivas i referensvärdesmetoderna.</w:t>
            </w:r>
          </w:p>
        </w:tc>
      </w:tr>
    </w:tbl>
    <w:p w14:paraId="4C0CCBB6" w14:textId="77777777" w:rsidR="00E276AB" w:rsidRPr="006008DA" w:rsidRDefault="00E276AB" w:rsidP="00E276AB">
      <w:r w:rsidRPr="006008DA">
        <w:rPr>
          <w:rStyle w:val="HideTWBExt"/>
          <w:noProof w:val="0"/>
        </w:rPr>
        <w:t>&lt;/Amend&gt;</w:t>
      </w:r>
    </w:p>
    <w:p w14:paraId="21EFE973"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8</w:t>
      </w:r>
      <w:r w:rsidRPr="006008DA">
        <w:rPr>
          <w:rStyle w:val="HideTWBExt"/>
          <w:b w:val="0"/>
          <w:noProof w:val="0"/>
        </w:rPr>
        <w:t>&lt;/NumAm&gt;</w:t>
      </w:r>
    </w:p>
    <w:p w14:paraId="0BDB9C93"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031264EF" w14:textId="77777777" w:rsidR="00E276AB" w:rsidRPr="006008DA" w:rsidRDefault="00E276AB" w:rsidP="00E276AB">
      <w:pPr>
        <w:pStyle w:val="NormalBold"/>
      </w:pPr>
      <w:r w:rsidRPr="006008DA">
        <w:rPr>
          <w:rStyle w:val="HideTWBExt"/>
          <w:b w:val="0"/>
          <w:noProof w:val="0"/>
        </w:rPr>
        <w:t>&lt;Article&gt;</w:t>
      </w:r>
      <w:r w:rsidRPr="006008DA">
        <w:t>Skäl 11</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48F3AF61" w14:textId="77777777" w:rsidTr="005A1857">
        <w:trPr>
          <w:jc w:val="center"/>
        </w:trPr>
        <w:tc>
          <w:tcPr>
            <w:tcW w:w="9752" w:type="dxa"/>
            <w:gridSpan w:val="2"/>
          </w:tcPr>
          <w:p w14:paraId="73B6DAC5" w14:textId="77777777" w:rsidR="00E276AB" w:rsidRPr="006008DA" w:rsidRDefault="00E276AB" w:rsidP="005A1857">
            <w:pPr>
              <w:keepNext/>
            </w:pPr>
          </w:p>
        </w:tc>
      </w:tr>
      <w:tr w:rsidR="00E276AB" w:rsidRPr="006008DA" w14:paraId="2AEEA02C" w14:textId="77777777" w:rsidTr="005A1857">
        <w:trPr>
          <w:jc w:val="center"/>
        </w:trPr>
        <w:tc>
          <w:tcPr>
            <w:tcW w:w="4876" w:type="dxa"/>
            <w:hideMark/>
          </w:tcPr>
          <w:p w14:paraId="479BF7BA" w14:textId="77777777" w:rsidR="00E276AB" w:rsidRPr="006008DA" w:rsidRDefault="00E276AB" w:rsidP="005A1857">
            <w:pPr>
              <w:pStyle w:val="ColumnHeading"/>
              <w:keepNext/>
            </w:pPr>
            <w:r w:rsidRPr="006008DA">
              <w:t>Kommissionens förslag</w:t>
            </w:r>
          </w:p>
        </w:tc>
        <w:tc>
          <w:tcPr>
            <w:tcW w:w="4876" w:type="dxa"/>
            <w:hideMark/>
          </w:tcPr>
          <w:p w14:paraId="457B6C18" w14:textId="77777777" w:rsidR="00E276AB" w:rsidRPr="006008DA" w:rsidRDefault="00E276AB" w:rsidP="005A1857">
            <w:pPr>
              <w:pStyle w:val="ColumnHeading"/>
              <w:keepNext/>
            </w:pPr>
            <w:r w:rsidRPr="006008DA">
              <w:t>Ändringsförslag</w:t>
            </w:r>
          </w:p>
        </w:tc>
      </w:tr>
      <w:tr w:rsidR="00E276AB" w:rsidRPr="006008DA" w14:paraId="3FD73576" w14:textId="77777777" w:rsidTr="005A1857">
        <w:trPr>
          <w:jc w:val="center"/>
        </w:trPr>
        <w:tc>
          <w:tcPr>
            <w:tcW w:w="4876" w:type="dxa"/>
            <w:hideMark/>
          </w:tcPr>
          <w:p w14:paraId="1F838E74" w14:textId="77777777" w:rsidR="00E276AB" w:rsidRPr="006008DA" w:rsidRDefault="00E276AB" w:rsidP="005A1857">
            <w:pPr>
              <w:pStyle w:val="Normal6"/>
            </w:pPr>
            <w:r w:rsidRPr="006008DA">
              <w:t>(11)</w:t>
            </w:r>
            <w:r w:rsidRPr="006008DA">
              <w:tab/>
              <w:t xml:space="preserve">Utan en harmoniserad ram för att säkerställa tillförlitlighet och integritet hos </w:t>
            </w:r>
            <w:r w:rsidRPr="006008DA">
              <w:rPr>
                <w:b/>
                <w:i/>
              </w:rPr>
              <w:t>de viktigaste typerna av referensvärden för koldioxidsnåla investeringar</w:t>
            </w:r>
            <w:r w:rsidRPr="006008DA">
              <w:t xml:space="preserve"> som används för enskilda eller kollektiva investeringsportföljer, är det sannolikt att olika behandling i olika medlemsstater kommer att skapa hinder för en smidigt fungerande inre marknad.</w:t>
            </w:r>
          </w:p>
        </w:tc>
        <w:tc>
          <w:tcPr>
            <w:tcW w:w="4876" w:type="dxa"/>
            <w:hideMark/>
          </w:tcPr>
          <w:p w14:paraId="14FCC326" w14:textId="77777777" w:rsidR="00E276AB" w:rsidRPr="006008DA" w:rsidRDefault="00E276AB" w:rsidP="005A1857">
            <w:pPr>
              <w:pStyle w:val="Normal6"/>
              <w:rPr>
                <w:szCs w:val="24"/>
              </w:rPr>
            </w:pPr>
            <w:r w:rsidRPr="006008DA">
              <w:t>(11)</w:t>
            </w:r>
            <w:r w:rsidRPr="006008DA">
              <w:tab/>
              <w:t xml:space="preserve">Utan en harmoniserad ram för att säkerställa tillförlitlighet och integritet hos </w:t>
            </w:r>
            <w:r w:rsidRPr="006008DA">
              <w:rPr>
                <w:b/>
                <w:i/>
              </w:rPr>
              <w:t>referensvärdena</w:t>
            </w:r>
            <w:r w:rsidRPr="006008DA">
              <w:t xml:space="preserve"> som används för enskilda eller kollektiva investeringsportföljer, är det sannolikt att olika behandling i olika medlemsstater kommer att skapa hinder för en smidigt fungerande inre marknad.</w:t>
            </w:r>
          </w:p>
        </w:tc>
      </w:tr>
    </w:tbl>
    <w:p w14:paraId="3E2AD399" w14:textId="77777777" w:rsidR="00E276AB" w:rsidRPr="006008DA" w:rsidRDefault="00E276AB" w:rsidP="00E276AB">
      <w:r w:rsidRPr="006008DA">
        <w:rPr>
          <w:rStyle w:val="HideTWBExt"/>
          <w:noProof w:val="0"/>
        </w:rPr>
        <w:t>&lt;/Amend&gt;</w:t>
      </w:r>
    </w:p>
    <w:p w14:paraId="0C04655C"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9</w:t>
      </w:r>
      <w:r w:rsidRPr="006008DA">
        <w:rPr>
          <w:rStyle w:val="HideTWBExt"/>
          <w:b w:val="0"/>
          <w:noProof w:val="0"/>
        </w:rPr>
        <w:t>&lt;/NumAm&gt;</w:t>
      </w:r>
    </w:p>
    <w:p w14:paraId="1FB1268F"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6A20EEE6" w14:textId="77777777" w:rsidR="00E276AB" w:rsidRPr="006008DA" w:rsidRDefault="00E276AB" w:rsidP="00E276AB">
      <w:pPr>
        <w:pStyle w:val="NormalBold"/>
      </w:pPr>
      <w:r w:rsidRPr="006008DA">
        <w:rPr>
          <w:rStyle w:val="HideTWBExt"/>
          <w:b w:val="0"/>
          <w:noProof w:val="0"/>
        </w:rPr>
        <w:t>&lt;Article&gt;</w:t>
      </w:r>
      <w:r w:rsidRPr="006008DA">
        <w:t>Skäl 12</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39DA1D39" w14:textId="77777777" w:rsidTr="005A1857">
        <w:trPr>
          <w:jc w:val="center"/>
        </w:trPr>
        <w:tc>
          <w:tcPr>
            <w:tcW w:w="9752" w:type="dxa"/>
            <w:gridSpan w:val="2"/>
          </w:tcPr>
          <w:p w14:paraId="0C79DB2E" w14:textId="77777777" w:rsidR="00E276AB" w:rsidRPr="006008DA" w:rsidRDefault="00E276AB" w:rsidP="005A1857">
            <w:pPr>
              <w:keepNext/>
            </w:pPr>
          </w:p>
        </w:tc>
      </w:tr>
      <w:tr w:rsidR="00E276AB" w:rsidRPr="006008DA" w14:paraId="3BF7D492" w14:textId="77777777" w:rsidTr="005A1857">
        <w:trPr>
          <w:jc w:val="center"/>
        </w:trPr>
        <w:tc>
          <w:tcPr>
            <w:tcW w:w="4876" w:type="dxa"/>
            <w:hideMark/>
          </w:tcPr>
          <w:p w14:paraId="7F9FDF4E" w14:textId="77777777" w:rsidR="00E276AB" w:rsidRPr="006008DA" w:rsidRDefault="00E276AB" w:rsidP="005A1857">
            <w:pPr>
              <w:pStyle w:val="ColumnHeading"/>
              <w:keepNext/>
            </w:pPr>
            <w:r w:rsidRPr="006008DA">
              <w:t>Kommissionens förslag</w:t>
            </w:r>
          </w:p>
        </w:tc>
        <w:tc>
          <w:tcPr>
            <w:tcW w:w="4876" w:type="dxa"/>
            <w:hideMark/>
          </w:tcPr>
          <w:p w14:paraId="3346BE1B" w14:textId="77777777" w:rsidR="00E276AB" w:rsidRPr="006008DA" w:rsidRDefault="00E276AB" w:rsidP="005A1857">
            <w:pPr>
              <w:pStyle w:val="ColumnHeading"/>
              <w:keepNext/>
            </w:pPr>
            <w:r w:rsidRPr="006008DA">
              <w:t>Ändringsförslag</w:t>
            </w:r>
          </w:p>
        </w:tc>
      </w:tr>
      <w:tr w:rsidR="00E276AB" w:rsidRPr="006008DA" w14:paraId="3C200764" w14:textId="77777777" w:rsidTr="005A1857">
        <w:trPr>
          <w:jc w:val="center"/>
        </w:trPr>
        <w:tc>
          <w:tcPr>
            <w:tcW w:w="4876" w:type="dxa"/>
            <w:hideMark/>
          </w:tcPr>
          <w:p w14:paraId="2DA2B8CF" w14:textId="77777777" w:rsidR="00E276AB" w:rsidRPr="006008DA" w:rsidRDefault="00E276AB" w:rsidP="005A1857">
            <w:pPr>
              <w:pStyle w:val="Normal6"/>
            </w:pPr>
            <w:r w:rsidRPr="006008DA">
              <w:t>(12)</w:t>
            </w:r>
            <w:r w:rsidRPr="006008DA">
              <w:tab/>
              <w:t xml:space="preserve">För att den inre marknaden ska fortsätta att fungera korrekt, för att ytterligare förbättra förutsättningarna för dess funktion, och för att säkerställa en hög nivå av konsument- och investerarskydd är det därför lämpligt att anpassa förordning (EU) 2016/1011 för att fastställa en rättslig ram för </w:t>
            </w:r>
            <w:r w:rsidRPr="006008DA">
              <w:rPr>
                <w:b/>
                <w:i/>
              </w:rPr>
              <w:t>harmoniserade referensvärden</w:t>
            </w:r>
            <w:r w:rsidRPr="006008DA">
              <w:t xml:space="preserve"> för </w:t>
            </w:r>
            <w:r w:rsidRPr="006008DA">
              <w:rPr>
                <w:b/>
                <w:i/>
              </w:rPr>
              <w:t>koldioxidsnåla investeringar</w:t>
            </w:r>
            <w:r w:rsidRPr="006008DA">
              <w:t xml:space="preserve"> på unionsnivå.</w:t>
            </w:r>
          </w:p>
        </w:tc>
        <w:tc>
          <w:tcPr>
            <w:tcW w:w="4876" w:type="dxa"/>
            <w:hideMark/>
          </w:tcPr>
          <w:p w14:paraId="5698B9E2" w14:textId="77777777" w:rsidR="00E276AB" w:rsidRPr="006008DA" w:rsidRDefault="00E276AB" w:rsidP="005A1857">
            <w:pPr>
              <w:pStyle w:val="Normal6"/>
              <w:rPr>
                <w:szCs w:val="24"/>
              </w:rPr>
            </w:pPr>
            <w:r w:rsidRPr="006008DA">
              <w:t>(12)</w:t>
            </w:r>
            <w:r w:rsidRPr="006008DA">
              <w:tab/>
              <w:t xml:space="preserve">För att den inre marknaden ska fortsätta att fungera korrekt, för att ytterligare förbättra förutsättningarna för dess funktion, och för att säkerställa en hög nivå av konsument- och investerarskydd är det därför lämpligt att anpassa förordning (EU) 2016/1011 för att fastställa en rättslig ram för </w:t>
            </w:r>
            <w:r w:rsidRPr="006008DA">
              <w:rPr>
                <w:b/>
                <w:i/>
              </w:rPr>
              <w:t>integrering av indikatorer</w:t>
            </w:r>
            <w:r w:rsidRPr="006008DA">
              <w:t xml:space="preserve"> för </w:t>
            </w:r>
            <w:r w:rsidRPr="006008DA">
              <w:rPr>
                <w:b/>
                <w:i/>
              </w:rPr>
              <w:t>cirkulär ekonomi i referensvärdesmetoder</w:t>
            </w:r>
            <w:r w:rsidRPr="006008DA">
              <w:t xml:space="preserve"> på unionsnivå.</w:t>
            </w:r>
          </w:p>
        </w:tc>
      </w:tr>
    </w:tbl>
    <w:p w14:paraId="33C85D92" w14:textId="77777777" w:rsidR="00E276AB" w:rsidRPr="006008DA" w:rsidRDefault="00E276AB" w:rsidP="00E276AB">
      <w:r w:rsidRPr="006008DA">
        <w:rPr>
          <w:rStyle w:val="HideTWBExt"/>
          <w:noProof w:val="0"/>
        </w:rPr>
        <w:t>&lt;/Amend&gt;</w:t>
      </w:r>
    </w:p>
    <w:p w14:paraId="28BA8681"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10</w:t>
      </w:r>
      <w:r w:rsidRPr="006008DA">
        <w:rPr>
          <w:rStyle w:val="HideTWBExt"/>
          <w:b w:val="0"/>
          <w:noProof w:val="0"/>
        </w:rPr>
        <w:t>&lt;/NumAm&gt;</w:t>
      </w:r>
    </w:p>
    <w:p w14:paraId="16C6BBE3"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6122AFB5" w14:textId="77777777" w:rsidR="00E276AB" w:rsidRPr="006008DA" w:rsidRDefault="00E276AB" w:rsidP="00E276AB">
      <w:pPr>
        <w:pStyle w:val="NormalBold"/>
      </w:pPr>
      <w:r w:rsidRPr="006008DA">
        <w:rPr>
          <w:rStyle w:val="HideTWBExt"/>
          <w:b w:val="0"/>
          <w:noProof w:val="0"/>
        </w:rPr>
        <w:t>&lt;Article&gt;</w:t>
      </w:r>
      <w:r w:rsidRPr="006008DA">
        <w:t>Skäl 13</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5846F24E" w14:textId="77777777" w:rsidTr="005A1857">
        <w:trPr>
          <w:jc w:val="center"/>
        </w:trPr>
        <w:tc>
          <w:tcPr>
            <w:tcW w:w="9752" w:type="dxa"/>
            <w:gridSpan w:val="2"/>
          </w:tcPr>
          <w:p w14:paraId="0ABB8E18" w14:textId="77777777" w:rsidR="00E276AB" w:rsidRPr="006008DA" w:rsidRDefault="00E276AB" w:rsidP="005A1857">
            <w:pPr>
              <w:keepNext/>
            </w:pPr>
          </w:p>
        </w:tc>
      </w:tr>
      <w:tr w:rsidR="00E276AB" w:rsidRPr="006008DA" w14:paraId="7C94122B" w14:textId="77777777" w:rsidTr="005A1857">
        <w:trPr>
          <w:jc w:val="center"/>
        </w:trPr>
        <w:tc>
          <w:tcPr>
            <w:tcW w:w="4876" w:type="dxa"/>
            <w:hideMark/>
          </w:tcPr>
          <w:p w14:paraId="34CA6E08" w14:textId="77777777" w:rsidR="00E276AB" w:rsidRPr="006008DA" w:rsidRDefault="00E276AB" w:rsidP="005A1857">
            <w:pPr>
              <w:pStyle w:val="ColumnHeading"/>
              <w:keepNext/>
            </w:pPr>
            <w:r w:rsidRPr="006008DA">
              <w:t>Kommissionens förslag</w:t>
            </w:r>
          </w:p>
        </w:tc>
        <w:tc>
          <w:tcPr>
            <w:tcW w:w="4876" w:type="dxa"/>
            <w:hideMark/>
          </w:tcPr>
          <w:p w14:paraId="54EBFEA0" w14:textId="77777777" w:rsidR="00E276AB" w:rsidRPr="006008DA" w:rsidRDefault="00E276AB" w:rsidP="005A1857">
            <w:pPr>
              <w:pStyle w:val="ColumnHeading"/>
              <w:keepNext/>
            </w:pPr>
            <w:r w:rsidRPr="006008DA">
              <w:t>Ändringsförslag</w:t>
            </w:r>
          </w:p>
        </w:tc>
      </w:tr>
      <w:tr w:rsidR="00E276AB" w:rsidRPr="006008DA" w14:paraId="1CF4E015" w14:textId="77777777" w:rsidTr="005A1857">
        <w:trPr>
          <w:jc w:val="center"/>
        </w:trPr>
        <w:tc>
          <w:tcPr>
            <w:tcW w:w="4876" w:type="dxa"/>
            <w:hideMark/>
          </w:tcPr>
          <w:p w14:paraId="5789F7DA" w14:textId="77777777" w:rsidR="00E276AB" w:rsidRPr="006008DA" w:rsidRDefault="00E276AB" w:rsidP="005A1857">
            <w:pPr>
              <w:pStyle w:val="Normal6"/>
            </w:pPr>
            <w:r w:rsidRPr="006008DA">
              <w:t>(13)</w:t>
            </w:r>
            <w:r w:rsidRPr="006008DA">
              <w:tab/>
            </w:r>
            <w:r w:rsidRPr="006008DA">
              <w:rPr>
                <w:b/>
                <w:i/>
              </w:rPr>
              <w:t>Det är också</w:t>
            </w:r>
            <w:r w:rsidRPr="006008DA">
              <w:t xml:space="preserve"> nödvändigt att </w:t>
            </w:r>
            <w:r w:rsidRPr="006008DA">
              <w:rPr>
                <w:b/>
                <w:i/>
              </w:rPr>
              <w:t>införa en klar åtskillnad mellan referensvärden för koldioxidsnåla investeringar och</w:t>
            </w:r>
            <w:r w:rsidRPr="006008DA">
              <w:t xml:space="preserve"> referensvärden för </w:t>
            </w:r>
            <w:r w:rsidRPr="006008DA">
              <w:rPr>
                <w:b/>
                <w:i/>
              </w:rPr>
              <w:t>klimatpositiva</w:t>
            </w:r>
            <w:r w:rsidRPr="006008DA">
              <w:t xml:space="preserve"> investeringar.</w:t>
            </w:r>
            <w:r w:rsidRPr="006008DA">
              <w:rPr>
                <w:b/>
                <w:i/>
              </w:rPr>
              <w:t xml:space="preserve"> </w:t>
            </w:r>
            <w:r w:rsidRPr="006008DA">
              <w:t xml:space="preserve">I ett referensvärde för </w:t>
            </w:r>
            <w:r w:rsidRPr="006008DA">
              <w:rPr>
                <w:b/>
                <w:i/>
              </w:rPr>
              <w:t>koldioxidsnåla</w:t>
            </w:r>
            <w:r w:rsidRPr="006008DA">
              <w:t xml:space="preserve"> investeringar bör de underliggande tillgångarna </w:t>
            </w:r>
            <w:r w:rsidRPr="006008DA">
              <w:rPr>
                <w:b/>
                <w:i/>
              </w:rPr>
              <w:t xml:space="preserve">väljas med syftet att minska koldioxidutsläppen i indexportföljen jämfört med motsvarande standardindex, medan ett klimatpositivt index </w:t>
            </w:r>
            <w:r w:rsidRPr="006008DA">
              <w:t>endast</w:t>
            </w:r>
            <w:r w:rsidRPr="006008DA">
              <w:rPr>
                <w:b/>
                <w:i/>
              </w:rPr>
              <w:t xml:space="preserve"> bör </w:t>
            </w:r>
            <w:r w:rsidRPr="006008DA">
              <w:t>innehålla komponenter vars</w:t>
            </w:r>
            <w:r w:rsidRPr="006008DA">
              <w:rPr>
                <w:b/>
                <w:i/>
              </w:rPr>
              <w:t xml:space="preserve"> utsläppsbesparingar överskrider deras koldioxidutsläpp</w:t>
            </w:r>
            <w:r w:rsidRPr="006008DA">
              <w:t>.</w:t>
            </w:r>
          </w:p>
        </w:tc>
        <w:tc>
          <w:tcPr>
            <w:tcW w:w="4876" w:type="dxa"/>
            <w:hideMark/>
          </w:tcPr>
          <w:p w14:paraId="62F64654" w14:textId="77777777" w:rsidR="00E276AB" w:rsidRPr="006008DA" w:rsidRDefault="00E276AB" w:rsidP="005A1857">
            <w:pPr>
              <w:pStyle w:val="Normal6"/>
              <w:rPr>
                <w:szCs w:val="24"/>
              </w:rPr>
            </w:pPr>
            <w:r w:rsidRPr="006008DA">
              <w:t>(13)</w:t>
            </w:r>
            <w:r w:rsidRPr="006008DA">
              <w:tab/>
            </w:r>
            <w:r w:rsidRPr="006008DA">
              <w:rPr>
                <w:b/>
                <w:i/>
              </w:rPr>
              <w:t>Samtidigt som det är</w:t>
            </w:r>
            <w:r w:rsidRPr="006008DA">
              <w:t xml:space="preserve"> nödvändigt att </w:t>
            </w:r>
            <w:r w:rsidRPr="006008DA">
              <w:rPr>
                <w:b/>
                <w:i/>
              </w:rPr>
              <w:t>indikatorer för cirkulär ekonomi ingår i alla referensvärdesmetoder bör en kategori av</w:t>
            </w:r>
            <w:r w:rsidRPr="006008DA">
              <w:t xml:space="preserve"> referensvärden för investeringar</w:t>
            </w:r>
            <w:r w:rsidRPr="006008DA">
              <w:rPr>
                <w:b/>
                <w:i/>
              </w:rPr>
              <w:t xml:space="preserve"> med positiv effekt införas</w:t>
            </w:r>
            <w:r w:rsidRPr="006008DA">
              <w:t>. I ett referensvärde för investeringar</w:t>
            </w:r>
            <w:r w:rsidRPr="006008DA">
              <w:rPr>
                <w:b/>
                <w:i/>
              </w:rPr>
              <w:t xml:space="preserve"> med positiv effekt</w:t>
            </w:r>
            <w:r w:rsidRPr="006008DA">
              <w:t xml:space="preserve"> bör de underliggande tillgångarna endast innehålla komponenter vars</w:t>
            </w:r>
            <w:r w:rsidRPr="006008DA">
              <w:rPr>
                <w:b/>
                <w:i/>
              </w:rPr>
              <w:t xml:space="preserve"> nettoeffekt baserad på harmoniserade indikatorer för cirkulär ekonomi är positiv</w:t>
            </w:r>
            <w:r w:rsidRPr="006008DA">
              <w:t>.</w:t>
            </w:r>
          </w:p>
        </w:tc>
      </w:tr>
    </w:tbl>
    <w:p w14:paraId="794537C1" w14:textId="77777777" w:rsidR="00E276AB" w:rsidRPr="006008DA" w:rsidRDefault="00E276AB" w:rsidP="00E276AB">
      <w:r w:rsidRPr="006008DA">
        <w:rPr>
          <w:rStyle w:val="HideTWBExt"/>
          <w:noProof w:val="0"/>
        </w:rPr>
        <w:t>&lt;/Amend&gt;</w:t>
      </w:r>
    </w:p>
    <w:p w14:paraId="6F78D4CE"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11</w:t>
      </w:r>
      <w:r w:rsidRPr="006008DA">
        <w:rPr>
          <w:rStyle w:val="HideTWBExt"/>
          <w:b w:val="0"/>
          <w:noProof w:val="0"/>
        </w:rPr>
        <w:t>&lt;/NumAm&gt;</w:t>
      </w:r>
    </w:p>
    <w:p w14:paraId="0988E00B"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6307CD8D" w14:textId="77777777" w:rsidR="00E276AB" w:rsidRPr="006008DA" w:rsidRDefault="00E276AB" w:rsidP="00E276AB">
      <w:pPr>
        <w:pStyle w:val="NormalBold"/>
      </w:pPr>
      <w:r w:rsidRPr="006008DA">
        <w:rPr>
          <w:rStyle w:val="HideTWBExt"/>
          <w:b w:val="0"/>
          <w:noProof w:val="0"/>
        </w:rPr>
        <w:t>&lt;Article&gt;</w:t>
      </w:r>
      <w:r w:rsidRPr="006008DA">
        <w:t>Skäl 14</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7AD15C92" w14:textId="77777777" w:rsidTr="005A1857">
        <w:trPr>
          <w:jc w:val="center"/>
        </w:trPr>
        <w:tc>
          <w:tcPr>
            <w:tcW w:w="9752" w:type="dxa"/>
            <w:gridSpan w:val="2"/>
          </w:tcPr>
          <w:p w14:paraId="3D6585F8" w14:textId="77777777" w:rsidR="00E276AB" w:rsidRPr="006008DA" w:rsidRDefault="00E276AB" w:rsidP="005A1857">
            <w:pPr>
              <w:keepNext/>
            </w:pPr>
          </w:p>
        </w:tc>
      </w:tr>
      <w:tr w:rsidR="00E276AB" w:rsidRPr="006008DA" w14:paraId="4C0390F3" w14:textId="77777777" w:rsidTr="005A1857">
        <w:trPr>
          <w:jc w:val="center"/>
        </w:trPr>
        <w:tc>
          <w:tcPr>
            <w:tcW w:w="4876" w:type="dxa"/>
            <w:hideMark/>
          </w:tcPr>
          <w:p w14:paraId="4CD9594E" w14:textId="77777777" w:rsidR="00E276AB" w:rsidRPr="006008DA" w:rsidRDefault="00E276AB" w:rsidP="005A1857">
            <w:pPr>
              <w:pStyle w:val="ColumnHeading"/>
              <w:keepNext/>
            </w:pPr>
            <w:r w:rsidRPr="006008DA">
              <w:t>Kommissionens förslag</w:t>
            </w:r>
          </w:p>
        </w:tc>
        <w:tc>
          <w:tcPr>
            <w:tcW w:w="4876" w:type="dxa"/>
            <w:hideMark/>
          </w:tcPr>
          <w:p w14:paraId="4943E060" w14:textId="77777777" w:rsidR="00E276AB" w:rsidRPr="006008DA" w:rsidRDefault="00E276AB" w:rsidP="005A1857">
            <w:pPr>
              <w:pStyle w:val="ColumnHeading"/>
              <w:keepNext/>
            </w:pPr>
            <w:r w:rsidRPr="006008DA">
              <w:t>Ändringsförslag</w:t>
            </w:r>
          </w:p>
        </w:tc>
      </w:tr>
      <w:tr w:rsidR="00E276AB" w:rsidRPr="006008DA" w14:paraId="5DB61357" w14:textId="77777777" w:rsidTr="005A1857">
        <w:trPr>
          <w:jc w:val="center"/>
        </w:trPr>
        <w:tc>
          <w:tcPr>
            <w:tcW w:w="4876" w:type="dxa"/>
            <w:hideMark/>
          </w:tcPr>
          <w:p w14:paraId="3FDC9E75" w14:textId="77777777" w:rsidR="00E276AB" w:rsidRPr="006008DA" w:rsidRDefault="00E276AB" w:rsidP="005A1857">
            <w:pPr>
              <w:pStyle w:val="Normal6"/>
            </w:pPr>
            <w:r w:rsidRPr="006008DA">
              <w:t>(14)</w:t>
            </w:r>
            <w:r w:rsidRPr="006008DA">
              <w:tab/>
              <w:t xml:space="preserve">Alla företag vars tillgångar väljs ut för att ingå i ett referensvärde för </w:t>
            </w:r>
            <w:r w:rsidRPr="006008DA">
              <w:rPr>
                <w:b/>
                <w:i/>
              </w:rPr>
              <w:t>klimatpositiva</w:t>
            </w:r>
            <w:r w:rsidRPr="006008DA">
              <w:t xml:space="preserve"> investeringar bör </w:t>
            </w:r>
            <w:r w:rsidRPr="006008DA">
              <w:rPr>
                <w:b/>
                <w:i/>
              </w:rPr>
              <w:t xml:space="preserve">begränsa koldioxidutsläpp i större utsträckning än vad de ger upphov till, och därmed </w:t>
            </w:r>
            <w:r w:rsidRPr="006008DA">
              <w:t xml:space="preserve">ha en positiv </w:t>
            </w:r>
            <w:r w:rsidRPr="006008DA">
              <w:rPr>
                <w:b/>
                <w:i/>
              </w:rPr>
              <w:t>inverkan</w:t>
            </w:r>
            <w:r w:rsidRPr="006008DA">
              <w:t xml:space="preserve"> på miljön. Kapital- och portföljförvaltare som gör gällande att deras investeringsstrategi </w:t>
            </w:r>
            <w:r w:rsidRPr="006008DA">
              <w:rPr>
                <w:b/>
                <w:i/>
              </w:rPr>
              <w:t>ligger i linje med Parisavtalet om klimatförändringar</w:t>
            </w:r>
            <w:r w:rsidRPr="006008DA">
              <w:t xml:space="preserve"> bör därför använda referensvärden för </w:t>
            </w:r>
            <w:r w:rsidRPr="006008DA">
              <w:rPr>
                <w:b/>
                <w:i/>
              </w:rPr>
              <w:t>klimatpositiva</w:t>
            </w:r>
            <w:r w:rsidRPr="006008DA">
              <w:t xml:space="preserve"> investeringar.</w:t>
            </w:r>
          </w:p>
        </w:tc>
        <w:tc>
          <w:tcPr>
            <w:tcW w:w="4876" w:type="dxa"/>
            <w:hideMark/>
          </w:tcPr>
          <w:p w14:paraId="0DB7C2BA" w14:textId="77777777" w:rsidR="00E276AB" w:rsidRPr="006008DA" w:rsidRDefault="00E276AB" w:rsidP="005A1857">
            <w:pPr>
              <w:pStyle w:val="Normal6"/>
              <w:rPr>
                <w:szCs w:val="24"/>
              </w:rPr>
            </w:pPr>
            <w:r w:rsidRPr="006008DA">
              <w:t>(14)</w:t>
            </w:r>
            <w:r w:rsidRPr="006008DA">
              <w:tab/>
              <w:t>Alla företag vars tillgångar väljs ut för att ingå i ett referensvärde för investeringar</w:t>
            </w:r>
            <w:r w:rsidRPr="006008DA">
              <w:rPr>
                <w:b/>
                <w:i/>
              </w:rPr>
              <w:t xml:space="preserve"> med positiv effekt</w:t>
            </w:r>
            <w:r w:rsidRPr="006008DA">
              <w:t xml:space="preserve"> bör ha en positiv </w:t>
            </w:r>
            <w:r w:rsidRPr="006008DA">
              <w:rPr>
                <w:b/>
                <w:i/>
              </w:rPr>
              <w:t>nettoeffekt</w:t>
            </w:r>
            <w:r w:rsidRPr="006008DA">
              <w:t xml:space="preserve"> på miljön. Kapital- och portföljförvaltare som gör gällande att deras investeringsstrategi </w:t>
            </w:r>
            <w:r w:rsidRPr="006008DA">
              <w:rPr>
                <w:b/>
                <w:i/>
              </w:rPr>
              <w:t>är hållbar</w:t>
            </w:r>
            <w:r w:rsidRPr="006008DA">
              <w:t xml:space="preserve"> bör därför använda referensvärden för investeringar</w:t>
            </w:r>
            <w:r w:rsidRPr="006008DA">
              <w:rPr>
                <w:b/>
                <w:i/>
              </w:rPr>
              <w:t xml:space="preserve"> med positiv effekt</w:t>
            </w:r>
            <w:r w:rsidRPr="006008DA">
              <w:t>.</w:t>
            </w:r>
          </w:p>
        </w:tc>
      </w:tr>
    </w:tbl>
    <w:p w14:paraId="2D10CC2B" w14:textId="77777777" w:rsidR="00E276AB" w:rsidRPr="006008DA" w:rsidRDefault="00E276AB" w:rsidP="00E276AB">
      <w:r w:rsidRPr="006008DA">
        <w:rPr>
          <w:rStyle w:val="HideTWBExt"/>
          <w:noProof w:val="0"/>
        </w:rPr>
        <w:t>&lt;/Amend&gt;</w:t>
      </w:r>
    </w:p>
    <w:p w14:paraId="7875661C"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12</w:t>
      </w:r>
      <w:r w:rsidRPr="006008DA">
        <w:rPr>
          <w:rStyle w:val="HideTWBExt"/>
          <w:b w:val="0"/>
          <w:noProof w:val="0"/>
        </w:rPr>
        <w:t>&lt;/NumAm&gt;</w:t>
      </w:r>
    </w:p>
    <w:p w14:paraId="4ADB2DDE"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557B747D" w14:textId="77777777" w:rsidR="00E276AB" w:rsidRPr="006008DA" w:rsidRDefault="00E276AB" w:rsidP="00E276AB">
      <w:pPr>
        <w:pStyle w:val="NormalBold"/>
      </w:pPr>
      <w:r w:rsidRPr="006008DA">
        <w:rPr>
          <w:rStyle w:val="HideTWBExt"/>
          <w:b w:val="0"/>
          <w:noProof w:val="0"/>
        </w:rPr>
        <w:t>&lt;Article&gt;</w:t>
      </w:r>
      <w:r w:rsidRPr="006008DA">
        <w:t>Skäl 15</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773F1B64" w14:textId="77777777" w:rsidTr="005A1857">
        <w:trPr>
          <w:jc w:val="center"/>
        </w:trPr>
        <w:tc>
          <w:tcPr>
            <w:tcW w:w="9752" w:type="dxa"/>
            <w:gridSpan w:val="2"/>
          </w:tcPr>
          <w:p w14:paraId="7C30CD40" w14:textId="77777777" w:rsidR="00E276AB" w:rsidRPr="006008DA" w:rsidRDefault="00E276AB" w:rsidP="005A1857">
            <w:pPr>
              <w:keepNext/>
            </w:pPr>
          </w:p>
        </w:tc>
      </w:tr>
      <w:tr w:rsidR="00E276AB" w:rsidRPr="006008DA" w14:paraId="3EAE353B" w14:textId="77777777" w:rsidTr="005A1857">
        <w:trPr>
          <w:jc w:val="center"/>
        </w:trPr>
        <w:tc>
          <w:tcPr>
            <w:tcW w:w="4876" w:type="dxa"/>
            <w:hideMark/>
          </w:tcPr>
          <w:p w14:paraId="4B0AB101" w14:textId="77777777" w:rsidR="00E276AB" w:rsidRPr="006008DA" w:rsidRDefault="00E276AB" w:rsidP="005A1857">
            <w:pPr>
              <w:pStyle w:val="ColumnHeading"/>
              <w:keepNext/>
            </w:pPr>
            <w:r w:rsidRPr="006008DA">
              <w:t>Kommissionens förslag</w:t>
            </w:r>
          </w:p>
        </w:tc>
        <w:tc>
          <w:tcPr>
            <w:tcW w:w="4876" w:type="dxa"/>
            <w:hideMark/>
          </w:tcPr>
          <w:p w14:paraId="74355FEE" w14:textId="77777777" w:rsidR="00E276AB" w:rsidRPr="006008DA" w:rsidRDefault="00E276AB" w:rsidP="005A1857">
            <w:pPr>
              <w:pStyle w:val="ColumnHeading"/>
              <w:keepNext/>
            </w:pPr>
            <w:r w:rsidRPr="006008DA">
              <w:t>Ändringsförslag</w:t>
            </w:r>
          </w:p>
        </w:tc>
      </w:tr>
      <w:tr w:rsidR="00E276AB" w:rsidRPr="006008DA" w14:paraId="0B7A9467" w14:textId="77777777" w:rsidTr="005A1857">
        <w:trPr>
          <w:jc w:val="center"/>
        </w:trPr>
        <w:tc>
          <w:tcPr>
            <w:tcW w:w="4876" w:type="dxa"/>
            <w:hideMark/>
          </w:tcPr>
          <w:p w14:paraId="3C3CF75E" w14:textId="2669647C" w:rsidR="00E276AB" w:rsidRPr="006008DA" w:rsidRDefault="00E276AB" w:rsidP="003109BA">
            <w:pPr>
              <w:pStyle w:val="Normal6"/>
            </w:pPr>
            <w:r w:rsidRPr="006008DA">
              <w:t>(15)</w:t>
            </w:r>
            <w:r w:rsidRPr="006008DA">
              <w:tab/>
            </w:r>
            <w:r w:rsidRPr="006008DA">
              <w:rPr>
                <w:b/>
                <w:i/>
              </w:rPr>
              <w:t>Det finns många referensvärdesadministratörer som hävdar att deras referensvärden beaktar mål för miljö, samhällsansvar och bolagsstyrning (ESG).</w:t>
            </w:r>
            <w:r w:rsidRPr="006008DA">
              <w:t xml:space="preserve"> Användarna av </w:t>
            </w:r>
            <w:r w:rsidRPr="006008DA">
              <w:rPr>
                <w:b/>
                <w:i/>
              </w:rPr>
              <w:t>dessa referensvärden</w:t>
            </w:r>
            <w:r w:rsidRPr="006008DA">
              <w:t xml:space="preserve"> har</w:t>
            </w:r>
            <w:r w:rsidRPr="006008DA">
              <w:rPr>
                <w:b/>
                <w:i/>
              </w:rPr>
              <w:t xml:space="preserve"> dock</w:t>
            </w:r>
            <w:r w:rsidRPr="006008DA">
              <w:t xml:space="preserve"> inte alltid nödvändig information om i vilken utsträckning </w:t>
            </w:r>
            <w:r w:rsidRPr="006008DA">
              <w:rPr>
                <w:b/>
                <w:i/>
              </w:rPr>
              <w:t>administratörernas</w:t>
            </w:r>
            <w:r w:rsidRPr="006008DA">
              <w:t xml:space="preserve"> metoder beaktar </w:t>
            </w:r>
            <w:r w:rsidRPr="006008DA">
              <w:rPr>
                <w:b/>
                <w:i/>
              </w:rPr>
              <w:t>ESG-målen</w:t>
            </w:r>
            <w:r w:rsidRPr="006008DA">
              <w:t>. Den befintliga informationen är</w:t>
            </w:r>
            <w:r w:rsidRPr="006008DA">
              <w:rPr>
                <w:b/>
                <w:i/>
              </w:rPr>
              <w:t xml:space="preserve"> också</w:t>
            </w:r>
            <w:r w:rsidRPr="006008DA">
              <w:t xml:space="preserve"> ofta uppsplittrad och fungerar inte för att effektivt jämföra investeringar över gränserna. För att göra det möjligt för marknadsaktörerna att fatta välgrundade beslut bör referensvärdesadministratörer vara skyldiga att redovisa hur deras metod </w:t>
            </w:r>
            <w:r w:rsidRPr="006008DA">
              <w:rPr>
                <w:b/>
                <w:i/>
              </w:rPr>
              <w:t>tar hänsyn till ESG-faktorer</w:t>
            </w:r>
            <w:r w:rsidRPr="006008DA">
              <w:t xml:space="preserve"> i alla referensvärden</w:t>
            </w:r>
            <w:r w:rsidRPr="006008DA">
              <w:rPr>
                <w:b/>
                <w:i/>
              </w:rPr>
              <w:t xml:space="preserve"> eller familjer av referensvärden som framhålls som förenliga med ESG-målen</w:t>
            </w:r>
            <w:r w:rsidRPr="006008DA">
              <w:t xml:space="preserve">. Denna information bör </w:t>
            </w:r>
            <w:r w:rsidRPr="006008DA">
              <w:rPr>
                <w:b/>
                <w:i/>
              </w:rPr>
              <w:t xml:space="preserve">också </w:t>
            </w:r>
            <w:r w:rsidRPr="006008DA">
              <w:t xml:space="preserve">lämnas i referensvärdesdeklarationen. </w:t>
            </w:r>
            <w:r w:rsidRPr="006008DA">
              <w:rPr>
                <w:b/>
                <w:i/>
              </w:rPr>
              <w:t>Administratörer av referensvärden som inte framhåller eller tar hänsyn till ESG</w:t>
            </w:r>
            <w:r w:rsidR="003109BA">
              <w:rPr>
                <w:b/>
                <w:i/>
              </w:rPr>
              <w:noBreakHyphen/>
            </w:r>
            <w:r w:rsidRPr="006008DA">
              <w:rPr>
                <w:b/>
                <w:i/>
              </w:rPr>
              <w:t>målen bör inte omfattas av denna upplysningsskyldighet.</w:t>
            </w:r>
          </w:p>
        </w:tc>
        <w:tc>
          <w:tcPr>
            <w:tcW w:w="4876" w:type="dxa"/>
            <w:hideMark/>
          </w:tcPr>
          <w:p w14:paraId="09EAB050" w14:textId="77777777" w:rsidR="00E276AB" w:rsidRPr="006008DA" w:rsidRDefault="00E276AB" w:rsidP="005A1857">
            <w:pPr>
              <w:pStyle w:val="Normal6"/>
              <w:rPr>
                <w:szCs w:val="24"/>
              </w:rPr>
            </w:pPr>
            <w:r w:rsidRPr="006008DA">
              <w:t>(15)</w:t>
            </w:r>
            <w:r w:rsidRPr="006008DA">
              <w:tab/>
              <w:t xml:space="preserve">Användarna av </w:t>
            </w:r>
            <w:r w:rsidRPr="006008DA">
              <w:rPr>
                <w:b/>
                <w:i/>
              </w:rPr>
              <w:t>referensvärdena</w:t>
            </w:r>
            <w:r w:rsidRPr="006008DA">
              <w:t xml:space="preserve"> har inte alltid nödvändig information om i vilken utsträckning </w:t>
            </w:r>
            <w:r w:rsidRPr="006008DA">
              <w:rPr>
                <w:b/>
                <w:i/>
              </w:rPr>
              <w:t>referensvärdesadministratörernas</w:t>
            </w:r>
            <w:r w:rsidRPr="006008DA">
              <w:t xml:space="preserve"> metoder beaktar </w:t>
            </w:r>
            <w:r w:rsidRPr="006008DA">
              <w:rPr>
                <w:b/>
                <w:i/>
              </w:rPr>
              <w:t>ESG-risker och ESG-effekter</w:t>
            </w:r>
            <w:r w:rsidRPr="006008DA">
              <w:t xml:space="preserve">. Den befintliga informationen är ofta uppsplittrad och fungerar inte för att effektivt jämföra investeringar över gränserna. För att göra det möjligt för marknadsaktörerna att fatta välgrundade beslut bör </w:t>
            </w:r>
            <w:r w:rsidRPr="006008DA">
              <w:rPr>
                <w:b/>
                <w:i/>
              </w:rPr>
              <w:t xml:space="preserve">alla </w:t>
            </w:r>
            <w:r w:rsidRPr="006008DA">
              <w:t xml:space="preserve">referensvärdesadministratörer vara skyldiga att redovisa hur deras metod </w:t>
            </w:r>
            <w:r w:rsidRPr="006008DA">
              <w:rPr>
                <w:b/>
                <w:i/>
              </w:rPr>
              <w:t>inkluderar indikatorer för cirkulär ekonomi</w:t>
            </w:r>
            <w:r w:rsidRPr="006008DA">
              <w:t xml:space="preserve"> i alla referensvärden. Denna information bör lämnas i referensvärdesdeklarationen.</w:t>
            </w:r>
          </w:p>
        </w:tc>
      </w:tr>
    </w:tbl>
    <w:p w14:paraId="789BF4C1" w14:textId="77777777" w:rsidR="00E276AB" w:rsidRPr="006008DA" w:rsidRDefault="00E276AB" w:rsidP="00E276AB">
      <w:r w:rsidRPr="006008DA">
        <w:rPr>
          <w:rStyle w:val="HideTWBExt"/>
          <w:noProof w:val="0"/>
        </w:rPr>
        <w:t>&lt;/Amend&gt;</w:t>
      </w:r>
    </w:p>
    <w:p w14:paraId="120978F1"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13</w:t>
      </w:r>
      <w:r w:rsidRPr="006008DA">
        <w:rPr>
          <w:rStyle w:val="HideTWBExt"/>
          <w:b w:val="0"/>
          <w:noProof w:val="0"/>
        </w:rPr>
        <w:t>&lt;/NumAm&gt;</w:t>
      </w:r>
    </w:p>
    <w:p w14:paraId="10716D87"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6A837B74" w14:textId="77777777" w:rsidR="00E276AB" w:rsidRPr="006008DA" w:rsidRDefault="00E276AB" w:rsidP="00E276AB">
      <w:pPr>
        <w:pStyle w:val="NormalBold"/>
      </w:pPr>
      <w:r w:rsidRPr="006008DA">
        <w:rPr>
          <w:rStyle w:val="HideTWBExt"/>
          <w:b w:val="0"/>
          <w:noProof w:val="0"/>
        </w:rPr>
        <w:t>&lt;Article&gt;</w:t>
      </w:r>
      <w:r w:rsidRPr="006008DA">
        <w:t>Skäl 16</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6D198CE7" w14:textId="77777777" w:rsidTr="005A1857">
        <w:trPr>
          <w:jc w:val="center"/>
        </w:trPr>
        <w:tc>
          <w:tcPr>
            <w:tcW w:w="9752" w:type="dxa"/>
            <w:gridSpan w:val="2"/>
          </w:tcPr>
          <w:p w14:paraId="5123FFCF" w14:textId="77777777" w:rsidR="00E276AB" w:rsidRPr="006008DA" w:rsidRDefault="00E276AB" w:rsidP="005A1857">
            <w:pPr>
              <w:keepNext/>
            </w:pPr>
          </w:p>
        </w:tc>
      </w:tr>
      <w:tr w:rsidR="00E276AB" w:rsidRPr="006008DA" w14:paraId="69BEE311" w14:textId="77777777" w:rsidTr="005A1857">
        <w:trPr>
          <w:jc w:val="center"/>
        </w:trPr>
        <w:tc>
          <w:tcPr>
            <w:tcW w:w="4876" w:type="dxa"/>
            <w:hideMark/>
          </w:tcPr>
          <w:p w14:paraId="083F588E" w14:textId="77777777" w:rsidR="00E276AB" w:rsidRPr="006008DA" w:rsidRDefault="00E276AB" w:rsidP="005A1857">
            <w:pPr>
              <w:pStyle w:val="ColumnHeading"/>
              <w:keepNext/>
            </w:pPr>
            <w:r w:rsidRPr="006008DA">
              <w:t>Kommissionens förslag</w:t>
            </w:r>
          </w:p>
        </w:tc>
        <w:tc>
          <w:tcPr>
            <w:tcW w:w="4876" w:type="dxa"/>
            <w:hideMark/>
          </w:tcPr>
          <w:p w14:paraId="013502F3" w14:textId="77777777" w:rsidR="00E276AB" w:rsidRPr="006008DA" w:rsidRDefault="00E276AB" w:rsidP="005A1857">
            <w:pPr>
              <w:pStyle w:val="ColumnHeading"/>
              <w:keepNext/>
            </w:pPr>
            <w:r w:rsidRPr="006008DA">
              <w:t>Ändringsförslag</w:t>
            </w:r>
          </w:p>
        </w:tc>
      </w:tr>
      <w:tr w:rsidR="00E276AB" w:rsidRPr="006008DA" w14:paraId="53445533" w14:textId="77777777" w:rsidTr="005A1857">
        <w:trPr>
          <w:jc w:val="center"/>
        </w:trPr>
        <w:tc>
          <w:tcPr>
            <w:tcW w:w="4876" w:type="dxa"/>
            <w:hideMark/>
          </w:tcPr>
          <w:p w14:paraId="5B19E542" w14:textId="77777777" w:rsidR="00E276AB" w:rsidRPr="006008DA" w:rsidRDefault="00E276AB" w:rsidP="005A1857">
            <w:pPr>
              <w:pStyle w:val="Normal6"/>
            </w:pPr>
            <w:r w:rsidRPr="006008DA">
              <w:t>(16)</w:t>
            </w:r>
            <w:r w:rsidRPr="006008DA">
              <w:tab/>
              <w:t xml:space="preserve">Av samma skäl bör </w:t>
            </w:r>
            <w:r w:rsidRPr="006008DA">
              <w:rPr>
                <w:b/>
                <w:i/>
              </w:rPr>
              <w:t>administratörer</w:t>
            </w:r>
            <w:r w:rsidRPr="006008DA">
              <w:t xml:space="preserve"> av </w:t>
            </w:r>
            <w:r w:rsidRPr="006008DA">
              <w:rPr>
                <w:b/>
                <w:i/>
              </w:rPr>
              <w:t>koldioxidsnåla och klimatpositiva referensvärden</w:t>
            </w:r>
            <w:r w:rsidRPr="006008DA">
              <w:t xml:space="preserve"> även offentliggöra de metoder som de använder för att beräkna dem. Denna information bör redovisa hur de underliggande tillgångarna har valts ut och viktats och vilka tillgångar som har uteslutits och varför. Administratörer av referensvärden bör också precisera hur referensvärdena för </w:t>
            </w:r>
            <w:r w:rsidRPr="006008DA">
              <w:rPr>
                <w:b/>
                <w:i/>
              </w:rPr>
              <w:t>koldioxidsnåla</w:t>
            </w:r>
            <w:r w:rsidRPr="006008DA">
              <w:t xml:space="preserve"> investeringar skiljer sig från underliggande standardindex, framför allt när det gäller tillämpade vikter, börsvärde och ekonomiska resultat för de underliggande tillgångarna. För att bedöma hur referensvärdet bidrar till miljömålen bör referensvärdesadministratören redovisa hur de underliggande tillgångarnas </w:t>
            </w:r>
            <w:r w:rsidRPr="006008DA">
              <w:rPr>
                <w:b/>
                <w:i/>
              </w:rPr>
              <w:t>koldioxidavtryck</w:t>
            </w:r>
            <w:r w:rsidRPr="006008DA">
              <w:t xml:space="preserve"> och </w:t>
            </w:r>
            <w:r w:rsidRPr="006008DA">
              <w:rPr>
                <w:b/>
                <w:i/>
              </w:rPr>
              <w:t>koldioxidbesparingar</w:t>
            </w:r>
            <w:r w:rsidRPr="006008DA">
              <w:t xml:space="preserve"> har mätts, deras respektive värden, inklusive referensvärdets totala </w:t>
            </w:r>
            <w:r w:rsidRPr="006008DA">
              <w:rPr>
                <w:b/>
                <w:i/>
              </w:rPr>
              <w:t>koldioxidavtryck</w:t>
            </w:r>
            <w:r w:rsidRPr="006008DA">
              <w:t>, och vilken typ av data som använts samt dess källa. För att göra det möjligt för kapitalförvaltare att välja det lämpligaste referensvärdet för sin investeringsstrategi bör administratörer av referensvärden förklara vad parametrarna i deras metoder stödjer sig på, och hur referensvärdet bidrar till miljömålen</w:t>
            </w:r>
            <w:r w:rsidRPr="006008DA">
              <w:rPr>
                <w:b/>
                <w:i/>
              </w:rPr>
              <w:t>, inklusive dess bidrag till att minska klimatförändringarna</w:t>
            </w:r>
            <w:r w:rsidRPr="006008DA">
              <w:t>. Den information som offentliggörs bör också omfatta uppgifter om hur ofta översyn görs och enligt vilket förfarande.</w:t>
            </w:r>
          </w:p>
        </w:tc>
        <w:tc>
          <w:tcPr>
            <w:tcW w:w="4876" w:type="dxa"/>
            <w:hideMark/>
          </w:tcPr>
          <w:p w14:paraId="0B7CF15E" w14:textId="40EE3674" w:rsidR="00E276AB" w:rsidRPr="006008DA" w:rsidRDefault="00E276AB" w:rsidP="005A1857">
            <w:pPr>
              <w:pStyle w:val="Normal6"/>
              <w:rPr>
                <w:szCs w:val="24"/>
              </w:rPr>
            </w:pPr>
            <w:r w:rsidRPr="006008DA">
              <w:t>(16)</w:t>
            </w:r>
            <w:r w:rsidRPr="006008DA">
              <w:tab/>
              <w:t xml:space="preserve">Av samma skäl bör </w:t>
            </w:r>
            <w:r w:rsidRPr="006008DA">
              <w:rPr>
                <w:b/>
                <w:i/>
              </w:rPr>
              <w:t>referensvärdesadministratörer</w:t>
            </w:r>
            <w:r w:rsidRPr="006008DA">
              <w:t xml:space="preserve"> av </w:t>
            </w:r>
            <w:r w:rsidRPr="006008DA">
              <w:rPr>
                <w:b/>
                <w:i/>
              </w:rPr>
              <w:t>referensvärden för investeringar med positiv effekt</w:t>
            </w:r>
            <w:r w:rsidRPr="006008DA">
              <w:t xml:space="preserve"> även offentliggöra de metoder som de använder för att beräkna dem. Denna information bör redovisa hur de underliggande tillgångarna har valts ut och viktats och vilka tillgångar som har uteslutits och varför. Administratörer av referensvärden bör också precisera hur referensvärdena för investeringar</w:t>
            </w:r>
            <w:r w:rsidRPr="006008DA">
              <w:rPr>
                <w:b/>
                <w:i/>
              </w:rPr>
              <w:t xml:space="preserve"> med positiv effekt</w:t>
            </w:r>
            <w:r w:rsidRPr="006008DA">
              <w:t xml:space="preserve"> skiljer sig från underliggande standardindex, framför allt när det gäller tillämpade vikter, börsvärde och ekonomiska resultat för de underliggande tillgångarna. För att bedöma hur referensvärdet bidrar till miljömålen bör referensvärdesadministratören redovisa hur de underliggande tillgångarnas </w:t>
            </w:r>
            <w:r w:rsidRPr="006008DA">
              <w:rPr>
                <w:b/>
                <w:i/>
              </w:rPr>
              <w:t>miljöeffekt</w:t>
            </w:r>
            <w:r w:rsidRPr="006008DA">
              <w:t xml:space="preserve"> och </w:t>
            </w:r>
            <w:r w:rsidRPr="006008DA">
              <w:rPr>
                <w:b/>
                <w:i/>
              </w:rPr>
              <w:t>miljörisker</w:t>
            </w:r>
            <w:r w:rsidRPr="006008DA">
              <w:t xml:space="preserve"> har mätts, deras respektive värden, inklusive referensvärdets totala </w:t>
            </w:r>
            <w:r w:rsidRPr="006008DA">
              <w:rPr>
                <w:b/>
                <w:i/>
              </w:rPr>
              <w:t>miljöavtryck</w:t>
            </w:r>
            <w:r w:rsidRPr="006008DA">
              <w:t>, och vilken typ av data som använts samt dess källa. För att göra det möjligt för kapitalförvaltare att välja det lämpligaste referensvärdet för sin investeringsstrategi bör administratörer av referensvärden förklara vad parametrarna i deras metoder stödjer sig på, och hur referensvärdet bidrar till miljömålen. Den information som offentliggörs bör också omfatta uppgifter om hur ofta översyn görs och enligt vilket förfarande.</w:t>
            </w:r>
          </w:p>
        </w:tc>
      </w:tr>
    </w:tbl>
    <w:p w14:paraId="7F856C40" w14:textId="77777777" w:rsidR="00E276AB" w:rsidRPr="006008DA" w:rsidRDefault="00E276AB" w:rsidP="00E276AB">
      <w:r w:rsidRPr="006008DA">
        <w:rPr>
          <w:rStyle w:val="HideTWBExt"/>
          <w:noProof w:val="0"/>
        </w:rPr>
        <w:t>&lt;/Amend&gt;</w:t>
      </w:r>
    </w:p>
    <w:p w14:paraId="3C96D494"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14</w:t>
      </w:r>
      <w:r w:rsidRPr="006008DA">
        <w:rPr>
          <w:rStyle w:val="HideTWBExt"/>
          <w:b w:val="0"/>
          <w:noProof w:val="0"/>
        </w:rPr>
        <w:t>&lt;/NumAm&gt;</w:t>
      </w:r>
    </w:p>
    <w:p w14:paraId="0165F907"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400F2B0E" w14:textId="77777777" w:rsidR="00E276AB" w:rsidRPr="006008DA" w:rsidRDefault="00E276AB" w:rsidP="00E276AB">
      <w:pPr>
        <w:pStyle w:val="NormalBold"/>
      </w:pPr>
      <w:r w:rsidRPr="006008DA">
        <w:rPr>
          <w:rStyle w:val="HideTWBExt"/>
          <w:b w:val="0"/>
          <w:noProof w:val="0"/>
        </w:rPr>
        <w:t>&lt;Article&gt;</w:t>
      </w:r>
      <w:r w:rsidRPr="006008DA">
        <w:t>Skäl 17</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390FE6CE" w14:textId="77777777" w:rsidTr="005A1857">
        <w:trPr>
          <w:jc w:val="center"/>
        </w:trPr>
        <w:tc>
          <w:tcPr>
            <w:tcW w:w="9752" w:type="dxa"/>
            <w:gridSpan w:val="2"/>
          </w:tcPr>
          <w:p w14:paraId="20F383B1" w14:textId="77777777" w:rsidR="00E276AB" w:rsidRPr="006008DA" w:rsidRDefault="00E276AB" w:rsidP="005A1857">
            <w:pPr>
              <w:keepNext/>
            </w:pPr>
          </w:p>
        </w:tc>
      </w:tr>
      <w:tr w:rsidR="00E276AB" w:rsidRPr="006008DA" w14:paraId="0040E31B" w14:textId="77777777" w:rsidTr="005A1857">
        <w:trPr>
          <w:jc w:val="center"/>
        </w:trPr>
        <w:tc>
          <w:tcPr>
            <w:tcW w:w="4876" w:type="dxa"/>
            <w:hideMark/>
          </w:tcPr>
          <w:p w14:paraId="32164DF2" w14:textId="77777777" w:rsidR="00E276AB" w:rsidRPr="006008DA" w:rsidRDefault="00E276AB" w:rsidP="005A1857">
            <w:pPr>
              <w:pStyle w:val="ColumnHeading"/>
              <w:keepNext/>
            </w:pPr>
            <w:r w:rsidRPr="006008DA">
              <w:t>Kommissionens förslag</w:t>
            </w:r>
          </w:p>
        </w:tc>
        <w:tc>
          <w:tcPr>
            <w:tcW w:w="4876" w:type="dxa"/>
            <w:hideMark/>
          </w:tcPr>
          <w:p w14:paraId="1CB8FFFA" w14:textId="77777777" w:rsidR="00E276AB" w:rsidRPr="006008DA" w:rsidRDefault="00E276AB" w:rsidP="005A1857">
            <w:pPr>
              <w:pStyle w:val="ColumnHeading"/>
              <w:keepNext/>
            </w:pPr>
            <w:r w:rsidRPr="006008DA">
              <w:t>Ändringsförslag</w:t>
            </w:r>
          </w:p>
        </w:tc>
      </w:tr>
      <w:tr w:rsidR="00E276AB" w:rsidRPr="006008DA" w14:paraId="7D37D779" w14:textId="77777777" w:rsidTr="005A1857">
        <w:trPr>
          <w:jc w:val="center"/>
        </w:trPr>
        <w:tc>
          <w:tcPr>
            <w:tcW w:w="4876" w:type="dxa"/>
            <w:hideMark/>
          </w:tcPr>
          <w:p w14:paraId="545528A5" w14:textId="77777777" w:rsidR="00E276AB" w:rsidRPr="006008DA" w:rsidRDefault="00E276AB" w:rsidP="005A1857">
            <w:pPr>
              <w:pStyle w:val="Normal6"/>
            </w:pPr>
            <w:r w:rsidRPr="006008DA">
              <w:t>(17)</w:t>
            </w:r>
            <w:r w:rsidRPr="006008DA">
              <w:tab/>
              <w:t xml:space="preserve">Administratörer av referensvärden för </w:t>
            </w:r>
            <w:r w:rsidRPr="006008DA">
              <w:rPr>
                <w:b/>
                <w:i/>
              </w:rPr>
              <w:t>klimatpositiva</w:t>
            </w:r>
            <w:r w:rsidRPr="006008DA">
              <w:t xml:space="preserve"> investeringar bör dessutom redovisa den positiva </w:t>
            </w:r>
            <w:r w:rsidRPr="006008DA">
              <w:rPr>
                <w:b/>
                <w:i/>
              </w:rPr>
              <w:t>koldioxideffekten</w:t>
            </w:r>
            <w:r w:rsidRPr="006008DA">
              <w:t xml:space="preserve"> för varje underliggande tillgång som ingår i referensvärdet, och ange vilken metod som används för att fastställa om </w:t>
            </w:r>
            <w:r w:rsidRPr="006008DA">
              <w:rPr>
                <w:b/>
                <w:i/>
              </w:rPr>
              <w:t>utsläppsminskningarna överskrider tillgångens koldioxidavtryck</w:t>
            </w:r>
            <w:r w:rsidRPr="006008DA">
              <w:t>.</w:t>
            </w:r>
          </w:p>
        </w:tc>
        <w:tc>
          <w:tcPr>
            <w:tcW w:w="4876" w:type="dxa"/>
            <w:hideMark/>
          </w:tcPr>
          <w:p w14:paraId="620537BA" w14:textId="77777777" w:rsidR="00E276AB" w:rsidRPr="006008DA" w:rsidRDefault="00E276AB" w:rsidP="005A1857">
            <w:pPr>
              <w:pStyle w:val="Normal6"/>
              <w:rPr>
                <w:szCs w:val="24"/>
              </w:rPr>
            </w:pPr>
            <w:r w:rsidRPr="006008DA">
              <w:t>(17)</w:t>
            </w:r>
            <w:r w:rsidRPr="006008DA">
              <w:tab/>
              <w:t>Administratörer av referensvärden för investeringar</w:t>
            </w:r>
            <w:r w:rsidRPr="006008DA">
              <w:rPr>
                <w:b/>
                <w:i/>
              </w:rPr>
              <w:t xml:space="preserve"> med positiv effekt</w:t>
            </w:r>
            <w:r w:rsidRPr="006008DA">
              <w:t xml:space="preserve"> bör dessutom redovisa den positiva </w:t>
            </w:r>
            <w:r w:rsidRPr="006008DA">
              <w:rPr>
                <w:b/>
                <w:i/>
              </w:rPr>
              <w:t>miljöeffekten</w:t>
            </w:r>
            <w:r w:rsidRPr="006008DA">
              <w:t xml:space="preserve"> för varje underliggande tillgång som ingår i referensvärdet, och ange vilken metod som används för att fastställa om </w:t>
            </w:r>
            <w:r w:rsidRPr="006008DA">
              <w:rPr>
                <w:b/>
                <w:i/>
              </w:rPr>
              <w:t>nettoeffekten på miljön är positiv</w:t>
            </w:r>
            <w:r w:rsidRPr="006008DA">
              <w:t>.</w:t>
            </w:r>
          </w:p>
        </w:tc>
      </w:tr>
    </w:tbl>
    <w:p w14:paraId="6252354A" w14:textId="77777777" w:rsidR="00E276AB" w:rsidRPr="006008DA" w:rsidRDefault="00E276AB" w:rsidP="00E276AB">
      <w:r w:rsidRPr="006008DA">
        <w:rPr>
          <w:rStyle w:val="HideTWBExt"/>
          <w:noProof w:val="0"/>
        </w:rPr>
        <w:t>&lt;/Amend&gt;</w:t>
      </w:r>
    </w:p>
    <w:p w14:paraId="06D34D4D"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15</w:t>
      </w:r>
      <w:r w:rsidRPr="006008DA">
        <w:rPr>
          <w:rStyle w:val="HideTWBExt"/>
          <w:b w:val="0"/>
          <w:noProof w:val="0"/>
        </w:rPr>
        <w:t>&lt;/NumAm&gt;</w:t>
      </w:r>
    </w:p>
    <w:p w14:paraId="73492849"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589B63E4" w14:textId="77777777" w:rsidR="00E276AB" w:rsidRPr="006008DA" w:rsidRDefault="00E276AB" w:rsidP="00E276AB">
      <w:pPr>
        <w:pStyle w:val="NormalBold"/>
      </w:pPr>
      <w:r w:rsidRPr="006008DA">
        <w:rPr>
          <w:rStyle w:val="HideTWBExt"/>
          <w:b w:val="0"/>
          <w:noProof w:val="0"/>
        </w:rPr>
        <w:t>&lt;Article&gt;</w:t>
      </w:r>
      <w:r w:rsidRPr="006008DA">
        <w:t>Skäl 18</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1E99CD65" w14:textId="77777777" w:rsidTr="005A1857">
        <w:trPr>
          <w:jc w:val="center"/>
        </w:trPr>
        <w:tc>
          <w:tcPr>
            <w:tcW w:w="9752" w:type="dxa"/>
            <w:gridSpan w:val="2"/>
          </w:tcPr>
          <w:p w14:paraId="5C5406E8" w14:textId="77777777" w:rsidR="00E276AB" w:rsidRPr="006008DA" w:rsidRDefault="00E276AB" w:rsidP="005A1857">
            <w:pPr>
              <w:keepNext/>
            </w:pPr>
          </w:p>
        </w:tc>
      </w:tr>
      <w:tr w:rsidR="00E276AB" w:rsidRPr="006008DA" w14:paraId="0044C3A8" w14:textId="77777777" w:rsidTr="005A1857">
        <w:trPr>
          <w:jc w:val="center"/>
        </w:trPr>
        <w:tc>
          <w:tcPr>
            <w:tcW w:w="4876" w:type="dxa"/>
            <w:hideMark/>
          </w:tcPr>
          <w:p w14:paraId="0D6970BD" w14:textId="77777777" w:rsidR="00E276AB" w:rsidRPr="006008DA" w:rsidRDefault="00E276AB" w:rsidP="005A1857">
            <w:pPr>
              <w:pStyle w:val="ColumnHeading"/>
              <w:keepNext/>
            </w:pPr>
            <w:r w:rsidRPr="006008DA">
              <w:t>Kommissionens förslag</w:t>
            </w:r>
          </w:p>
        </w:tc>
        <w:tc>
          <w:tcPr>
            <w:tcW w:w="4876" w:type="dxa"/>
            <w:hideMark/>
          </w:tcPr>
          <w:p w14:paraId="2116BC5B" w14:textId="77777777" w:rsidR="00E276AB" w:rsidRPr="006008DA" w:rsidRDefault="00E276AB" w:rsidP="005A1857">
            <w:pPr>
              <w:pStyle w:val="ColumnHeading"/>
              <w:keepNext/>
            </w:pPr>
            <w:r w:rsidRPr="006008DA">
              <w:t>Ändringsförslag</w:t>
            </w:r>
          </w:p>
        </w:tc>
      </w:tr>
      <w:tr w:rsidR="00E276AB" w:rsidRPr="006008DA" w14:paraId="0B2CF84A" w14:textId="77777777" w:rsidTr="005A1857">
        <w:trPr>
          <w:jc w:val="center"/>
        </w:trPr>
        <w:tc>
          <w:tcPr>
            <w:tcW w:w="4876" w:type="dxa"/>
            <w:hideMark/>
          </w:tcPr>
          <w:p w14:paraId="6912BA47" w14:textId="77777777" w:rsidR="00E276AB" w:rsidRPr="006008DA" w:rsidRDefault="00E276AB" w:rsidP="005A1857">
            <w:pPr>
              <w:pStyle w:val="Normal6"/>
            </w:pPr>
            <w:r w:rsidRPr="006008DA">
              <w:t>(18)</w:t>
            </w:r>
            <w:r w:rsidRPr="006008DA">
              <w:tab/>
              <w:t xml:space="preserve">För att säkerställa att </w:t>
            </w:r>
            <w:r w:rsidRPr="006008DA">
              <w:rPr>
                <w:b/>
                <w:i/>
              </w:rPr>
              <w:t>man håller fast vid det valda klimatmålet</w:t>
            </w:r>
            <w:r w:rsidRPr="006008DA">
              <w:t xml:space="preserve"> bör administratörer av referensvärden för </w:t>
            </w:r>
            <w:r w:rsidRPr="006008DA">
              <w:rPr>
                <w:b/>
                <w:i/>
              </w:rPr>
              <w:t>koldioxidsnåla och för klimatpositiva</w:t>
            </w:r>
            <w:r w:rsidRPr="006008DA">
              <w:t xml:space="preserve"> investeringar regelbundet se över sina metoder och informera användarna om de tillämpliga förfarandena vid varje väsentlig ändring. När administratörer av referensvärden gör en väsentlig ändring bör de redovisa skälen för denna ändring och förklara hur den är förenlig med referensvärdets ursprungliga mål.</w:t>
            </w:r>
          </w:p>
        </w:tc>
        <w:tc>
          <w:tcPr>
            <w:tcW w:w="4876" w:type="dxa"/>
            <w:hideMark/>
          </w:tcPr>
          <w:p w14:paraId="0E81231E" w14:textId="77777777" w:rsidR="00E276AB" w:rsidRPr="006008DA" w:rsidRDefault="00E276AB" w:rsidP="005A1857">
            <w:pPr>
              <w:pStyle w:val="Normal6"/>
              <w:rPr>
                <w:szCs w:val="24"/>
              </w:rPr>
            </w:pPr>
            <w:r w:rsidRPr="006008DA">
              <w:t>(18)</w:t>
            </w:r>
            <w:r w:rsidRPr="006008DA">
              <w:tab/>
              <w:t xml:space="preserve">För att säkerställa att </w:t>
            </w:r>
            <w:r w:rsidRPr="006008DA">
              <w:rPr>
                <w:b/>
                <w:i/>
              </w:rPr>
              <w:t>informationen till investerare är korrekt</w:t>
            </w:r>
            <w:r w:rsidRPr="006008DA">
              <w:t xml:space="preserve"> bör administratörer av referensvärden för investeringar</w:t>
            </w:r>
            <w:r w:rsidRPr="006008DA">
              <w:rPr>
                <w:b/>
                <w:i/>
              </w:rPr>
              <w:t xml:space="preserve"> med positiv effekt</w:t>
            </w:r>
            <w:r w:rsidRPr="006008DA">
              <w:t xml:space="preserve"> regelbundet se över sina metoder och informera användarna om de tillämpliga förfarandena vid varje väsentlig ändring. När administratörer av referensvärden gör en väsentlig ändring bör de redovisa skälen för denna ändring och förklara hur den är förenlig med referensvärdets ursprungliga mål.</w:t>
            </w:r>
          </w:p>
        </w:tc>
      </w:tr>
    </w:tbl>
    <w:p w14:paraId="573DDFCF" w14:textId="77777777" w:rsidR="00E276AB" w:rsidRPr="006008DA" w:rsidRDefault="00E276AB" w:rsidP="00E276AB">
      <w:r w:rsidRPr="006008DA">
        <w:rPr>
          <w:rStyle w:val="HideTWBExt"/>
          <w:noProof w:val="0"/>
        </w:rPr>
        <w:t>&lt;/Amend&gt;</w:t>
      </w:r>
    </w:p>
    <w:p w14:paraId="7BBFF97D"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16</w:t>
      </w:r>
      <w:r w:rsidRPr="006008DA">
        <w:rPr>
          <w:rStyle w:val="HideTWBExt"/>
          <w:b w:val="0"/>
          <w:noProof w:val="0"/>
        </w:rPr>
        <w:t>&lt;/NumAm&gt;</w:t>
      </w:r>
    </w:p>
    <w:p w14:paraId="0ED322D4"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54EBE094" w14:textId="77777777" w:rsidR="00E276AB" w:rsidRPr="006008DA" w:rsidRDefault="00E276AB" w:rsidP="00E276AB">
      <w:pPr>
        <w:pStyle w:val="NormalBold"/>
      </w:pPr>
      <w:r w:rsidRPr="006008DA">
        <w:rPr>
          <w:rStyle w:val="HideTWBExt"/>
          <w:b w:val="0"/>
          <w:noProof w:val="0"/>
        </w:rPr>
        <w:t>&lt;Article&gt;</w:t>
      </w:r>
      <w:r w:rsidRPr="006008DA">
        <w:t>Skäl 19</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1B1B9B40" w14:textId="77777777" w:rsidTr="005A1857">
        <w:trPr>
          <w:jc w:val="center"/>
        </w:trPr>
        <w:tc>
          <w:tcPr>
            <w:tcW w:w="9752" w:type="dxa"/>
            <w:gridSpan w:val="2"/>
          </w:tcPr>
          <w:p w14:paraId="78136521" w14:textId="77777777" w:rsidR="00E276AB" w:rsidRPr="006008DA" w:rsidRDefault="00E276AB" w:rsidP="005A1857">
            <w:pPr>
              <w:keepNext/>
            </w:pPr>
          </w:p>
        </w:tc>
      </w:tr>
      <w:tr w:rsidR="00E276AB" w:rsidRPr="006008DA" w14:paraId="5345E7F4" w14:textId="77777777" w:rsidTr="005A1857">
        <w:trPr>
          <w:jc w:val="center"/>
        </w:trPr>
        <w:tc>
          <w:tcPr>
            <w:tcW w:w="4876" w:type="dxa"/>
            <w:hideMark/>
          </w:tcPr>
          <w:p w14:paraId="0D1FAE42" w14:textId="77777777" w:rsidR="00E276AB" w:rsidRPr="006008DA" w:rsidRDefault="00E276AB" w:rsidP="005A1857">
            <w:pPr>
              <w:pStyle w:val="ColumnHeading"/>
              <w:keepNext/>
            </w:pPr>
            <w:r w:rsidRPr="006008DA">
              <w:t>Kommissionens förslag</w:t>
            </w:r>
          </w:p>
        </w:tc>
        <w:tc>
          <w:tcPr>
            <w:tcW w:w="4876" w:type="dxa"/>
            <w:hideMark/>
          </w:tcPr>
          <w:p w14:paraId="136CE2CF" w14:textId="77777777" w:rsidR="00E276AB" w:rsidRPr="006008DA" w:rsidRDefault="00E276AB" w:rsidP="005A1857">
            <w:pPr>
              <w:pStyle w:val="ColumnHeading"/>
              <w:keepNext/>
            </w:pPr>
            <w:r w:rsidRPr="006008DA">
              <w:t>Ändringsförslag</w:t>
            </w:r>
          </w:p>
        </w:tc>
      </w:tr>
      <w:tr w:rsidR="00E276AB" w:rsidRPr="006008DA" w14:paraId="6C617A90" w14:textId="77777777" w:rsidTr="005A1857">
        <w:trPr>
          <w:jc w:val="center"/>
        </w:trPr>
        <w:tc>
          <w:tcPr>
            <w:tcW w:w="4876" w:type="dxa"/>
            <w:hideMark/>
          </w:tcPr>
          <w:p w14:paraId="3BE063CB" w14:textId="77777777" w:rsidR="00E276AB" w:rsidRPr="006008DA" w:rsidRDefault="00E276AB" w:rsidP="005A1857">
            <w:pPr>
              <w:pStyle w:val="Normal6"/>
            </w:pPr>
            <w:r w:rsidRPr="006008DA">
              <w:t>(19)</w:t>
            </w:r>
            <w:r w:rsidRPr="006008DA">
              <w:tab/>
              <w:t>För att öka transparensen och säkerställa en lämplig harmoniseringsnivå bör befogenhet att anta akter i enlighet med artikel 290 i fördraget om Europeiska unionens funktionssätt delegeras till kommissionen för att närmare ange minimiinnehållet i de upplysningskrav som bör gälla för administratörer av referensvärden</w:t>
            </w:r>
            <w:r w:rsidRPr="006008DA">
              <w:rPr>
                <w:b/>
                <w:i/>
              </w:rPr>
              <w:t xml:space="preserve"> som tar hänsyn till ESG-målen</w:t>
            </w:r>
            <w:r w:rsidRPr="006008DA">
              <w:t xml:space="preserve">, och för att fastställa minimistandarder för harmonisering av metoderna för att </w:t>
            </w:r>
            <w:r w:rsidRPr="006008DA">
              <w:rPr>
                <w:b/>
                <w:i/>
              </w:rPr>
              <w:t>fastställa referensvärden</w:t>
            </w:r>
            <w:r w:rsidRPr="006008DA">
              <w:t xml:space="preserve"> för </w:t>
            </w:r>
            <w:r w:rsidRPr="006008DA">
              <w:rPr>
                <w:b/>
                <w:i/>
              </w:rPr>
              <w:t>koldioxidsnåla och för klimatpositiva investeringar</w:t>
            </w:r>
            <w:r w:rsidRPr="006008DA">
              <w:t xml:space="preserve">, inklusive metoden för att beräkna de underliggande tillgångarnas </w:t>
            </w:r>
            <w:r w:rsidRPr="006008DA">
              <w:rPr>
                <w:b/>
                <w:i/>
              </w:rPr>
              <w:t>koldioxidutsläpp och koldioxidbesparingar</w:t>
            </w:r>
            <w:r w:rsidRPr="006008DA">
              <w:t>, med beaktande av metoderna för produkters miljöavtryck (PEF-metoden) och för organisationers miljöavtryck (OEF-metoden) enligt definitionerna i punkt 2 a och b i kommissionens rekommendation 2013/179/EU</w:t>
            </w:r>
            <w:r w:rsidRPr="006008DA">
              <w:rPr>
                <w:vertAlign w:val="superscript"/>
              </w:rPr>
              <w:t>30</w:t>
            </w:r>
            <w:r w:rsidRPr="006008DA">
              <w: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c>
          <w:tcPr>
            <w:tcW w:w="4876" w:type="dxa"/>
            <w:hideMark/>
          </w:tcPr>
          <w:p w14:paraId="2A6128A8" w14:textId="77777777" w:rsidR="00E276AB" w:rsidRPr="006008DA" w:rsidRDefault="00E276AB" w:rsidP="005A1857">
            <w:pPr>
              <w:pStyle w:val="Normal6"/>
              <w:rPr>
                <w:szCs w:val="24"/>
              </w:rPr>
            </w:pPr>
            <w:r w:rsidRPr="006008DA">
              <w:t>(19)</w:t>
            </w:r>
            <w:r w:rsidRPr="006008DA">
              <w:tab/>
              <w:t xml:space="preserve">För att öka transparensen och säkerställa en lämplig harmoniseringsnivå bör befogenhet att anta akter i enlighet med artikel 290 i fördraget om Europeiska unionens funktionssätt delegeras till kommissionen för att närmare ange minimiinnehållet i de upplysningskrav som bör gälla för administratörer av referensvärden, och för att fastställa minimistandarder för harmonisering av metoderna för att </w:t>
            </w:r>
            <w:r w:rsidRPr="006008DA">
              <w:rPr>
                <w:b/>
                <w:i/>
              </w:rPr>
              <w:t>integrera indikatorer</w:t>
            </w:r>
            <w:r w:rsidRPr="006008DA">
              <w:t xml:space="preserve"> för </w:t>
            </w:r>
            <w:r w:rsidRPr="006008DA">
              <w:rPr>
                <w:b/>
                <w:i/>
              </w:rPr>
              <w:t>cirkulär ekonomi</w:t>
            </w:r>
            <w:r w:rsidRPr="006008DA">
              <w:t xml:space="preserve">, inklusive metoden för att beräkna de underliggande tillgångarnas </w:t>
            </w:r>
            <w:r w:rsidRPr="006008DA">
              <w:rPr>
                <w:b/>
                <w:i/>
              </w:rPr>
              <w:t>nettoeffekt på miljön</w:t>
            </w:r>
            <w:r w:rsidRPr="006008DA">
              <w:t>, med beaktande av metoderna för produkters miljöavtryck (PEF-metoden) och för organisationers miljöavtryck (OEF-metoden) enligt definitionerna i punkt 2 a och b i kommissionens rekommendation 2013/179/EU</w:t>
            </w:r>
            <w:r w:rsidRPr="006008DA">
              <w:rPr>
                <w:vertAlign w:val="superscript"/>
              </w:rPr>
              <w:t>30</w:t>
            </w:r>
            <w:r w:rsidRPr="006008DA">
              <w:rPr>
                <w:b/>
                <w:i/>
              </w:rPr>
              <w:t xml:space="preserve"> och de indikatorer för cirkulär ekonomi som fastställs i kommissionens plattform för övervakning av den cirkulära ekonomin och kommissionens handlingsplan för den cirkulära ekonomin</w:t>
            </w:r>
            <w:r w:rsidRPr="006008DA">
              <w:t>.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r w:rsidR="00E276AB" w:rsidRPr="006008DA" w14:paraId="63BA36F3" w14:textId="77777777" w:rsidTr="005A1857">
        <w:trPr>
          <w:jc w:val="center"/>
        </w:trPr>
        <w:tc>
          <w:tcPr>
            <w:tcW w:w="4876" w:type="dxa"/>
            <w:hideMark/>
          </w:tcPr>
          <w:p w14:paraId="72A7D5BA" w14:textId="77777777" w:rsidR="00E276AB" w:rsidRPr="006008DA" w:rsidRDefault="00E276AB" w:rsidP="005A1857">
            <w:pPr>
              <w:pStyle w:val="Normal6"/>
            </w:pPr>
            <w:r w:rsidRPr="006008DA">
              <w:t>__________________</w:t>
            </w:r>
          </w:p>
        </w:tc>
        <w:tc>
          <w:tcPr>
            <w:tcW w:w="4876" w:type="dxa"/>
            <w:hideMark/>
          </w:tcPr>
          <w:p w14:paraId="2BBF44AC" w14:textId="77777777" w:rsidR="00E276AB" w:rsidRPr="006008DA" w:rsidRDefault="00E276AB" w:rsidP="005A1857">
            <w:pPr>
              <w:pStyle w:val="Normal6"/>
              <w:rPr>
                <w:szCs w:val="24"/>
              </w:rPr>
            </w:pPr>
            <w:r w:rsidRPr="006008DA">
              <w:t>__________________</w:t>
            </w:r>
          </w:p>
        </w:tc>
      </w:tr>
      <w:tr w:rsidR="00E276AB" w:rsidRPr="006008DA" w14:paraId="323FE9D0" w14:textId="77777777" w:rsidTr="005A1857">
        <w:trPr>
          <w:jc w:val="center"/>
        </w:trPr>
        <w:tc>
          <w:tcPr>
            <w:tcW w:w="4876" w:type="dxa"/>
            <w:hideMark/>
          </w:tcPr>
          <w:p w14:paraId="79DAF884" w14:textId="77777777" w:rsidR="00E276AB" w:rsidRPr="006008DA" w:rsidRDefault="00E276AB" w:rsidP="005A1857">
            <w:pPr>
              <w:pStyle w:val="Normal6"/>
            </w:pPr>
            <w:r w:rsidRPr="006008DA">
              <w:rPr>
                <w:vertAlign w:val="superscript"/>
              </w:rPr>
              <w:t>30</w:t>
            </w:r>
            <w:r w:rsidRPr="006008DA">
              <w:t xml:space="preserve"> Kommissionens rekommendation 2013/179/EU av den 9 april 2013 om användningen av gemensamma metoder för att mäta och kommunicera produkters och organisationers miljöprestanda utifrån ett livscykelperspektiv (EUT L 124, 4.5.2013, s. 1).</w:t>
            </w:r>
          </w:p>
        </w:tc>
        <w:tc>
          <w:tcPr>
            <w:tcW w:w="4876" w:type="dxa"/>
            <w:hideMark/>
          </w:tcPr>
          <w:p w14:paraId="607CE3E6" w14:textId="77777777" w:rsidR="00E276AB" w:rsidRPr="006008DA" w:rsidRDefault="00E276AB" w:rsidP="005A1857">
            <w:pPr>
              <w:pStyle w:val="Normal6"/>
              <w:rPr>
                <w:szCs w:val="24"/>
              </w:rPr>
            </w:pPr>
            <w:r w:rsidRPr="006008DA">
              <w:rPr>
                <w:vertAlign w:val="superscript"/>
              </w:rPr>
              <w:t>30</w:t>
            </w:r>
            <w:r w:rsidRPr="006008DA">
              <w:t xml:space="preserve"> Kommissionens rekommendation 2013/179/EU av den 9 april 2013 om användningen av gemensamma metoder för att mäta och kommunicera produkters och organisationers miljöprestanda utifrån ett livscykelperspektiv (EUT L 124, 4.5.2013, s. 1).</w:t>
            </w:r>
          </w:p>
        </w:tc>
      </w:tr>
    </w:tbl>
    <w:p w14:paraId="58F9A2AF" w14:textId="77777777" w:rsidR="00E276AB" w:rsidRPr="006008DA" w:rsidRDefault="00E276AB" w:rsidP="00E276AB">
      <w:r w:rsidRPr="006008DA">
        <w:rPr>
          <w:rStyle w:val="HideTWBExt"/>
          <w:noProof w:val="0"/>
        </w:rPr>
        <w:t>&lt;/Amend&gt;</w:t>
      </w:r>
    </w:p>
    <w:p w14:paraId="7BE2F068"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17</w:t>
      </w:r>
      <w:r w:rsidRPr="006008DA">
        <w:rPr>
          <w:rStyle w:val="HideTWBExt"/>
          <w:b w:val="0"/>
          <w:noProof w:val="0"/>
        </w:rPr>
        <w:t>&lt;/NumAm&gt;</w:t>
      </w:r>
    </w:p>
    <w:p w14:paraId="4C2DC802"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135EC2E1" w14:textId="77777777" w:rsidR="00E276AB" w:rsidRPr="006008DA" w:rsidRDefault="00E276AB" w:rsidP="00E276AB">
      <w:pPr>
        <w:pStyle w:val="NormalBold"/>
      </w:pPr>
      <w:r w:rsidRPr="006008DA">
        <w:rPr>
          <w:rStyle w:val="HideTWBExt"/>
          <w:b w:val="0"/>
          <w:noProof w:val="0"/>
        </w:rPr>
        <w:t>&lt;Article&gt;</w:t>
      </w:r>
      <w:r w:rsidRPr="006008DA">
        <w:t>Artikel 1 – led 1</w:t>
      </w:r>
      <w:r w:rsidRPr="006008DA">
        <w:rPr>
          <w:rStyle w:val="HideTWBExt"/>
          <w:b w:val="0"/>
          <w:noProof w:val="0"/>
        </w:rPr>
        <w:t>&lt;/Article&gt;</w:t>
      </w:r>
    </w:p>
    <w:p w14:paraId="3566F686" w14:textId="77777777" w:rsidR="00E276AB" w:rsidRPr="006008DA" w:rsidRDefault="00E276AB" w:rsidP="00E276AB">
      <w:pPr>
        <w:keepNext/>
      </w:pPr>
      <w:r w:rsidRPr="006008DA">
        <w:rPr>
          <w:rStyle w:val="HideTWBExt"/>
          <w:noProof w:val="0"/>
        </w:rPr>
        <w:t>&lt;DocAmend2&gt;</w:t>
      </w:r>
      <w:r w:rsidRPr="006008DA">
        <w:t>Förordning (EU) 2016/1011</w:t>
      </w:r>
      <w:r w:rsidRPr="006008DA">
        <w:rPr>
          <w:rStyle w:val="HideTWBExt"/>
          <w:noProof w:val="0"/>
        </w:rPr>
        <w:t>&lt;/DocAmend2&gt;</w:t>
      </w:r>
    </w:p>
    <w:p w14:paraId="4A0C42C7" w14:textId="77777777" w:rsidR="00E276AB" w:rsidRPr="006008DA" w:rsidRDefault="00E276AB" w:rsidP="00E276AB">
      <w:r w:rsidRPr="006008DA">
        <w:rPr>
          <w:rStyle w:val="HideTWBExt"/>
          <w:noProof w:val="0"/>
        </w:rPr>
        <w:t>&lt;Article2&gt;</w:t>
      </w:r>
      <w:r w:rsidRPr="006008DA">
        <w:t>Artikel 3 – punkt 1 – led 23a</w:t>
      </w:r>
      <w:r w:rsidRPr="006008D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3E740C84" w14:textId="77777777" w:rsidTr="005A1857">
        <w:trPr>
          <w:jc w:val="center"/>
        </w:trPr>
        <w:tc>
          <w:tcPr>
            <w:tcW w:w="9752" w:type="dxa"/>
            <w:gridSpan w:val="2"/>
          </w:tcPr>
          <w:p w14:paraId="536AACCD" w14:textId="77777777" w:rsidR="00E276AB" w:rsidRPr="006008DA" w:rsidRDefault="00E276AB" w:rsidP="005A1857">
            <w:pPr>
              <w:keepNext/>
            </w:pPr>
          </w:p>
        </w:tc>
      </w:tr>
      <w:tr w:rsidR="00E276AB" w:rsidRPr="006008DA" w14:paraId="76687E4B" w14:textId="77777777" w:rsidTr="005A1857">
        <w:trPr>
          <w:jc w:val="center"/>
        </w:trPr>
        <w:tc>
          <w:tcPr>
            <w:tcW w:w="4876" w:type="dxa"/>
            <w:hideMark/>
          </w:tcPr>
          <w:p w14:paraId="0510E7D8" w14:textId="77777777" w:rsidR="00E276AB" w:rsidRPr="006008DA" w:rsidRDefault="00E276AB" w:rsidP="005A1857">
            <w:pPr>
              <w:pStyle w:val="ColumnHeading"/>
              <w:keepNext/>
            </w:pPr>
            <w:r w:rsidRPr="006008DA">
              <w:t>Kommissionens förslag</w:t>
            </w:r>
          </w:p>
        </w:tc>
        <w:tc>
          <w:tcPr>
            <w:tcW w:w="4876" w:type="dxa"/>
            <w:hideMark/>
          </w:tcPr>
          <w:p w14:paraId="749AEC4F" w14:textId="77777777" w:rsidR="00E276AB" w:rsidRPr="006008DA" w:rsidRDefault="00E276AB" w:rsidP="005A1857">
            <w:pPr>
              <w:pStyle w:val="ColumnHeading"/>
              <w:keepNext/>
            </w:pPr>
            <w:r w:rsidRPr="006008DA">
              <w:t>Ändringsförslag</w:t>
            </w:r>
          </w:p>
        </w:tc>
      </w:tr>
      <w:tr w:rsidR="00E276AB" w:rsidRPr="006008DA" w14:paraId="366A4A39" w14:textId="77777777" w:rsidTr="005A1857">
        <w:trPr>
          <w:jc w:val="center"/>
        </w:trPr>
        <w:tc>
          <w:tcPr>
            <w:tcW w:w="4876" w:type="dxa"/>
            <w:hideMark/>
          </w:tcPr>
          <w:p w14:paraId="21C1FD28" w14:textId="77777777" w:rsidR="00E276AB" w:rsidRPr="006008DA" w:rsidRDefault="00E276AB" w:rsidP="005A1857">
            <w:pPr>
              <w:pStyle w:val="Normal6"/>
            </w:pPr>
            <w:r w:rsidRPr="006008DA">
              <w:t>(23a)</w:t>
            </w:r>
            <w:r w:rsidRPr="006008DA">
              <w:tab/>
              <w:t xml:space="preserve">referensvärde för </w:t>
            </w:r>
            <w:r w:rsidRPr="006008DA">
              <w:rPr>
                <w:b/>
                <w:i/>
              </w:rPr>
              <w:t>koldioxidsnåla investeringar</w:t>
            </w:r>
            <w:r w:rsidRPr="006008DA">
              <w:t xml:space="preserve">: ett referensvärde där de underliggande tillgångarna, för tillämpningen av led 1 b ii i denna punkt, väljs ut </w:t>
            </w:r>
            <w:r w:rsidRPr="006008DA">
              <w:rPr>
                <w:b/>
                <w:i/>
              </w:rPr>
              <w:t>så att den resulterande referensportföljen har lägre koldioxidutsläpp jämfört med de tillgångar som utgör ett kapitalviktat standardreferensvärde</w:t>
            </w:r>
            <w:r w:rsidRPr="006008DA">
              <w:t>, och som är konstruerat i enlighet med de standarder som fastställs i de delegerade akter som avses i artikel</w:t>
            </w:r>
            <w:r w:rsidRPr="006008DA">
              <w:rPr>
                <w:b/>
                <w:i/>
              </w:rPr>
              <w:t xml:space="preserve"> </w:t>
            </w:r>
            <w:r w:rsidRPr="006008DA">
              <w:t>19a.2.</w:t>
            </w:r>
          </w:p>
        </w:tc>
        <w:tc>
          <w:tcPr>
            <w:tcW w:w="4876" w:type="dxa"/>
            <w:hideMark/>
          </w:tcPr>
          <w:p w14:paraId="2A19AF64" w14:textId="77777777" w:rsidR="00E276AB" w:rsidRPr="006008DA" w:rsidRDefault="00E276AB" w:rsidP="005A1857">
            <w:pPr>
              <w:pStyle w:val="Normal6"/>
              <w:rPr>
                <w:szCs w:val="24"/>
              </w:rPr>
            </w:pPr>
            <w:r w:rsidRPr="006008DA">
              <w:t>(23a)</w:t>
            </w:r>
            <w:r w:rsidRPr="006008DA">
              <w:tab/>
              <w:t xml:space="preserve">referensvärde för </w:t>
            </w:r>
            <w:r w:rsidRPr="006008DA">
              <w:rPr>
                <w:b/>
                <w:i/>
              </w:rPr>
              <w:t>positiv miljöeffekt</w:t>
            </w:r>
            <w:r w:rsidRPr="006008DA">
              <w:t xml:space="preserve">: ett referensvärde där de underliggande tillgångarna, för tillämpningen av led 1 b ii i denna punkt, väljs ut </w:t>
            </w:r>
            <w:r w:rsidRPr="006008DA">
              <w:rPr>
                <w:b/>
                <w:i/>
              </w:rPr>
              <w:t>på grundval av sitt positiva nettomiljöavtryck</w:t>
            </w:r>
            <w:r w:rsidRPr="006008DA">
              <w:t>, och som är konstruerat i enlighet med de standarder som fastställs i de delegerade akter som avses i artikel</w:t>
            </w:r>
            <w:r w:rsidRPr="006008DA">
              <w:rPr>
                <w:b/>
                <w:i/>
              </w:rPr>
              <w:t> </w:t>
            </w:r>
            <w:r w:rsidRPr="006008DA">
              <w:t>19a.2.</w:t>
            </w:r>
          </w:p>
        </w:tc>
      </w:tr>
    </w:tbl>
    <w:p w14:paraId="26AE3DB5" w14:textId="77777777" w:rsidR="00E276AB" w:rsidRPr="006008DA" w:rsidRDefault="00E276AB" w:rsidP="00E276AB">
      <w:r w:rsidRPr="006008DA">
        <w:rPr>
          <w:rStyle w:val="HideTWBExt"/>
          <w:noProof w:val="0"/>
        </w:rPr>
        <w:t>&lt;/Amend&gt;</w:t>
      </w:r>
    </w:p>
    <w:p w14:paraId="058209CC"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18</w:t>
      </w:r>
      <w:r w:rsidRPr="006008DA">
        <w:rPr>
          <w:rStyle w:val="HideTWBExt"/>
          <w:b w:val="0"/>
          <w:noProof w:val="0"/>
        </w:rPr>
        <w:t>&lt;/NumAm&gt;</w:t>
      </w:r>
    </w:p>
    <w:p w14:paraId="68BE7DB2"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6EE90468" w14:textId="77777777" w:rsidR="00E276AB" w:rsidRPr="006008DA" w:rsidRDefault="00E276AB" w:rsidP="00E276AB">
      <w:pPr>
        <w:pStyle w:val="NormalBold"/>
      </w:pPr>
      <w:r w:rsidRPr="006008DA">
        <w:rPr>
          <w:rStyle w:val="HideTWBExt"/>
          <w:b w:val="0"/>
          <w:noProof w:val="0"/>
        </w:rPr>
        <w:t>&lt;Article&gt;</w:t>
      </w:r>
      <w:r w:rsidRPr="006008DA">
        <w:t>Artikel 1 – led 1</w:t>
      </w:r>
      <w:r w:rsidRPr="006008DA">
        <w:rPr>
          <w:rStyle w:val="HideTWBExt"/>
          <w:b w:val="0"/>
          <w:noProof w:val="0"/>
        </w:rPr>
        <w:t>&lt;/Article&gt;</w:t>
      </w:r>
    </w:p>
    <w:p w14:paraId="7C5AF573" w14:textId="77777777" w:rsidR="00E276AB" w:rsidRPr="006008DA" w:rsidRDefault="00E276AB" w:rsidP="00E276AB">
      <w:pPr>
        <w:keepNext/>
      </w:pPr>
      <w:r w:rsidRPr="006008DA">
        <w:rPr>
          <w:rStyle w:val="HideTWBExt"/>
          <w:noProof w:val="0"/>
        </w:rPr>
        <w:t>&lt;DocAmend2&gt;</w:t>
      </w:r>
      <w:r w:rsidRPr="006008DA">
        <w:t>Förordning (EU) 2016/1011</w:t>
      </w:r>
      <w:r w:rsidRPr="006008DA">
        <w:rPr>
          <w:rStyle w:val="HideTWBExt"/>
          <w:noProof w:val="0"/>
        </w:rPr>
        <w:t>&lt;/DocAmend2&gt;</w:t>
      </w:r>
    </w:p>
    <w:p w14:paraId="48873DBB" w14:textId="77777777" w:rsidR="00E276AB" w:rsidRPr="006008DA" w:rsidRDefault="00E276AB" w:rsidP="00E276AB">
      <w:r w:rsidRPr="006008DA">
        <w:rPr>
          <w:rStyle w:val="HideTWBExt"/>
          <w:noProof w:val="0"/>
        </w:rPr>
        <w:t>&lt;Article2&gt;</w:t>
      </w:r>
      <w:r w:rsidRPr="006008DA">
        <w:t>Artikel 3 – punkt 1 – led 23b</w:t>
      </w:r>
      <w:r w:rsidRPr="006008D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5510BFB9" w14:textId="77777777" w:rsidTr="005A1857">
        <w:trPr>
          <w:jc w:val="center"/>
        </w:trPr>
        <w:tc>
          <w:tcPr>
            <w:tcW w:w="9752" w:type="dxa"/>
            <w:gridSpan w:val="2"/>
          </w:tcPr>
          <w:p w14:paraId="0757F9A4" w14:textId="77777777" w:rsidR="00E276AB" w:rsidRPr="006008DA" w:rsidRDefault="00E276AB" w:rsidP="005A1857">
            <w:pPr>
              <w:keepNext/>
            </w:pPr>
          </w:p>
        </w:tc>
      </w:tr>
      <w:tr w:rsidR="00E276AB" w:rsidRPr="006008DA" w14:paraId="5B9131F5" w14:textId="77777777" w:rsidTr="005A1857">
        <w:trPr>
          <w:jc w:val="center"/>
        </w:trPr>
        <w:tc>
          <w:tcPr>
            <w:tcW w:w="4876" w:type="dxa"/>
            <w:hideMark/>
          </w:tcPr>
          <w:p w14:paraId="7E98106B" w14:textId="77777777" w:rsidR="00E276AB" w:rsidRPr="006008DA" w:rsidRDefault="00E276AB" w:rsidP="005A1857">
            <w:pPr>
              <w:pStyle w:val="ColumnHeading"/>
              <w:keepNext/>
            </w:pPr>
            <w:r w:rsidRPr="006008DA">
              <w:t>Kommissionens förslag</w:t>
            </w:r>
          </w:p>
        </w:tc>
        <w:tc>
          <w:tcPr>
            <w:tcW w:w="4876" w:type="dxa"/>
            <w:hideMark/>
          </w:tcPr>
          <w:p w14:paraId="2ABACE83" w14:textId="77777777" w:rsidR="00E276AB" w:rsidRPr="006008DA" w:rsidRDefault="00E276AB" w:rsidP="005A1857">
            <w:pPr>
              <w:pStyle w:val="ColumnHeading"/>
              <w:keepNext/>
            </w:pPr>
            <w:r w:rsidRPr="006008DA">
              <w:t>Ändringsförslag</w:t>
            </w:r>
          </w:p>
        </w:tc>
      </w:tr>
      <w:tr w:rsidR="00E276AB" w:rsidRPr="006008DA" w14:paraId="04182DAA" w14:textId="77777777" w:rsidTr="005A1857">
        <w:trPr>
          <w:jc w:val="center"/>
        </w:trPr>
        <w:tc>
          <w:tcPr>
            <w:tcW w:w="4876" w:type="dxa"/>
            <w:hideMark/>
          </w:tcPr>
          <w:p w14:paraId="6C3670F3" w14:textId="77777777" w:rsidR="00E276AB" w:rsidRPr="006008DA" w:rsidRDefault="00E276AB" w:rsidP="005A1857">
            <w:pPr>
              <w:pStyle w:val="Normal6"/>
            </w:pPr>
            <w:r w:rsidRPr="006008DA">
              <w:rPr>
                <w:b/>
                <w:i/>
              </w:rPr>
              <w:t>(23b)</w:t>
            </w:r>
            <w:r w:rsidRPr="006008DA">
              <w:rPr>
                <w:b/>
                <w:i/>
              </w:rPr>
              <w:tab/>
              <w:t>referensvärde för klimatpositiva investeringar: ett referensvärde där de underliggande tillgångarna, för tillämpningen av led 1 b ii i denna punkt, väljs ut på grundval av att deras koldioxidutsläppsbesparingar överskrider tillgångens koldioxidavtryck, och som är konstruerat i enlighet med de standarder som fastställs i de delegerade akter som avses i artikel 19a.2.</w:t>
            </w:r>
          </w:p>
        </w:tc>
        <w:tc>
          <w:tcPr>
            <w:tcW w:w="4876" w:type="dxa"/>
            <w:hideMark/>
          </w:tcPr>
          <w:p w14:paraId="7F97F829" w14:textId="77777777" w:rsidR="00E276AB" w:rsidRPr="006008DA" w:rsidRDefault="00E276AB" w:rsidP="005A1857">
            <w:pPr>
              <w:pStyle w:val="Normal6"/>
              <w:rPr>
                <w:szCs w:val="24"/>
              </w:rPr>
            </w:pPr>
            <w:r w:rsidRPr="006008DA">
              <w:rPr>
                <w:b/>
                <w:i/>
              </w:rPr>
              <w:t>utgår</w:t>
            </w:r>
          </w:p>
        </w:tc>
      </w:tr>
    </w:tbl>
    <w:p w14:paraId="2E9C9479" w14:textId="77777777" w:rsidR="00E276AB" w:rsidRPr="006008DA" w:rsidRDefault="00E276AB" w:rsidP="00E276AB">
      <w:r w:rsidRPr="006008DA">
        <w:rPr>
          <w:rStyle w:val="HideTWBExt"/>
          <w:noProof w:val="0"/>
        </w:rPr>
        <w:t>&lt;/Amend&gt;</w:t>
      </w:r>
    </w:p>
    <w:p w14:paraId="47F8A4E6"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19</w:t>
      </w:r>
      <w:r w:rsidRPr="006008DA">
        <w:rPr>
          <w:rStyle w:val="HideTWBExt"/>
          <w:b w:val="0"/>
          <w:noProof w:val="0"/>
        </w:rPr>
        <w:t>&lt;/NumAm&gt;</w:t>
      </w:r>
    </w:p>
    <w:p w14:paraId="28DAD536"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6E32414C" w14:textId="77777777" w:rsidR="00E276AB" w:rsidRPr="006008DA" w:rsidRDefault="00E276AB" w:rsidP="00E276AB">
      <w:pPr>
        <w:pStyle w:val="NormalBold"/>
      </w:pPr>
      <w:r w:rsidRPr="006008DA">
        <w:rPr>
          <w:rStyle w:val="HideTWBExt"/>
          <w:b w:val="0"/>
          <w:noProof w:val="0"/>
        </w:rPr>
        <w:t>&lt;Article&gt;</w:t>
      </w:r>
      <w:r w:rsidRPr="006008DA">
        <w:t>Artikel 1 – led 2 – led a</w:t>
      </w:r>
      <w:r w:rsidRPr="006008DA">
        <w:rPr>
          <w:rStyle w:val="HideTWBExt"/>
          <w:b w:val="0"/>
          <w:noProof w:val="0"/>
        </w:rPr>
        <w:t>&lt;/Article&gt;</w:t>
      </w:r>
    </w:p>
    <w:p w14:paraId="18FFE1CB" w14:textId="77777777" w:rsidR="00E276AB" w:rsidRPr="006008DA" w:rsidRDefault="00E276AB" w:rsidP="00E276AB">
      <w:pPr>
        <w:keepNext/>
      </w:pPr>
      <w:r w:rsidRPr="006008DA">
        <w:rPr>
          <w:rStyle w:val="HideTWBExt"/>
          <w:noProof w:val="0"/>
        </w:rPr>
        <w:t>&lt;DocAmend2&gt;</w:t>
      </w:r>
      <w:r w:rsidRPr="006008DA">
        <w:t>Förordning (EU) 2016/1011</w:t>
      </w:r>
      <w:r w:rsidRPr="006008DA">
        <w:rPr>
          <w:rStyle w:val="HideTWBExt"/>
          <w:noProof w:val="0"/>
        </w:rPr>
        <w:t>&lt;/DocAmend2&gt;</w:t>
      </w:r>
    </w:p>
    <w:p w14:paraId="2B85F2DA" w14:textId="77777777" w:rsidR="00E276AB" w:rsidRPr="006008DA" w:rsidRDefault="00E276AB" w:rsidP="00E276AB">
      <w:r w:rsidRPr="006008DA">
        <w:rPr>
          <w:rStyle w:val="HideTWBExt"/>
          <w:noProof w:val="0"/>
        </w:rPr>
        <w:t>&lt;Article2&gt;</w:t>
      </w:r>
      <w:r w:rsidRPr="006008DA">
        <w:t>Artikel 13 – punkt 1 – led d</w:t>
      </w:r>
      <w:r w:rsidRPr="006008D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581C759B" w14:textId="77777777" w:rsidTr="005A1857">
        <w:trPr>
          <w:jc w:val="center"/>
        </w:trPr>
        <w:tc>
          <w:tcPr>
            <w:tcW w:w="9752" w:type="dxa"/>
            <w:gridSpan w:val="2"/>
          </w:tcPr>
          <w:p w14:paraId="4CC26152" w14:textId="77777777" w:rsidR="00E276AB" w:rsidRPr="006008DA" w:rsidRDefault="00E276AB" w:rsidP="005A1857">
            <w:pPr>
              <w:keepNext/>
            </w:pPr>
          </w:p>
        </w:tc>
      </w:tr>
      <w:tr w:rsidR="00E276AB" w:rsidRPr="006008DA" w14:paraId="06639F86" w14:textId="77777777" w:rsidTr="005A1857">
        <w:trPr>
          <w:jc w:val="center"/>
        </w:trPr>
        <w:tc>
          <w:tcPr>
            <w:tcW w:w="4876" w:type="dxa"/>
            <w:hideMark/>
          </w:tcPr>
          <w:p w14:paraId="56D8ADF3" w14:textId="77777777" w:rsidR="00E276AB" w:rsidRPr="006008DA" w:rsidRDefault="00E276AB" w:rsidP="005A1857">
            <w:pPr>
              <w:pStyle w:val="ColumnHeading"/>
              <w:keepNext/>
            </w:pPr>
            <w:r w:rsidRPr="006008DA">
              <w:t>Kommissionens förslag</w:t>
            </w:r>
          </w:p>
        </w:tc>
        <w:tc>
          <w:tcPr>
            <w:tcW w:w="4876" w:type="dxa"/>
            <w:hideMark/>
          </w:tcPr>
          <w:p w14:paraId="519619AB" w14:textId="77777777" w:rsidR="00E276AB" w:rsidRPr="006008DA" w:rsidRDefault="00E276AB" w:rsidP="005A1857">
            <w:pPr>
              <w:pStyle w:val="ColumnHeading"/>
              <w:keepNext/>
            </w:pPr>
            <w:r w:rsidRPr="006008DA">
              <w:t>Ändringsförslag</w:t>
            </w:r>
          </w:p>
        </w:tc>
      </w:tr>
      <w:tr w:rsidR="00E276AB" w:rsidRPr="006008DA" w14:paraId="73727337" w14:textId="77777777" w:rsidTr="005A1857">
        <w:trPr>
          <w:jc w:val="center"/>
        </w:trPr>
        <w:tc>
          <w:tcPr>
            <w:tcW w:w="4876" w:type="dxa"/>
            <w:hideMark/>
          </w:tcPr>
          <w:p w14:paraId="36EB8875" w14:textId="77777777" w:rsidR="00E276AB" w:rsidRPr="006008DA" w:rsidRDefault="00E276AB" w:rsidP="005A1857">
            <w:pPr>
              <w:pStyle w:val="Normal6"/>
            </w:pPr>
            <w:r w:rsidRPr="006008DA">
              <w:t>(d)</w:t>
            </w:r>
            <w:r w:rsidRPr="006008DA">
              <w:tab/>
              <w:t xml:space="preserve">En förklaring av hur metodens nyckelelement enligt led a beaktar faktorer som rör miljö, samhällsansvar och bolagsstyrning (ESG) </w:t>
            </w:r>
            <w:r w:rsidRPr="006008DA">
              <w:rPr>
                <w:b/>
                <w:i/>
              </w:rPr>
              <w:t>för varje referensvärde eller familj av</w:t>
            </w:r>
            <w:r w:rsidRPr="006008DA">
              <w:t xml:space="preserve"> </w:t>
            </w:r>
            <w:r w:rsidRPr="006008DA">
              <w:rPr>
                <w:b/>
                <w:i/>
              </w:rPr>
              <w:t>referensvärden som strävar mot eller tar hänsyn till ESG-mål</w:t>
            </w:r>
            <w:r w:rsidRPr="006008DA">
              <w:t>.</w:t>
            </w:r>
          </w:p>
        </w:tc>
        <w:tc>
          <w:tcPr>
            <w:tcW w:w="4876" w:type="dxa"/>
            <w:hideMark/>
          </w:tcPr>
          <w:p w14:paraId="04DED3DD" w14:textId="77777777" w:rsidR="00E276AB" w:rsidRPr="006008DA" w:rsidRDefault="00E276AB" w:rsidP="005A1857">
            <w:pPr>
              <w:pStyle w:val="Normal6"/>
              <w:rPr>
                <w:szCs w:val="24"/>
              </w:rPr>
            </w:pPr>
            <w:r w:rsidRPr="006008DA">
              <w:t>(d)</w:t>
            </w:r>
            <w:r w:rsidRPr="006008DA">
              <w:tab/>
              <w:t>En förklaring av hur metodens nyckelelement enligt led a beaktar faktorer som rör miljö, samhällsansvar och bolagsstyrning (ESG)</w:t>
            </w:r>
            <w:r w:rsidRPr="006008DA">
              <w:rPr>
                <w:b/>
                <w:i/>
              </w:rPr>
              <w:t>, inbegripet centrala indikatorer</w:t>
            </w:r>
            <w:r w:rsidRPr="006008DA">
              <w:t xml:space="preserve"> </w:t>
            </w:r>
            <w:r w:rsidRPr="006008DA">
              <w:rPr>
                <w:b/>
                <w:i/>
              </w:rPr>
              <w:t>för</w:t>
            </w:r>
            <w:r w:rsidRPr="006008DA">
              <w:t xml:space="preserve"> </w:t>
            </w:r>
            <w:r w:rsidRPr="006008DA">
              <w:rPr>
                <w:b/>
                <w:i/>
              </w:rPr>
              <w:t>cirkulär ekonomi, såsom koldioxidutsläpp, övriga utsläpp, inverkan på den biologiska mångfalden, produktionen</w:t>
            </w:r>
            <w:r w:rsidRPr="006008DA">
              <w:t xml:space="preserve"> </w:t>
            </w:r>
            <w:r w:rsidRPr="006008DA">
              <w:rPr>
                <w:b/>
                <w:i/>
              </w:rPr>
              <w:t>av</w:t>
            </w:r>
            <w:r w:rsidRPr="006008DA">
              <w:t xml:space="preserve"> </w:t>
            </w:r>
            <w:r w:rsidRPr="006008DA">
              <w:rPr>
                <w:b/>
                <w:i/>
              </w:rPr>
              <w:t>avfall samt användningen av energi, förnybar energi, råvaror, vatten och mark, i enlighet med kommissionens övervakningsram för den cirkulära ekonomin</w:t>
            </w:r>
            <w:r w:rsidRPr="006008DA">
              <w:t>.</w:t>
            </w:r>
          </w:p>
        </w:tc>
      </w:tr>
    </w:tbl>
    <w:p w14:paraId="08BAEC16" w14:textId="77777777" w:rsidR="00E276AB" w:rsidRPr="006008DA" w:rsidRDefault="00E276AB" w:rsidP="00E276AB">
      <w:r w:rsidRPr="006008DA">
        <w:rPr>
          <w:rStyle w:val="HideTWBExt"/>
          <w:noProof w:val="0"/>
        </w:rPr>
        <w:t>&lt;/Amend&gt;</w:t>
      </w:r>
    </w:p>
    <w:p w14:paraId="05FFB913"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20</w:t>
      </w:r>
      <w:r w:rsidRPr="006008DA">
        <w:rPr>
          <w:rStyle w:val="HideTWBExt"/>
          <w:b w:val="0"/>
          <w:noProof w:val="0"/>
        </w:rPr>
        <w:t>&lt;/NumAm&gt;</w:t>
      </w:r>
    </w:p>
    <w:p w14:paraId="3E6BC068"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46C11997" w14:textId="77777777" w:rsidR="00E276AB" w:rsidRPr="006008DA" w:rsidRDefault="00E276AB" w:rsidP="00E276AB">
      <w:pPr>
        <w:pStyle w:val="NormalBold"/>
      </w:pPr>
      <w:r w:rsidRPr="006008DA">
        <w:rPr>
          <w:rStyle w:val="HideTWBExt"/>
          <w:b w:val="0"/>
          <w:noProof w:val="0"/>
        </w:rPr>
        <w:t>&lt;Article&gt;</w:t>
      </w:r>
      <w:r w:rsidRPr="006008DA">
        <w:t>Artikel 1 – led 2 – led b</w:t>
      </w:r>
      <w:r w:rsidRPr="006008DA">
        <w:rPr>
          <w:rStyle w:val="HideTWBExt"/>
          <w:b w:val="0"/>
          <w:noProof w:val="0"/>
        </w:rPr>
        <w:t>&lt;/Article&gt;</w:t>
      </w:r>
    </w:p>
    <w:p w14:paraId="78FF9E74" w14:textId="77777777" w:rsidR="00E276AB" w:rsidRPr="006008DA" w:rsidRDefault="00E276AB" w:rsidP="00E276AB">
      <w:pPr>
        <w:keepNext/>
      </w:pPr>
      <w:r w:rsidRPr="006008DA">
        <w:rPr>
          <w:rStyle w:val="HideTWBExt"/>
          <w:noProof w:val="0"/>
        </w:rPr>
        <w:t>&lt;DocAmend2&gt;</w:t>
      </w:r>
      <w:r w:rsidRPr="006008DA">
        <w:t>Förordning (EU) 2016/1011</w:t>
      </w:r>
      <w:r w:rsidRPr="006008DA">
        <w:rPr>
          <w:rStyle w:val="HideTWBExt"/>
          <w:noProof w:val="0"/>
        </w:rPr>
        <w:t>&lt;/DocAmend2&gt;</w:t>
      </w:r>
    </w:p>
    <w:p w14:paraId="016EB7DD" w14:textId="77777777" w:rsidR="00E276AB" w:rsidRPr="006008DA" w:rsidRDefault="00E276AB" w:rsidP="00E276AB">
      <w:r w:rsidRPr="006008DA">
        <w:rPr>
          <w:rStyle w:val="HideTWBExt"/>
          <w:noProof w:val="0"/>
        </w:rPr>
        <w:t>&lt;Article2&gt;</w:t>
      </w:r>
      <w:r w:rsidRPr="006008DA">
        <w:t>Artikel 13 – punkt 2a</w:t>
      </w:r>
      <w:r w:rsidRPr="006008D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2CE0B1E5" w14:textId="77777777" w:rsidTr="005A1857">
        <w:trPr>
          <w:jc w:val="center"/>
        </w:trPr>
        <w:tc>
          <w:tcPr>
            <w:tcW w:w="9752" w:type="dxa"/>
            <w:gridSpan w:val="2"/>
          </w:tcPr>
          <w:p w14:paraId="0F90462C" w14:textId="77777777" w:rsidR="00E276AB" w:rsidRPr="006008DA" w:rsidRDefault="00E276AB" w:rsidP="005A1857">
            <w:pPr>
              <w:keepNext/>
            </w:pPr>
          </w:p>
        </w:tc>
      </w:tr>
      <w:tr w:rsidR="00E276AB" w:rsidRPr="006008DA" w14:paraId="7DD3E49A" w14:textId="77777777" w:rsidTr="005A1857">
        <w:trPr>
          <w:jc w:val="center"/>
        </w:trPr>
        <w:tc>
          <w:tcPr>
            <w:tcW w:w="4876" w:type="dxa"/>
            <w:hideMark/>
          </w:tcPr>
          <w:p w14:paraId="43156E1A" w14:textId="77777777" w:rsidR="00E276AB" w:rsidRPr="006008DA" w:rsidRDefault="00E276AB" w:rsidP="005A1857">
            <w:pPr>
              <w:pStyle w:val="ColumnHeading"/>
              <w:keepNext/>
            </w:pPr>
            <w:r w:rsidRPr="006008DA">
              <w:t>Kommissionens förslag</w:t>
            </w:r>
          </w:p>
        </w:tc>
        <w:tc>
          <w:tcPr>
            <w:tcW w:w="4876" w:type="dxa"/>
            <w:hideMark/>
          </w:tcPr>
          <w:p w14:paraId="282DBDB7" w14:textId="77777777" w:rsidR="00E276AB" w:rsidRPr="006008DA" w:rsidRDefault="00E276AB" w:rsidP="005A1857">
            <w:pPr>
              <w:pStyle w:val="ColumnHeading"/>
              <w:keepNext/>
            </w:pPr>
            <w:r w:rsidRPr="006008DA">
              <w:t>Ändringsförslag</w:t>
            </w:r>
          </w:p>
        </w:tc>
      </w:tr>
      <w:tr w:rsidR="00E276AB" w:rsidRPr="006008DA" w14:paraId="1F410B14" w14:textId="77777777" w:rsidTr="005A1857">
        <w:trPr>
          <w:jc w:val="center"/>
        </w:trPr>
        <w:tc>
          <w:tcPr>
            <w:tcW w:w="4876" w:type="dxa"/>
            <w:hideMark/>
          </w:tcPr>
          <w:p w14:paraId="44F5E0F4" w14:textId="77777777" w:rsidR="00E276AB" w:rsidRPr="006008DA" w:rsidRDefault="00E276AB" w:rsidP="005A1857">
            <w:pPr>
              <w:pStyle w:val="Normal6"/>
            </w:pPr>
            <w:r w:rsidRPr="006008DA">
              <w:t>2a.</w:t>
            </w:r>
            <w:r w:rsidRPr="006008DA">
              <w:tab/>
              <w:t>Kommissionen ska ges befogenhet att anta delegerade akter i enlighet med artikel 49 med avseende på att närmare ange minimiinnehållet i den förklaring som avses i punkt 1 d.</w:t>
            </w:r>
          </w:p>
        </w:tc>
        <w:tc>
          <w:tcPr>
            <w:tcW w:w="4876" w:type="dxa"/>
            <w:hideMark/>
          </w:tcPr>
          <w:p w14:paraId="27C3D7F8" w14:textId="77777777" w:rsidR="00E276AB" w:rsidRPr="006008DA" w:rsidRDefault="00E276AB" w:rsidP="005A1857">
            <w:pPr>
              <w:pStyle w:val="Normal6"/>
              <w:rPr>
                <w:szCs w:val="24"/>
              </w:rPr>
            </w:pPr>
            <w:r w:rsidRPr="006008DA">
              <w:t>2a.</w:t>
            </w:r>
            <w:r w:rsidRPr="006008DA">
              <w:tab/>
              <w:t>Kommissionen ska ges befogenhet att anta delegerade akter i enlighet med artikel 49 med avseende på att närmare ange minimiinnehållet i den förklaring som avses i punkt 1 d</w:t>
            </w:r>
            <w:r w:rsidRPr="006008DA">
              <w:rPr>
                <w:b/>
                <w:i/>
              </w:rPr>
              <w:t>, och uppdatera riktlinjerna om den referensvärdesdeklaration som avses i artikel 27.2a så att den innehåller hänvisningar till ESG och hållbarhetsaspekter</w:t>
            </w:r>
            <w:r w:rsidRPr="006008DA">
              <w:t>.</w:t>
            </w:r>
          </w:p>
        </w:tc>
      </w:tr>
    </w:tbl>
    <w:p w14:paraId="1D52CAC5" w14:textId="77777777" w:rsidR="00E276AB" w:rsidRPr="006008DA" w:rsidRDefault="00E276AB" w:rsidP="00E276AB">
      <w:r w:rsidRPr="006008DA">
        <w:rPr>
          <w:rStyle w:val="HideTWBExt"/>
          <w:noProof w:val="0"/>
        </w:rPr>
        <w:t>&lt;/Amend&gt;</w:t>
      </w:r>
    </w:p>
    <w:p w14:paraId="0C39AC81"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21</w:t>
      </w:r>
      <w:r w:rsidRPr="006008DA">
        <w:rPr>
          <w:rStyle w:val="HideTWBExt"/>
          <w:b w:val="0"/>
          <w:noProof w:val="0"/>
        </w:rPr>
        <w:t>&lt;/NumAm&gt;</w:t>
      </w:r>
    </w:p>
    <w:p w14:paraId="1B9B888A"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38D1C809" w14:textId="77777777" w:rsidR="00E276AB" w:rsidRPr="006008DA" w:rsidRDefault="00E276AB" w:rsidP="00E276AB">
      <w:pPr>
        <w:pStyle w:val="NormalBold"/>
      </w:pPr>
      <w:r w:rsidRPr="006008DA">
        <w:rPr>
          <w:rStyle w:val="HideTWBExt"/>
          <w:b w:val="0"/>
          <w:noProof w:val="0"/>
        </w:rPr>
        <w:t>&lt;Article&gt;</w:t>
      </w:r>
      <w:r w:rsidRPr="006008DA">
        <w:t>Artikel 1 – led 3</w:t>
      </w:r>
      <w:r w:rsidRPr="006008DA">
        <w:rPr>
          <w:rStyle w:val="HideTWBExt"/>
          <w:b w:val="0"/>
          <w:noProof w:val="0"/>
        </w:rPr>
        <w:t>&lt;/Article&gt;</w:t>
      </w:r>
    </w:p>
    <w:p w14:paraId="62F3DA0F" w14:textId="77777777" w:rsidR="00E276AB" w:rsidRPr="006008DA" w:rsidRDefault="00E276AB" w:rsidP="00E276AB">
      <w:pPr>
        <w:keepNext/>
      </w:pPr>
      <w:r w:rsidRPr="006008DA">
        <w:rPr>
          <w:rStyle w:val="HideTWBExt"/>
          <w:noProof w:val="0"/>
        </w:rPr>
        <w:t>&lt;DocAmend2&gt;</w:t>
      </w:r>
      <w:r w:rsidRPr="006008DA">
        <w:t>Förordning (EU) 2016/1011</w:t>
      </w:r>
      <w:r w:rsidRPr="006008DA">
        <w:rPr>
          <w:rStyle w:val="HideTWBExt"/>
          <w:noProof w:val="0"/>
        </w:rPr>
        <w:t>&lt;/DocAmend2&gt;</w:t>
      </w:r>
    </w:p>
    <w:p w14:paraId="400154A8" w14:textId="77777777" w:rsidR="00E276AB" w:rsidRPr="006008DA" w:rsidRDefault="00E276AB" w:rsidP="00E276AB">
      <w:r w:rsidRPr="006008DA">
        <w:rPr>
          <w:rStyle w:val="HideTWBExt"/>
          <w:noProof w:val="0"/>
        </w:rPr>
        <w:t>&lt;Article2&gt;</w:t>
      </w:r>
      <w:r w:rsidRPr="006008DA">
        <w:t>Avdelning VIII – Kapitel 3a – rubriken</w:t>
      </w:r>
      <w:r w:rsidRPr="006008D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02060050" w14:textId="77777777" w:rsidTr="005A1857">
        <w:trPr>
          <w:jc w:val="center"/>
        </w:trPr>
        <w:tc>
          <w:tcPr>
            <w:tcW w:w="9752" w:type="dxa"/>
            <w:gridSpan w:val="2"/>
          </w:tcPr>
          <w:p w14:paraId="0E197764" w14:textId="77777777" w:rsidR="00E276AB" w:rsidRPr="006008DA" w:rsidRDefault="00E276AB" w:rsidP="005A1857">
            <w:pPr>
              <w:keepNext/>
            </w:pPr>
          </w:p>
        </w:tc>
      </w:tr>
      <w:tr w:rsidR="00E276AB" w:rsidRPr="006008DA" w14:paraId="6213C2D2" w14:textId="77777777" w:rsidTr="005A1857">
        <w:trPr>
          <w:jc w:val="center"/>
        </w:trPr>
        <w:tc>
          <w:tcPr>
            <w:tcW w:w="4876" w:type="dxa"/>
            <w:hideMark/>
          </w:tcPr>
          <w:p w14:paraId="3B46AD64" w14:textId="77777777" w:rsidR="00E276AB" w:rsidRPr="006008DA" w:rsidRDefault="00E276AB" w:rsidP="005A1857">
            <w:pPr>
              <w:pStyle w:val="ColumnHeading"/>
              <w:keepNext/>
            </w:pPr>
            <w:r w:rsidRPr="006008DA">
              <w:t>Kommissionens förslag</w:t>
            </w:r>
          </w:p>
        </w:tc>
        <w:tc>
          <w:tcPr>
            <w:tcW w:w="4876" w:type="dxa"/>
            <w:hideMark/>
          </w:tcPr>
          <w:p w14:paraId="2176B53E" w14:textId="77777777" w:rsidR="00E276AB" w:rsidRPr="006008DA" w:rsidRDefault="00E276AB" w:rsidP="005A1857">
            <w:pPr>
              <w:pStyle w:val="ColumnHeading"/>
              <w:keepNext/>
            </w:pPr>
            <w:r w:rsidRPr="006008DA">
              <w:t>Ändringsförslag</w:t>
            </w:r>
          </w:p>
        </w:tc>
      </w:tr>
      <w:tr w:rsidR="00E276AB" w:rsidRPr="006008DA" w14:paraId="42FBF0F1" w14:textId="77777777" w:rsidTr="005A1857">
        <w:trPr>
          <w:jc w:val="center"/>
        </w:trPr>
        <w:tc>
          <w:tcPr>
            <w:tcW w:w="4876" w:type="dxa"/>
            <w:hideMark/>
          </w:tcPr>
          <w:p w14:paraId="2B25CE14" w14:textId="77777777" w:rsidR="00E276AB" w:rsidRPr="006008DA" w:rsidRDefault="00E276AB" w:rsidP="005A1857">
            <w:pPr>
              <w:pStyle w:val="Normal6"/>
            </w:pPr>
            <w:r w:rsidRPr="006008DA">
              <w:t xml:space="preserve">Referensvärden för </w:t>
            </w:r>
            <w:r w:rsidRPr="006008DA">
              <w:rPr>
                <w:b/>
                <w:i/>
              </w:rPr>
              <w:t>koldioxidsnåla och för klimatpositiva investeringar</w:t>
            </w:r>
          </w:p>
        </w:tc>
        <w:tc>
          <w:tcPr>
            <w:tcW w:w="4876" w:type="dxa"/>
            <w:hideMark/>
          </w:tcPr>
          <w:p w14:paraId="645F9C4C" w14:textId="77777777" w:rsidR="00E276AB" w:rsidRPr="006008DA" w:rsidRDefault="00E276AB" w:rsidP="005A1857">
            <w:pPr>
              <w:pStyle w:val="Normal6"/>
              <w:rPr>
                <w:szCs w:val="24"/>
              </w:rPr>
            </w:pPr>
            <w:r w:rsidRPr="006008DA">
              <w:t xml:space="preserve">Referensvärden för </w:t>
            </w:r>
            <w:r w:rsidRPr="006008DA">
              <w:rPr>
                <w:b/>
                <w:i/>
              </w:rPr>
              <w:t>positiv miljöeffekt</w:t>
            </w:r>
          </w:p>
        </w:tc>
      </w:tr>
    </w:tbl>
    <w:p w14:paraId="56572584" w14:textId="77777777" w:rsidR="00E276AB" w:rsidRPr="006008DA" w:rsidRDefault="00E276AB" w:rsidP="00E276AB">
      <w:r w:rsidRPr="006008DA">
        <w:rPr>
          <w:rStyle w:val="HideTWBExt"/>
          <w:noProof w:val="0"/>
        </w:rPr>
        <w:t>&lt;/Amend&gt;</w:t>
      </w:r>
    </w:p>
    <w:p w14:paraId="68471C3B"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22</w:t>
      </w:r>
      <w:r w:rsidRPr="006008DA">
        <w:rPr>
          <w:rStyle w:val="HideTWBExt"/>
          <w:b w:val="0"/>
          <w:noProof w:val="0"/>
        </w:rPr>
        <w:t>&lt;/NumAm&gt;</w:t>
      </w:r>
    </w:p>
    <w:p w14:paraId="0B12F720"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719F4B7B" w14:textId="77777777" w:rsidR="00E276AB" w:rsidRPr="006008DA" w:rsidRDefault="00E276AB" w:rsidP="00E276AB">
      <w:pPr>
        <w:pStyle w:val="NormalBold"/>
      </w:pPr>
      <w:r w:rsidRPr="006008DA">
        <w:rPr>
          <w:rStyle w:val="HideTWBExt"/>
          <w:b w:val="0"/>
          <w:noProof w:val="0"/>
        </w:rPr>
        <w:t>&lt;Article&gt;</w:t>
      </w:r>
      <w:r w:rsidRPr="006008DA">
        <w:t>Artikel 1 – led 3</w:t>
      </w:r>
      <w:r w:rsidRPr="006008DA">
        <w:rPr>
          <w:rStyle w:val="HideTWBExt"/>
          <w:b w:val="0"/>
          <w:noProof w:val="0"/>
        </w:rPr>
        <w:t>&lt;/Article&gt;</w:t>
      </w:r>
    </w:p>
    <w:p w14:paraId="071FAB1E" w14:textId="77777777" w:rsidR="00E276AB" w:rsidRPr="006008DA" w:rsidRDefault="00E276AB" w:rsidP="00E276AB">
      <w:pPr>
        <w:keepNext/>
      </w:pPr>
      <w:r w:rsidRPr="006008DA">
        <w:rPr>
          <w:rStyle w:val="HideTWBExt"/>
          <w:noProof w:val="0"/>
        </w:rPr>
        <w:t>&lt;DocAmend2&gt;</w:t>
      </w:r>
      <w:r w:rsidRPr="006008DA">
        <w:t>Förordning (EU) 2016/1011</w:t>
      </w:r>
      <w:r w:rsidRPr="006008DA">
        <w:rPr>
          <w:rStyle w:val="HideTWBExt"/>
          <w:noProof w:val="0"/>
        </w:rPr>
        <w:t>&lt;/DocAmend2&gt;</w:t>
      </w:r>
    </w:p>
    <w:p w14:paraId="64F45412" w14:textId="77777777" w:rsidR="00E276AB" w:rsidRPr="006008DA" w:rsidRDefault="00E276AB" w:rsidP="00E276AB">
      <w:r w:rsidRPr="006008DA">
        <w:rPr>
          <w:rStyle w:val="HideTWBExt"/>
          <w:noProof w:val="0"/>
        </w:rPr>
        <w:t>&lt;Article2&gt;</w:t>
      </w:r>
      <w:r w:rsidRPr="006008DA">
        <w:t>Artikel 19a – punkt 1</w:t>
      </w:r>
      <w:r w:rsidRPr="006008D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12433551" w14:textId="77777777" w:rsidTr="005A1857">
        <w:trPr>
          <w:jc w:val="center"/>
        </w:trPr>
        <w:tc>
          <w:tcPr>
            <w:tcW w:w="9752" w:type="dxa"/>
            <w:gridSpan w:val="2"/>
          </w:tcPr>
          <w:p w14:paraId="0C4A1CE5" w14:textId="77777777" w:rsidR="00E276AB" w:rsidRPr="006008DA" w:rsidRDefault="00E276AB" w:rsidP="005A1857">
            <w:pPr>
              <w:keepNext/>
            </w:pPr>
          </w:p>
        </w:tc>
      </w:tr>
      <w:tr w:rsidR="00E276AB" w:rsidRPr="006008DA" w14:paraId="1CEF3384" w14:textId="77777777" w:rsidTr="005A1857">
        <w:trPr>
          <w:jc w:val="center"/>
        </w:trPr>
        <w:tc>
          <w:tcPr>
            <w:tcW w:w="4876" w:type="dxa"/>
            <w:hideMark/>
          </w:tcPr>
          <w:p w14:paraId="376119C7" w14:textId="77777777" w:rsidR="00E276AB" w:rsidRPr="006008DA" w:rsidRDefault="00E276AB" w:rsidP="005A1857">
            <w:pPr>
              <w:pStyle w:val="ColumnHeading"/>
              <w:keepNext/>
            </w:pPr>
            <w:r w:rsidRPr="006008DA">
              <w:t>Kommissionens förslag</w:t>
            </w:r>
          </w:p>
        </w:tc>
        <w:tc>
          <w:tcPr>
            <w:tcW w:w="4876" w:type="dxa"/>
            <w:hideMark/>
          </w:tcPr>
          <w:p w14:paraId="2326A75C" w14:textId="77777777" w:rsidR="00E276AB" w:rsidRPr="006008DA" w:rsidRDefault="00E276AB" w:rsidP="005A1857">
            <w:pPr>
              <w:pStyle w:val="ColumnHeading"/>
              <w:keepNext/>
            </w:pPr>
            <w:r w:rsidRPr="006008DA">
              <w:t>Ändringsförslag</w:t>
            </w:r>
          </w:p>
        </w:tc>
      </w:tr>
      <w:tr w:rsidR="00E276AB" w:rsidRPr="006008DA" w14:paraId="67CB4285" w14:textId="77777777" w:rsidTr="005A1857">
        <w:trPr>
          <w:jc w:val="center"/>
        </w:trPr>
        <w:tc>
          <w:tcPr>
            <w:tcW w:w="4876" w:type="dxa"/>
            <w:hideMark/>
          </w:tcPr>
          <w:p w14:paraId="1F98002F" w14:textId="77777777" w:rsidR="00E276AB" w:rsidRPr="006008DA" w:rsidRDefault="00E276AB" w:rsidP="005A1857">
            <w:pPr>
              <w:pStyle w:val="Normal6"/>
            </w:pPr>
            <w:r w:rsidRPr="006008DA">
              <w:t>1.</w:t>
            </w:r>
            <w:r w:rsidRPr="006008DA">
              <w:tab/>
              <w:t xml:space="preserve">Kraven i bilaga III ska, utöver eller som ersättning för kraven i avdelningarna II, III och IV, tillämpas på tillhandahållande av och rapportering i samband med referensvärden för </w:t>
            </w:r>
            <w:r w:rsidRPr="006008DA">
              <w:rPr>
                <w:b/>
                <w:i/>
              </w:rPr>
              <w:t>koldioxidsnåla eller för klimatpositiva investeringar</w:t>
            </w:r>
            <w:r w:rsidRPr="006008DA">
              <w:t>.</w:t>
            </w:r>
          </w:p>
        </w:tc>
        <w:tc>
          <w:tcPr>
            <w:tcW w:w="4876" w:type="dxa"/>
            <w:hideMark/>
          </w:tcPr>
          <w:p w14:paraId="254BCB84" w14:textId="77777777" w:rsidR="00E276AB" w:rsidRPr="006008DA" w:rsidRDefault="00E276AB" w:rsidP="005A1857">
            <w:pPr>
              <w:pStyle w:val="Normal6"/>
              <w:rPr>
                <w:szCs w:val="24"/>
              </w:rPr>
            </w:pPr>
            <w:r w:rsidRPr="006008DA">
              <w:t>1.</w:t>
            </w:r>
            <w:r w:rsidRPr="006008DA">
              <w:tab/>
              <w:t xml:space="preserve">Kraven i bilaga III ska, utöver eller som ersättning för kraven i avdelningarna II, III och IV, tillämpas på tillhandahållande av och rapportering i samband med referensvärden för </w:t>
            </w:r>
            <w:r w:rsidRPr="006008DA">
              <w:rPr>
                <w:b/>
                <w:i/>
              </w:rPr>
              <w:t>positiv miljöeffekt</w:t>
            </w:r>
            <w:r w:rsidRPr="006008DA">
              <w:t>.</w:t>
            </w:r>
          </w:p>
        </w:tc>
      </w:tr>
    </w:tbl>
    <w:p w14:paraId="7BC3D1AA" w14:textId="77777777" w:rsidR="00E276AB" w:rsidRPr="006008DA" w:rsidRDefault="00E276AB" w:rsidP="00E276AB">
      <w:r w:rsidRPr="006008DA">
        <w:rPr>
          <w:rStyle w:val="HideTWBExt"/>
          <w:noProof w:val="0"/>
        </w:rPr>
        <w:t>&lt;/Amend&gt;</w:t>
      </w:r>
    </w:p>
    <w:p w14:paraId="224F4F6F"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23</w:t>
      </w:r>
      <w:r w:rsidRPr="006008DA">
        <w:rPr>
          <w:rStyle w:val="HideTWBExt"/>
          <w:b w:val="0"/>
          <w:noProof w:val="0"/>
        </w:rPr>
        <w:t>&lt;/NumAm&gt;</w:t>
      </w:r>
    </w:p>
    <w:p w14:paraId="57A725B9"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425F003A" w14:textId="77777777" w:rsidR="00E276AB" w:rsidRPr="006008DA" w:rsidRDefault="00E276AB" w:rsidP="00E276AB">
      <w:pPr>
        <w:pStyle w:val="NormalBold"/>
      </w:pPr>
      <w:r w:rsidRPr="006008DA">
        <w:rPr>
          <w:rStyle w:val="HideTWBExt"/>
          <w:b w:val="0"/>
          <w:noProof w:val="0"/>
        </w:rPr>
        <w:t>&lt;Article&gt;</w:t>
      </w:r>
      <w:r w:rsidRPr="006008DA">
        <w:t>Artikel 1 – led 3</w:t>
      </w:r>
      <w:r w:rsidRPr="006008DA">
        <w:rPr>
          <w:rStyle w:val="HideTWBExt"/>
          <w:b w:val="0"/>
          <w:noProof w:val="0"/>
        </w:rPr>
        <w:t>&lt;/Article&gt;</w:t>
      </w:r>
    </w:p>
    <w:p w14:paraId="519878A0" w14:textId="77777777" w:rsidR="00E276AB" w:rsidRPr="006008DA" w:rsidRDefault="00E276AB" w:rsidP="00E276AB">
      <w:pPr>
        <w:keepNext/>
      </w:pPr>
      <w:r w:rsidRPr="006008DA">
        <w:rPr>
          <w:rStyle w:val="HideTWBExt"/>
          <w:noProof w:val="0"/>
        </w:rPr>
        <w:t>&lt;DocAmend2&gt;</w:t>
      </w:r>
      <w:r w:rsidRPr="006008DA">
        <w:t>Förordning (EU) 2016/1011</w:t>
      </w:r>
      <w:r w:rsidRPr="006008DA">
        <w:rPr>
          <w:rStyle w:val="HideTWBExt"/>
          <w:noProof w:val="0"/>
        </w:rPr>
        <w:t>&lt;/DocAmend2&gt;</w:t>
      </w:r>
    </w:p>
    <w:p w14:paraId="61587DDF" w14:textId="77777777" w:rsidR="00E276AB" w:rsidRPr="006008DA" w:rsidRDefault="00E276AB" w:rsidP="00E276AB">
      <w:r w:rsidRPr="006008DA">
        <w:rPr>
          <w:rStyle w:val="HideTWBExt"/>
          <w:noProof w:val="0"/>
        </w:rPr>
        <w:t>&lt;Article2&gt;</w:t>
      </w:r>
      <w:r w:rsidRPr="006008DA">
        <w:t>Artikel 19a – punkt 2 – inledningen</w:t>
      </w:r>
      <w:r w:rsidRPr="006008D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5FFC88AD" w14:textId="77777777" w:rsidTr="005A1857">
        <w:trPr>
          <w:jc w:val="center"/>
        </w:trPr>
        <w:tc>
          <w:tcPr>
            <w:tcW w:w="9752" w:type="dxa"/>
            <w:gridSpan w:val="2"/>
          </w:tcPr>
          <w:p w14:paraId="1AE1B57F" w14:textId="77777777" w:rsidR="00E276AB" w:rsidRPr="006008DA" w:rsidRDefault="00E276AB" w:rsidP="005A1857">
            <w:pPr>
              <w:keepNext/>
            </w:pPr>
          </w:p>
        </w:tc>
      </w:tr>
      <w:tr w:rsidR="00E276AB" w:rsidRPr="006008DA" w14:paraId="1BDBC377" w14:textId="77777777" w:rsidTr="005A1857">
        <w:trPr>
          <w:jc w:val="center"/>
        </w:trPr>
        <w:tc>
          <w:tcPr>
            <w:tcW w:w="4876" w:type="dxa"/>
            <w:hideMark/>
          </w:tcPr>
          <w:p w14:paraId="76142FE2" w14:textId="77777777" w:rsidR="00E276AB" w:rsidRPr="006008DA" w:rsidRDefault="00E276AB" w:rsidP="005A1857">
            <w:pPr>
              <w:pStyle w:val="ColumnHeading"/>
              <w:keepNext/>
            </w:pPr>
            <w:r w:rsidRPr="006008DA">
              <w:t>Kommissionens förslag</w:t>
            </w:r>
          </w:p>
        </w:tc>
        <w:tc>
          <w:tcPr>
            <w:tcW w:w="4876" w:type="dxa"/>
            <w:hideMark/>
          </w:tcPr>
          <w:p w14:paraId="7F7DE589" w14:textId="77777777" w:rsidR="00E276AB" w:rsidRPr="006008DA" w:rsidRDefault="00E276AB" w:rsidP="005A1857">
            <w:pPr>
              <w:pStyle w:val="ColumnHeading"/>
              <w:keepNext/>
            </w:pPr>
            <w:r w:rsidRPr="006008DA">
              <w:t>Ändringsförslag</w:t>
            </w:r>
          </w:p>
        </w:tc>
      </w:tr>
      <w:tr w:rsidR="00E276AB" w:rsidRPr="006008DA" w14:paraId="6737A6BD" w14:textId="77777777" w:rsidTr="005A1857">
        <w:trPr>
          <w:jc w:val="center"/>
        </w:trPr>
        <w:tc>
          <w:tcPr>
            <w:tcW w:w="4876" w:type="dxa"/>
            <w:hideMark/>
          </w:tcPr>
          <w:p w14:paraId="58E66819" w14:textId="77777777" w:rsidR="00E276AB" w:rsidRPr="006008DA" w:rsidRDefault="00E276AB" w:rsidP="005A1857">
            <w:pPr>
              <w:pStyle w:val="Normal6"/>
            </w:pPr>
            <w:r w:rsidRPr="006008DA">
              <w:t>2.</w:t>
            </w:r>
            <w:r w:rsidRPr="006008DA">
              <w:tab/>
              <w:t xml:space="preserve">Kommissionen ska ges befogenhet att anta delegerade akter i enlighet med artikel 49 med avseende på att närmare ange minimistandarder för referensvärden för </w:t>
            </w:r>
            <w:r w:rsidRPr="006008DA">
              <w:rPr>
                <w:b/>
                <w:i/>
              </w:rPr>
              <w:t>koldioxidsnåla och för klimatpositiva investeringar</w:t>
            </w:r>
            <w:r w:rsidRPr="006008DA">
              <w:t>, däribland följande:</w:t>
            </w:r>
          </w:p>
        </w:tc>
        <w:tc>
          <w:tcPr>
            <w:tcW w:w="4876" w:type="dxa"/>
            <w:hideMark/>
          </w:tcPr>
          <w:p w14:paraId="1A3465F2" w14:textId="77777777" w:rsidR="00E276AB" w:rsidRPr="006008DA" w:rsidRDefault="00E276AB" w:rsidP="005A1857">
            <w:pPr>
              <w:pStyle w:val="Normal6"/>
              <w:rPr>
                <w:szCs w:val="24"/>
              </w:rPr>
            </w:pPr>
            <w:r w:rsidRPr="006008DA">
              <w:t>2.</w:t>
            </w:r>
            <w:r w:rsidRPr="006008DA">
              <w:tab/>
              <w:t xml:space="preserve">Kommissionen ska ges befogenhet att anta delegerade akter i enlighet med artikel 49 med avseende på att närmare ange minimistandarder för referensvärden för </w:t>
            </w:r>
            <w:r w:rsidRPr="006008DA">
              <w:rPr>
                <w:b/>
                <w:i/>
              </w:rPr>
              <w:t>positiv miljöeffekt i överensstämmelse med åtagandena i Parisavtalet, såsom de har genomförts i unionsrätten</w:t>
            </w:r>
            <w:r w:rsidRPr="006008DA">
              <w:t>, däribland följande:</w:t>
            </w:r>
          </w:p>
        </w:tc>
      </w:tr>
    </w:tbl>
    <w:p w14:paraId="5D0498D8" w14:textId="77777777" w:rsidR="00E276AB" w:rsidRPr="006008DA" w:rsidRDefault="00E276AB" w:rsidP="00E276AB">
      <w:r w:rsidRPr="006008DA">
        <w:rPr>
          <w:rStyle w:val="HideTWBExt"/>
          <w:noProof w:val="0"/>
        </w:rPr>
        <w:t>&lt;/Amend&gt;</w:t>
      </w:r>
    </w:p>
    <w:p w14:paraId="14687DCC"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24</w:t>
      </w:r>
      <w:r w:rsidRPr="006008DA">
        <w:rPr>
          <w:rStyle w:val="HideTWBExt"/>
          <w:b w:val="0"/>
          <w:noProof w:val="0"/>
        </w:rPr>
        <w:t>&lt;/NumAm&gt;</w:t>
      </w:r>
    </w:p>
    <w:p w14:paraId="07AEC119"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56328238" w14:textId="77777777" w:rsidR="00E276AB" w:rsidRPr="006008DA" w:rsidRDefault="00E276AB" w:rsidP="00E276AB">
      <w:pPr>
        <w:pStyle w:val="NormalBold"/>
      </w:pPr>
      <w:r w:rsidRPr="006008DA">
        <w:rPr>
          <w:rStyle w:val="HideTWBExt"/>
          <w:b w:val="0"/>
          <w:noProof w:val="0"/>
        </w:rPr>
        <w:t>&lt;Article&gt;</w:t>
      </w:r>
      <w:r w:rsidRPr="006008DA">
        <w:t>Artikel 1 – led 3</w:t>
      </w:r>
      <w:r w:rsidRPr="006008DA">
        <w:rPr>
          <w:rStyle w:val="HideTWBExt"/>
          <w:b w:val="0"/>
          <w:noProof w:val="0"/>
        </w:rPr>
        <w:t>&lt;/Article&gt;</w:t>
      </w:r>
    </w:p>
    <w:p w14:paraId="6ABA89A4" w14:textId="77777777" w:rsidR="00E276AB" w:rsidRPr="006008DA" w:rsidRDefault="00E276AB" w:rsidP="00E276AB">
      <w:pPr>
        <w:keepNext/>
      </w:pPr>
      <w:r w:rsidRPr="006008DA">
        <w:rPr>
          <w:rStyle w:val="HideTWBExt"/>
          <w:noProof w:val="0"/>
        </w:rPr>
        <w:t>&lt;DocAmend2&gt;</w:t>
      </w:r>
      <w:r w:rsidRPr="006008DA">
        <w:t>Förordning (EU) 2016/1011</w:t>
      </w:r>
      <w:r w:rsidRPr="006008DA">
        <w:rPr>
          <w:rStyle w:val="HideTWBExt"/>
          <w:noProof w:val="0"/>
        </w:rPr>
        <w:t>&lt;/DocAmend2&gt;</w:t>
      </w:r>
    </w:p>
    <w:p w14:paraId="113F369E" w14:textId="77777777" w:rsidR="00E276AB" w:rsidRPr="006008DA" w:rsidRDefault="00E276AB" w:rsidP="00E276AB">
      <w:r w:rsidRPr="006008DA">
        <w:rPr>
          <w:rStyle w:val="HideTWBExt"/>
          <w:noProof w:val="0"/>
        </w:rPr>
        <w:t>&lt;Article2&gt;</w:t>
      </w:r>
      <w:r w:rsidRPr="006008DA">
        <w:t>Artikel 19a – punkt 2 – led c</w:t>
      </w:r>
      <w:r w:rsidRPr="006008D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5CE84BC3" w14:textId="77777777" w:rsidTr="005A1857">
        <w:trPr>
          <w:jc w:val="center"/>
        </w:trPr>
        <w:tc>
          <w:tcPr>
            <w:tcW w:w="9752" w:type="dxa"/>
            <w:gridSpan w:val="2"/>
          </w:tcPr>
          <w:p w14:paraId="411EFD4D" w14:textId="77777777" w:rsidR="00E276AB" w:rsidRPr="006008DA" w:rsidRDefault="00E276AB" w:rsidP="005A1857">
            <w:pPr>
              <w:keepNext/>
            </w:pPr>
          </w:p>
        </w:tc>
      </w:tr>
      <w:tr w:rsidR="00E276AB" w:rsidRPr="006008DA" w14:paraId="03FCD8D4" w14:textId="77777777" w:rsidTr="005A1857">
        <w:trPr>
          <w:jc w:val="center"/>
        </w:trPr>
        <w:tc>
          <w:tcPr>
            <w:tcW w:w="4876" w:type="dxa"/>
            <w:hideMark/>
          </w:tcPr>
          <w:p w14:paraId="56AF5B0B" w14:textId="77777777" w:rsidR="00E276AB" w:rsidRPr="006008DA" w:rsidRDefault="00E276AB" w:rsidP="005A1857">
            <w:pPr>
              <w:pStyle w:val="ColumnHeading"/>
              <w:keepNext/>
            </w:pPr>
            <w:r w:rsidRPr="006008DA">
              <w:t>Kommissionens förslag</w:t>
            </w:r>
          </w:p>
        </w:tc>
        <w:tc>
          <w:tcPr>
            <w:tcW w:w="4876" w:type="dxa"/>
            <w:hideMark/>
          </w:tcPr>
          <w:p w14:paraId="2044A1B8" w14:textId="77777777" w:rsidR="00E276AB" w:rsidRPr="006008DA" w:rsidRDefault="00E276AB" w:rsidP="005A1857">
            <w:pPr>
              <w:pStyle w:val="ColumnHeading"/>
              <w:keepNext/>
            </w:pPr>
            <w:r w:rsidRPr="006008DA">
              <w:t>Ändringsförslag</w:t>
            </w:r>
          </w:p>
        </w:tc>
      </w:tr>
      <w:tr w:rsidR="00E276AB" w:rsidRPr="006008DA" w14:paraId="69D90665" w14:textId="77777777" w:rsidTr="005A1857">
        <w:trPr>
          <w:jc w:val="center"/>
        </w:trPr>
        <w:tc>
          <w:tcPr>
            <w:tcW w:w="4876" w:type="dxa"/>
            <w:hideMark/>
          </w:tcPr>
          <w:p w14:paraId="1616ED59" w14:textId="77777777" w:rsidR="00E276AB" w:rsidRPr="006008DA" w:rsidRDefault="00E276AB" w:rsidP="005A1857">
            <w:pPr>
              <w:pStyle w:val="Normal6"/>
            </w:pPr>
            <w:r w:rsidRPr="006008DA">
              <w:t>(c)</w:t>
            </w:r>
            <w:r w:rsidRPr="006008DA">
              <w:tab/>
              <w:t xml:space="preserve">Metoden för beräkning av </w:t>
            </w:r>
            <w:r w:rsidRPr="006008DA">
              <w:rPr>
                <w:b/>
                <w:i/>
              </w:rPr>
              <w:t xml:space="preserve">de </w:t>
            </w:r>
            <w:r w:rsidRPr="006008DA">
              <w:t xml:space="preserve">koldioxidutsläpp </w:t>
            </w:r>
            <w:r w:rsidRPr="006008DA">
              <w:rPr>
                <w:b/>
                <w:i/>
              </w:rPr>
              <w:t>och</w:t>
            </w:r>
            <w:r w:rsidRPr="006008DA">
              <w:t xml:space="preserve"> </w:t>
            </w:r>
            <w:r w:rsidRPr="006008DA">
              <w:rPr>
                <w:b/>
                <w:i/>
              </w:rPr>
              <w:t>koldioxidbesparingar</w:t>
            </w:r>
            <w:r w:rsidRPr="006008DA">
              <w:t xml:space="preserve"> som </w:t>
            </w:r>
            <w:r w:rsidRPr="006008DA">
              <w:rPr>
                <w:b/>
                <w:i/>
              </w:rPr>
              <w:t>är kopplade</w:t>
            </w:r>
            <w:r w:rsidRPr="006008DA">
              <w:t xml:space="preserve"> till de underliggande tillgångarna.</w:t>
            </w:r>
          </w:p>
        </w:tc>
        <w:tc>
          <w:tcPr>
            <w:tcW w:w="4876" w:type="dxa"/>
            <w:hideMark/>
          </w:tcPr>
          <w:p w14:paraId="089C28E1" w14:textId="77777777" w:rsidR="00E276AB" w:rsidRPr="006008DA" w:rsidRDefault="00E276AB" w:rsidP="005A1857">
            <w:pPr>
              <w:pStyle w:val="Normal6"/>
              <w:rPr>
                <w:szCs w:val="24"/>
              </w:rPr>
            </w:pPr>
            <w:r w:rsidRPr="006008DA">
              <w:t>(c)</w:t>
            </w:r>
            <w:r w:rsidRPr="006008DA">
              <w:tab/>
              <w:t>Metoden för beräkning av koldioxidutsläpp</w:t>
            </w:r>
            <w:r w:rsidRPr="006008DA">
              <w:rPr>
                <w:b/>
                <w:i/>
              </w:rPr>
              <w:t>, övriga utsläpp, inverkan på den biologiska mångfalden, produktionen av avfall</w:t>
            </w:r>
            <w:r w:rsidRPr="006008DA">
              <w:t xml:space="preserve"> </w:t>
            </w:r>
            <w:r w:rsidRPr="006008DA">
              <w:rPr>
                <w:b/>
                <w:i/>
              </w:rPr>
              <w:t>och</w:t>
            </w:r>
            <w:r w:rsidRPr="006008DA">
              <w:t xml:space="preserve"> </w:t>
            </w:r>
            <w:r w:rsidRPr="006008DA">
              <w:rPr>
                <w:b/>
                <w:i/>
              </w:rPr>
              <w:t>användningen av energi, förnybar energi, råvaror, vatten och mark</w:t>
            </w:r>
            <w:r w:rsidRPr="006008DA">
              <w:t xml:space="preserve"> som </w:t>
            </w:r>
            <w:r w:rsidRPr="006008DA">
              <w:rPr>
                <w:b/>
                <w:i/>
              </w:rPr>
              <w:t>kan kopplas</w:t>
            </w:r>
            <w:r w:rsidRPr="006008DA">
              <w:t xml:space="preserve"> till de underliggande tillgångarna.</w:t>
            </w:r>
          </w:p>
        </w:tc>
      </w:tr>
    </w:tbl>
    <w:p w14:paraId="45D7358B" w14:textId="77777777" w:rsidR="00E276AB" w:rsidRPr="006008DA" w:rsidRDefault="00E276AB" w:rsidP="00E276AB">
      <w:r w:rsidRPr="006008DA">
        <w:rPr>
          <w:rStyle w:val="HideTWBExt"/>
          <w:noProof w:val="0"/>
        </w:rPr>
        <w:t>&lt;/Amend&gt;</w:t>
      </w:r>
    </w:p>
    <w:p w14:paraId="6C2E0211"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25</w:t>
      </w:r>
      <w:r w:rsidRPr="006008DA">
        <w:rPr>
          <w:rStyle w:val="HideTWBExt"/>
          <w:b w:val="0"/>
          <w:noProof w:val="0"/>
        </w:rPr>
        <w:t>&lt;/NumAm&gt;</w:t>
      </w:r>
    </w:p>
    <w:p w14:paraId="3C122795"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1F855E11" w14:textId="77777777" w:rsidR="00E276AB" w:rsidRPr="006008DA" w:rsidRDefault="00E276AB" w:rsidP="00E276AB">
      <w:pPr>
        <w:pStyle w:val="NormalBold"/>
      </w:pPr>
      <w:r w:rsidRPr="006008DA">
        <w:rPr>
          <w:rStyle w:val="HideTWBExt"/>
          <w:b w:val="0"/>
          <w:noProof w:val="0"/>
        </w:rPr>
        <w:t>&lt;Article&gt;</w:t>
      </w:r>
      <w:r w:rsidRPr="006008DA">
        <w:t>Artikel 1 – led 4</w:t>
      </w:r>
      <w:r w:rsidRPr="006008DA">
        <w:rPr>
          <w:rStyle w:val="HideTWBExt"/>
          <w:b w:val="0"/>
          <w:noProof w:val="0"/>
        </w:rPr>
        <w:t>&lt;/Article&gt;</w:t>
      </w:r>
    </w:p>
    <w:p w14:paraId="5A766AF8" w14:textId="77777777" w:rsidR="00E276AB" w:rsidRPr="006008DA" w:rsidRDefault="00E276AB" w:rsidP="00E276AB">
      <w:pPr>
        <w:keepNext/>
      </w:pPr>
      <w:r w:rsidRPr="006008DA">
        <w:rPr>
          <w:rStyle w:val="HideTWBExt"/>
          <w:noProof w:val="0"/>
        </w:rPr>
        <w:t>&lt;DocAmend2&gt;</w:t>
      </w:r>
      <w:r w:rsidRPr="006008DA">
        <w:t>Förordning (EU) 2016/1011</w:t>
      </w:r>
      <w:r w:rsidRPr="006008DA">
        <w:rPr>
          <w:rStyle w:val="HideTWBExt"/>
          <w:noProof w:val="0"/>
        </w:rPr>
        <w:t>&lt;/DocAmend2&gt;</w:t>
      </w:r>
    </w:p>
    <w:p w14:paraId="0BF2A029" w14:textId="77777777" w:rsidR="00E276AB" w:rsidRPr="006008DA" w:rsidRDefault="00E276AB" w:rsidP="00E276AB">
      <w:r w:rsidRPr="006008DA">
        <w:rPr>
          <w:rStyle w:val="HideTWBExt"/>
          <w:noProof w:val="0"/>
        </w:rPr>
        <w:t>&lt;Article2&gt;</w:t>
      </w:r>
      <w:r w:rsidRPr="006008DA">
        <w:t>Artikel 27 – punkt 2a</w:t>
      </w:r>
      <w:r w:rsidRPr="006008D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20B6EE43" w14:textId="77777777" w:rsidTr="005A1857">
        <w:trPr>
          <w:jc w:val="center"/>
        </w:trPr>
        <w:tc>
          <w:tcPr>
            <w:tcW w:w="9752" w:type="dxa"/>
            <w:gridSpan w:val="2"/>
          </w:tcPr>
          <w:p w14:paraId="75F7063B" w14:textId="77777777" w:rsidR="00E276AB" w:rsidRPr="006008DA" w:rsidRDefault="00E276AB" w:rsidP="005A1857">
            <w:pPr>
              <w:keepNext/>
            </w:pPr>
          </w:p>
        </w:tc>
      </w:tr>
      <w:tr w:rsidR="00E276AB" w:rsidRPr="006008DA" w14:paraId="28C55A6A" w14:textId="77777777" w:rsidTr="005A1857">
        <w:trPr>
          <w:jc w:val="center"/>
        </w:trPr>
        <w:tc>
          <w:tcPr>
            <w:tcW w:w="4876" w:type="dxa"/>
            <w:hideMark/>
          </w:tcPr>
          <w:p w14:paraId="24DF3850" w14:textId="77777777" w:rsidR="00E276AB" w:rsidRPr="006008DA" w:rsidRDefault="00E276AB" w:rsidP="005A1857">
            <w:pPr>
              <w:pStyle w:val="ColumnHeading"/>
              <w:keepNext/>
            </w:pPr>
            <w:r w:rsidRPr="006008DA">
              <w:t>Kommissionens förslag</w:t>
            </w:r>
          </w:p>
        </w:tc>
        <w:tc>
          <w:tcPr>
            <w:tcW w:w="4876" w:type="dxa"/>
            <w:hideMark/>
          </w:tcPr>
          <w:p w14:paraId="228022D7" w14:textId="77777777" w:rsidR="00E276AB" w:rsidRPr="006008DA" w:rsidRDefault="00E276AB" w:rsidP="005A1857">
            <w:pPr>
              <w:pStyle w:val="ColumnHeading"/>
              <w:keepNext/>
            </w:pPr>
            <w:r w:rsidRPr="006008DA">
              <w:t>Ändringsförslag</w:t>
            </w:r>
          </w:p>
        </w:tc>
      </w:tr>
      <w:tr w:rsidR="00E276AB" w:rsidRPr="006008DA" w14:paraId="2B1217E2" w14:textId="77777777" w:rsidTr="005A1857">
        <w:trPr>
          <w:jc w:val="center"/>
        </w:trPr>
        <w:tc>
          <w:tcPr>
            <w:tcW w:w="4876" w:type="dxa"/>
            <w:hideMark/>
          </w:tcPr>
          <w:p w14:paraId="362A52D9" w14:textId="77777777" w:rsidR="00E276AB" w:rsidRPr="006008DA" w:rsidRDefault="00E276AB" w:rsidP="005A1857">
            <w:pPr>
              <w:pStyle w:val="Normal6"/>
            </w:pPr>
            <w:r w:rsidRPr="006008DA">
              <w:t>2a.</w:t>
            </w:r>
            <w:r w:rsidRPr="006008DA">
              <w:tab/>
              <w:t>För varje krav enligt punkt 2 ska en referensvärdesdeklaration innehålla en förklaring av hur faktorer som rör miljö, samhällsansvar och bolagsstyrning (ESG) beaktas för varje referensvärde eller familj av referensvärden som tillhandahålls och offentliggörs</w:t>
            </w:r>
            <w:r w:rsidRPr="006008DA">
              <w:rPr>
                <w:b/>
                <w:i/>
              </w:rPr>
              <w:t>, och som strävar mot eller tar hänsyn till ESG-mål</w:t>
            </w:r>
            <w:r w:rsidRPr="006008DA">
              <w:t>.</w:t>
            </w:r>
          </w:p>
        </w:tc>
        <w:tc>
          <w:tcPr>
            <w:tcW w:w="4876" w:type="dxa"/>
            <w:hideMark/>
          </w:tcPr>
          <w:p w14:paraId="10B92D78" w14:textId="77777777" w:rsidR="00E276AB" w:rsidRPr="006008DA" w:rsidRDefault="00E276AB" w:rsidP="005A1857">
            <w:pPr>
              <w:pStyle w:val="Normal6"/>
              <w:rPr>
                <w:szCs w:val="24"/>
              </w:rPr>
            </w:pPr>
            <w:r w:rsidRPr="006008DA">
              <w:t>2a.</w:t>
            </w:r>
            <w:r w:rsidRPr="006008DA">
              <w:tab/>
              <w:t>För varje krav enligt punkt 2 ska en referensvärdesdeklaration innehålla en förklaring av hur faktorer som rör miljö, samhällsansvar och bolagsstyrning (ESG) beaktas för varje referensvärde eller familj av referensvärden som tillhandahålls och offentliggörs.</w:t>
            </w:r>
          </w:p>
        </w:tc>
      </w:tr>
    </w:tbl>
    <w:p w14:paraId="702AF0EC" w14:textId="77777777" w:rsidR="00E276AB" w:rsidRPr="006008DA" w:rsidRDefault="00E276AB" w:rsidP="00E276AB">
      <w:r w:rsidRPr="006008DA">
        <w:rPr>
          <w:rStyle w:val="HideTWBExt"/>
          <w:noProof w:val="0"/>
        </w:rPr>
        <w:t>&lt;/Amend&gt;</w:t>
      </w:r>
    </w:p>
    <w:p w14:paraId="3A6973F0"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26</w:t>
      </w:r>
      <w:r w:rsidRPr="006008DA">
        <w:rPr>
          <w:rStyle w:val="HideTWBExt"/>
          <w:b w:val="0"/>
          <w:noProof w:val="0"/>
        </w:rPr>
        <w:t>&lt;/NumAm&gt;</w:t>
      </w:r>
    </w:p>
    <w:p w14:paraId="7A918EBB"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3D1DA640" w14:textId="77777777" w:rsidR="00E276AB" w:rsidRPr="006008DA" w:rsidRDefault="00E276AB" w:rsidP="00E276AB">
      <w:pPr>
        <w:pStyle w:val="NormalBold"/>
      </w:pPr>
      <w:r w:rsidRPr="006008DA">
        <w:rPr>
          <w:rStyle w:val="HideTWBExt"/>
          <w:b w:val="0"/>
          <w:noProof w:val="0"/>
        </w:rPr>
        <w:t>&lt;Article&gt;</w:t>
      </w:r>
      <w:r w:rsidRPr="006008DA">
        <w:t>Artikel 1 – led 4</w:t>
      </w:r>
      <w:r w:rsidRPr="006008DA">
        <w:rPr>
          <w:rStyle w:val="HideTWBExt"/>
          <w:b w:val="0"/>
          <w:noProof w:val="0"/>
        </w:rPr>
        <w:t>&lt;/Article&gt;</w:t>
      </w:r>
    </w:p>
    <w:p w14:paraId="357FCB14" w14:textId="77777777" w:rsidR="00E276AB" w:rsidRPr="006008DA" w:rsidRDefault="00E276AB" w:rsidP="00E276AB">
      <w:pPr>
        <w:keepNext/>
      </w:pPr>
      <w:r w:rsidRPr="006008DA">
        <w:rPr>
          <w:rStyle w:val="HideTWBExt"/>
          <w:noProof w:val="0"/>
        </w:rPr>
        <w:t>&lt;DocAmend2&gt;</w:t>
      </w:r>
      <w:r w:rsidRPr="006008DA">
        <w:t>Förordning (EU) 2016/1011</w:t>
      </w:r>
      <w:r w:rsidRPr="006008DA">
        <w:rPr>
          <w:rStyle w:val="HideTWBExt"/>
          <w:noProof w:val="0"/>
        </w:rPr>
        <w:t>&lt;/DocAmend2&gt;</w:t>
      </w:r>
    </w:p>
    <w:p w14:paraId="029E9257" w14:textId="77777777" w:rsidR="00E276AB" w:rsidRPr="006008DA" w:rsidRDefault="00E276AB" w:rsidP="00E276AB">
      <w:r w:rsidRPr="006008DA">
        <w:rPr>
          <w:rStyle w:val="HideTWBExt"/>
          <w:noProof w:val="0"/>
        </w:rPr>
        <w:t>&lt;Article2&gt;</w:t>
      </w:r>
      <w:r w:rsidRPr="006008DA">
        <w:t>Artikel 27 – punkt 2b</w:t>
      </w:r>
      <w:r w:rsidRPr="006008DA">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529D0F7E" w14:textId="77777777" w:rsidTr="005A1857">
        <w:trPr>
          <w:jc w:val="center"/>
        </w:trPr>
        <w:tc>
          <w:tcPr>
            <w:tcW w:w="9752" w:type="dxa"/>
            <w:gridSpan w:val="2"/>
          </w:tcPr>
          <w:p w14:paraId="1860BF71" w14:textId="77777777" w:rsidR="00E276AB" w:rsidRPr="006008DA" w:rsidRDefault="00E276AB" w:rsidP="005A1857">
            <w:pPr>
              <w:keepNext/>
            </w:pPr>
          </w:p>
        </w:tc>
      </w:tr>
      <w:tr w:rsidR="00E276AB" w:rsidRPr="006008DA" w14:paraId="76EB76B6" w14:textId="77777777" w:rsidTr="005A1857">
        <w:trPr>
          <w:jc w:val="center"/>
        </w:trPr>
        <w:tc>
          <w:tcPr>
            <w:tcW w:w="4876" w:type="dxa"/>
            <w:hideMark/>
          </w:tcPr>
          <w:p w14:paraId="6E684384" w14:textId="77777777" w:rsidR="00E276AB" w:rsidRPr="006008DA" w:rsidRDefault="00E276AB" w:rsidP="005A1857">
            <w:pPr>
              <w:pStyle w:val="ColumnHeading"/>
              <w:keepNext/>
            </w:pPr>
            <w:r w:rsidRPr="006008DA">
              <w:t>Kommissionens förslag</w:t>
            </w:r>
          </w:p>
        </w:tc>
        <w:tc>
          <w:tcPr>
            <w:tcW w:w="4876" w:type="dxa"/>
            <w:hideMark/>
          </w:tcPr>
          <w:p w14:paraId="30F30AA0" w14:textId="77777777" w:rsidR="00E276AB" w:rsidRPr="006008DA" w:rsidRDefault="00E276AB" w:rsidP="005A1857">
            <w:pPr>
              <w:pStyle w:val="ColumnHeading"/>
              <w:keepNext/>
            </w:pPr>
            <w:r w:rsidRPr="006008DA">
              <w:t>Ändringsförslag</w:t>
            </w:r>
          </w:p>
        </w:tc>
      </w:tr>
      <w:tr w:rsidR="00E276AB" w:rsidRPr="006008DA" w14:paraId="0C7FA375" w14:textId="77777777" w:rsidTr="005A1857">
        <w:trPr>
          <w:jc w:val="center"/>
        </w:trPr>
        <w:tc>
          <w:tcPr>
            <w:tcW w:w="4876" w:type="dxa"/>
            <w:hideMark/>
          </w:tcPr>
          <w:p w14:paraId="4236151C" w14:textId="77777777" w:rsidR="00E276AB" w:rsidRPr="006008DA" w:rsidRDefault="00E276AB" w:rsidP="005A1857">
            <w:pPr>
              <w:pStyle w:val="Normal6"/>
            </w:pPr>
            <w:r w:rsidRPr="006008DA">
              <w:t>2b.</w:t>
            </w:r>
            <w:r w:rsidRPr="006008DA">
              <w:tab/>
              <w:t>Kommissionen ska ges befogenhet att anta delegerade akter i enlighet med artikel 49 med avseende på att närmare ange den information som avses i punkt 2a.</w:t>
            </w:r>
          </w:p>
        </w:tc>
        <w:tc>
          <w:tcPr>
            <w:tcW w:w="4876" w:type="dxa"/>
            <w:hideMark/>
          </w:tcPr>
          <w:p w14:paraId="2FD4A9B7" w14:textId="77777777" w:rsidR="00E276AB" w:rsidRPr="006008DA" w:rsidRDefault="00E276AB" w:rsidP="005A1857">
            <w:pPr>
              <w:pStyle w:val="Normal6"/>
              <w:rPr>
                <w:szCs w:val="24"/>
              </w:rPr>
            </w:pPr>
            <w:r w:rsidRPr="006008DA">
              <w:t>2b.</w:t>
            </w:r>
            <w:r w:rsidRPr="006008DA">
              <w:tab/>
              <w:t>Kommissionen ska ges befogenhet att anta delegerade akter i enlighet med artikel 49 med avseende på att närmare ange den information som avses i punkt 2a</w:t>
            </w:r>
            <w:r w:rsidRPr="006008DA">
              <w:rPr>
                <w:b/>
                <w:i/>
              </w:rPr>
              <w:t>, och uppdatera riktlinjerna om referensvärdesdeklarationen så att den innehåller hänvisningar till ESG och hållbarhetsaspekter</w:t>
            </w:r>
            <w:r w:rsidRPr="006008DA">
              <w:t>.</w:t>
            </w:r>
          </w:p>
        </w:tc>
      </w:tr>
    </w:tbl>
    <w:p w14:paraId="17AE680B" w14:textId="77777777" w:rsidR="00E276AB" w:rsidRPr="006008DA" w:rsidRDefault="00E276AB" w:rsidP="00E276AB">
      <w:r w:rsidRPr="006008DA">
        <w:rPr>
          <w:rStyle w:val="HideTWBExt"/>
          <w:noProof w:val="0"/>
        </w:rPr>
        <w:t>&lt;/Amend&gt;</w:t>
      </w:r>
    </w:p>
    <w:p w14:paraId="18DA2BBD"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27</w:t>
      </w:r>
      <w:r w:rsidRPr="006008DA">
        <w:rPr>
          <w:rStyle w:val="HideTWBExt"/>
          <w:b w:val="0"/>
          <w:noProof w:val="0"/>
        </w:rPr>
        <w:t>&lt;/NumAm&gt;</w:t>
      </w:r>
    </w:p>
    <w:p w14:paraId="04CCBEEA"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3DC4D4E6" w14:textId="77777777" w:rsidR="00E276AB" w:rsidRPr="006008DA" w:rsidRDefault="00E276AB" w:rsidP="00E276AB">
      <w:pPr>
        <w:pStyle w:val="NormalBold"/>
      </w:pPr>
      <w:r w:rsidRPr="006008DA">
        <w:rPr>
          <w:rStyle w:val="HideTWBExt"/>
          <w:b w:val="0"/>
          <w:noProof w:val="0"/>
        </w:rPr>
        <w:t>&lt;Article&gt;</w:t>
      </w:r>
      <w:r w:rsidRPr="006008DA">
        <w:t>Bilaga – underrubrik 1</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7D949308" w14:textId="77777777" w:rsidTr="005A1857">
        <w:trPr>
          <w:jc w:val="center"/>
        </w:trPr>
        <w:tc>
          <w:tcPr>
            <w:tcW w:w="9752" w:type="dxa"/>
            <w:gridSpan w:val="2"/>
          </w:tcPr>
          <w:p w14:paraId="432856BE" w14:textId="77777777" w:rsidR="00E276AB" w:rsidRPr="006008DA" w:rsidRDefault="00E276AB" w:rsidP="005A1857">
            <w:pPr>
              <w:keepNext/>
            </w:pPr>
          </w:p>
        </w:tc>
      </w:tr>
      <w:tr w:rsidR="00E276AB" w:rsidRPr="006008DA" w14:paraId="7D0FADAA" w14:textId="77777777" w:rsidTr="005A1857">
        <w:trPr>
          <w:jc w:val="center"/>
        </w:trPr>
        <w:tc>
          <w:tcPr>
            <w:tcW w:w="4876" w:type="dxa"/>
            <w:hideMark/>
          </w:tcPr>
          <w:p w14:paraId="47D99C35" w14:textId="77777777" w:rsidR="00E276AB" w:rsidRPr="006008DA" w:rsidRDefault="00E276AB" w:rsidP="005A1857">
            <w:pPr>
              <w:pStyle w:val="ColumnHeading"/>
              <w:keepNext/>
            </w:pPr>
            <w:r w:rsidRPr="006008DA">
              <w:t>Kommissionens förslag</w:t>
            </w:r>
          </w:p>
        </w:tc>
        <w:tc>
          <w:tcPr>
            <w:tcW w:w="4876" w:type="dxa"/>
            <w:hideMark/>
          </w:tcPr>
          <w:p w14:paraId="024A724D" w14:textId="77777777" w:rsidR="00E276AB" w:rsidRPr="006008DA" w:rsidRDefault="00E276AB" w:rsidP="005A1857">
            <w:pPr>
              <w:pStyle w:val="ColumnHeading"/>
              <w:keepNext/>
            </w:pPr>
            <w:r w:rsidRPr="006008DA">
              <w:t>Ändringsförslag</w:t>
            </w:r>
          </w:p>
        </w:tc>
      </w:tr>
      <w:tr w:rsidR="00E276AB" w:rsidRPr="006008DA" w14:paraId="7F46D1F8" w14:textId="77777777" w:rsidTr="005A1857">
        <w:trPr>
          <w:jc w:val="center"/>
        </w:trPr>
        <w:tc>
          <w:tcPr>
            <w:tcW w:w="4876" w:type="dxa"/>
            <w:hideMark/>
          </w:tcPr>
          <w:p w14:paraId="5D864DB7" w14:textId="77777777" w:rsidR="00E276AB" w:rsidRPr="006008DA" w:rsidRDefault="00E276AB" w:rsidP="005A1857">
            <w:pPr>
              <w:pStyle w:val="Normal6"/>
            </w:pPr>
            <w:r w:rsidRPr="006008DA">
              <w:t xml:space="preserve">Referensvärden för </w:t>
            </w:r>
            <w:r w:rsidRPr="006008DA">
              <w:rPr>
                <w:b/>
                <w:i/>
              </w:rPr>
              <w:t>koldioxidsnåla och för klimatpositiva</w:t>
            </w:r>
            <w:r w:rsidRPr="006008DA">
              <w:t xml:space="preserve"> investeringar</w:t>
            </w:r>
          </w:p>
        </w:tc>
        <w:tc>
          <w:tcPr>
            <w:tcW w:w="4876" w:type="dxa"/>
            <w:hideMark/>
          </w:tcPr>
          <w:p w14:paraId="04605919" w14:textId="77777777" w:rsidR="00E276AB" w:rsidRPr="006008DA" w:rsidRDefault="00E276AB" w:rsidP="005A1857">
            <w:pPr>
              <w:pStyle w:val="Normal6"/>
              <w:rPr>
                <w:szCs w:val="24"/>
              </w:rPr>
            </w:pPr>
            <w:r w:rsidRPr="006008DA">
              <w:t>Referensvärden för investeringar</w:t>
            </w:r>
            <w:r w:rsidRPr="006008DA">
              <w:rPr>
                <w:b/>
                <w:i/>
              </w:rPr>
              <w:t xml:space="preserve"> med positiv effekt</w:t>
            </w:r>
          </w:p>
        </w:tc>
      </w:tr>
    </w:tbl>
    <w:p w14:paraId="5AF218A5" w14:textId="77777777" w:rsidR="00E276AB" w:rsidRPr="006008DA" w:rsidRDefault="00E276AB" w:rsidP="00E276AB">
      <w:r w:rsidRPr="006008DA">
        <w:rPr>
          <w:rStyle w:val="HideTWBExt"/>
          <w:noProof w:val="0"/>
        </w:rPr>
        <w:t>&lt;/Amend&gt;</w:t>
      </w:r>
    </w:p>
    <w:p w14:paraId="14A84E08"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28</w:t>
      </w:r>
      <w:r w:rsidRPr="006008DA">
        <w:rPr>
          <w:rStyle w:val="HideTWBExt"/>
          <w:b w:val="0"/>
          <w:noProof w:val="0"/>
        </w:rPr>
        <w:t>&lt;/NumAm&gt;</w:t>
      </w:r>
    </w:p>
    <w:p w14:paraId="17C64573"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2C631DA0" w14:textId="77777777" w:rsidR="00E276AB" w:rsidRPr="006008DA" w:rsidRDefault="00E276AB" w:rsidP="00E276AB">
      <w:pPr>
        <w:pStyle w:val="NormalBold"/>
      </w:pPr>
      <w:r w:rsidRPr="006008DA">
        <w:rPr>
          <w:rStyle w:val="HideTWBExt"/>
          <w:b w:val="0"/>
          <w:noProof w:val="0"/>
        </w:rPr>
        <w:t>&lt;Article&gt;</w:t>
      </w:r>
      <w:r w:rsidRPr="006008DA">
        <w:t>Bilaga – underrubrik 2</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1810E20D" w14:textId="77777777" w:rsidTr="005A1857">
        <w:trPr>
          <w:jc w:val="center"/>
        </w:trPr>
        <w:tc>
          <w:tcPr>
            <w:tcW w:w="9752" w:type="dxa"/>
            <w:gridSpan w:val="2"/>
          </w:tcPr>
          <w:p w14:paraId="71745C96" w14:textId="77777777" w:rsidR="00E276AB" w:rsidRPr="006008DA" w:rsidRDefault="00E276AB" w:rsidP="005A1857">
            <w:pPr>
              <w:keepNext/>
            </w:pPr>
          </w:p>
        </w:tc>
      </w:tr>
      <w:tr w:rsidR="00E276AB" w:rsidRPr="006008DA" w14:paraId="213DCA66" w14:textId="77777777" w:rsidTr="005A1857">
        <w:trPr>
          <w:jc w:val="center"/>
        </w:trPr>
        <w:tc>
          <w:tcPr>
            <w:tcW w:w="4876" w:type="dxa"/>
            <w:hideMark/>
          </w:tcPr>
          <w:p w14:paraId="5ABCD46D" w14:textId="77777777" w:rsidR="00E276AB" w:rsidRPr="006008DA" w:rsidRDefault="00E276AB" w:rsidP="005A1857">
            <w:pPr>
              <w:pStyle w:val="ColumnHeading"/>
              <w:keepNext/>
            </w:pPr>
            <w:r w:rsidRPr="006008DA">
              <w:t>Kommissionens förslag</w:t>
            </w:r>
          </w:p>
        </w:tc>
        <w:tc>
          <w:tcPr>
            <w:tcW w:w="4876" w:type="dxa"/>
            <w:hideMark/>
          </w:tcPr>
          <w:p w14:paraId="192E5349" w14:textId="77777777" w:rsidR="00E276AB" w:rsidRPr="006008DA" w:rsidRDefault="00E276AB" w:rsidP="005A1857">
            <w:pPr>
              <w:pStyle w:val="ColumnHeading"/>
              <w:keepNext/>
            </w:pPr>
            <w:r w:rsidRPr="006008DA">
              <w:t>Ändringsförslag</w:t>
            </w:r>
          </w:p>
        </w:tc>
      </w:tr>
      <w:tr w:rsidR="00E276AB" w:rsidRPr="006008DA" w14:paraId="6CC3E8F5" w14:textId="77777777" w:rsidTr="005A1857">
        <w:trPr>
          <w:jc w:val="center"/>
        </w:trPr>
        <w:tc>
          <w:tcPr>
            <w:tcW w:w="4876" w:type="dxa"/>
            <w:hideMark/>
          </w:tcPr>
          <w:p w14:paraId="5A8A6B58" w14:textId="77777777" w:rsidR="00E276AB" w:rsidRPr="006008DA" w:rsidRDefault="00E276AB" w:rsidP="005A1857">
            <w:pPr>
              <w:pStyle w:val="Normal6"/>
            </w:pPr>
            <w:r w:rsidRPr="006008DA">
              <w:t xml:space="preserve">Metod för referensvärden för </w:t>
            </w:r>
            <w:r w:rsidRPr="006008DA">
              <w:rPr>
                <w:b/>
                <w:i/>
              </w:rPr>
              <w:t>koldioxidsnåla</w:t>
            </w:r>
            <w:r w:rsidRPr="006008DA">
              <w:t xml:space="preserve"> investeringar</w:t>
            </w:r>
          </w:p>
        </w:tc>
        <w:tc>
          <w:tcPr>
            <w:tcW w:w="4876" w:type="dxa"/>
            <w:hideMark/>
          </w:tcPr>
          <w:p w14:paraId="0B44E2F8" w14:textId="77777777" w:rsidR="00E276AB" w:rsidRPr="006008DA" w:rsidRDefault="00E276AB" w:rsidP="005A1857">
            <w:pPr>
              <w:pStyle w:val="Normal6"/>
              <w:rPr>
                <w:szCs w:val="24"/>
              </w:rPr>
            </w:pPr>
            <w:r w:rsidRPr="006008DA">
              <w:t>Metod för referensvärden för investeringar</w:t>
            </w:r>
            <w:r w:rsidRPr="006008DA">
              <w:rPr>
                <w:b/>
                <w:i/>
              </w:rPr>
              <w:t xml:space="preserve"> med positiv effekt</w:t>
            </w:r>
          </w:p>
        </w:tc>
      </w:tr>
    </w:tbl>
    <w:p w14:paraId="32CCE6EE" w14:textId="77777777" w:rsidR="00E276AB" w:rsidRPr="006008DA" w:rsidRDefault="00E276AB" w:rsidP="00E276AB">
      <w:r w:rsidRPr="006008DA">
        <w:rPr>
          <w:rStyle w:val="HideTWBExt"/>
          <w:noProof w:val="0"/>
        </w:rPr>
        <w:t>&lt;/Amend&gt;</w:t>
      </w:r>
    </w:p>
    <w:p w14:paraId="79C40FE6"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29</w:t>
      </w:r>
      <w:r w:rsidRPr="006008DA">
        <w:rPr>
          <w:rStyle w:val="HideTWBExt"/>
          <w:b w:val="0"/>
          <w:noProof w:val="0"/>
        </w:rPr>
        <w:t>&lt;/NumAm&gt;</w:t>
      </w:r>
    </w:p>
    <w:p w14:paraId="71A2E9C8"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11EF87FC" w14:textId="77777777" w:rsidR="00E276AB" w:rsidRPr="006008DA" w:rsidRDefault="00E276AB" w:rsidP="00E276AB">
      <w:pPr>
        <w:pStyle w:val="NormalBold"/>
      </w:pPr>
      <w:r w:rsidRPr="006008DA">
        <w:rPr>
          <w:rStyle w:val="HideTWBExt"/>
          <w:b w:val="0"/>
          <w:noProof w:val="0"/>
        </w:rPr>
        <w:t>&lt;Article&gt;</w:t>
      </w:r>
      <w:r w:rsidRPr="006008DA">
        <w:t>Bilaga – punkt 1 – inledningen</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1D590268" w14:textId="77777777" w:rsidTr="005A1857">
        <w:trPr>
          <w:jc w:val="center"/>
        </w:trPr>
        <w:tc>
          <w:tcPr>
            <w:tcW w:w="9752" w:type="dxa"/>
            <w:gridSpan w:val="2"/>
          </w:tcPr>
          <w:p w14:paraId="2D40786F" w14:textId="77777777" w:rsidR="00E276AB" w:rsidRPr="006008DA" w:rsidRDefault="00E276AB" w:rsidP="005A1857">
            <w:pPr>
              <w:keepNext/>
            </w:pPr>
          </w:p>
        </w:tc>
      </w:tr>
      <w:tr w:rsidR="00E276AB" w:rsidRPr="006008DA" w14:paraId="09A3305E" w14:textId="77777777" w:rsidTr="005A1857">
        <w:trPr>
          <w:jc w:val="center"/>
        </w:trPr>
        <w:tc>
          <w:tcPr>
            <w:tcW w:w="4876" w:type="dxa"/>
            <w:hideMark/>
          </w:tcPr>
          <w:p w14:paraId="7ABE1F94" w14:textId="77777777" w:rsidR="00E276AB" w:rsidRPr="006008DA" w:rsidRDefault="00E276AB" w:rsidP="005A1857">
            <w:pPr>
              <w:pStyle w:val="ColumnHeading"/>
              <w:keepNext/>
            </w:pPr>
            <w:r w:rsidRPr="006008DA">
              <w:t>Kommissionens förslag</w:t>
            </w:r>
          </w:p>
        </w:tc>
        <w:tc>
          <w:tcPr>
            <w:tcW w:w="4876" w:type="dxa"/>
            <w:hideMark/>
          </w:tcPr>
          <w:p w14:paraId="6ACE5BC3" w14:textId="77777777" w:rsidR="00E276AB" w:rsidRPr="006008DA" w:rsidRDefault="00E276AB" w:rsidP="005A1857">
            <w:pPr>
              <w:pStyle w:val="ColumnHeading"/>
              <w:keepNext/>
            </w:pPr>
            <w:r w:rsidRPr="006008DA">
              <w:t>Ändringsförslag</w:t>
            </w:r>
          </w:p>
        </w:tc>
      </w:tr>
      <w:tr w:rsidR="00E276AB" w:rsidRPr="006008DA" w14:paraId="57CAA5A1" w14:textId="77777777" w:rsidTr="005A1857">
        <w:trPr>
          <w:jc w:val="center"/>
        </w:trPr>
        <w:tc>
          <w:tcPr>
            <w:tcW w:w="4876" w:type="dxa"/>
            <w:hideMark/>
          </w:tcPr>
          <w:p w14:paraId="5483489C" w14:textId="77777777" w:rsidR="00E276AB" w:rsidRPr="006008DA" w:rsidRDefault="00E276AB" w:rsidP="005A1857">
            <w:pPr>
              <w:pStyle w:val="Normal6"/>
            </w:pPr>
            <w:r w:rsidRPr="006008DA">
              <w:t>1.</w:t>
            </w:r>
            <w:r w:rsidRPr="006008DA">
              <w:tab/>
              <w:t xml:space="preserve">Administratören av ett referensvärde för </w:t>
            </w:r>
            <w:r w:rsidRPr="006008DA">
              <w:rPr>
                <w:b/>
                <w:i/>
              </w:rPr>
              <w:t>koldioxidsnåla</w:t>
            </w:r>
            <w:r w:rsidRPr="006008DA">
              <w:t xml:space="preserve"> investeringar ska beskriva, dokumentera och offentliggöra alla metoder som används för att beräkna </w:t>
            </w:r>
            <w:r w:rsidRPr="006008DA">
              <w:rPr>
                <w:b/>
                <w:i/>
              </w:rPr>
              <w:t>referensvärden</w:t>
            </w:r>
            <w:r w:rsidRPr="006008DA">
              <w:t xml:space="preserve"> för </w:t>
            </w:r>
            <w:r w:rsidRPr="006008DA">
              <w:rPr>
                <w:b/>
                <w:i/>
              </w:rPr>
              <w:t>koldioxidsnåla investeringar</w:t>
            </w:r>
            <w:r w:rsidRPr="006008DA">
              <w:t>, där följande ska ingå:</w:t>
            </w:r>
          </w:p>
        </w:tc>
        <w:tc>
          <w:tcPr>
            <w:tcW w:w="4876" w:type="dxa"/>
            <w:hideMark/>
          </w:tcPr>
          <w:p w14:paraId="4B8566EE" w14:textId="77777777" w:rsidR="00E276AB" w:rsidRPr="006008DA" w:rsidRDefault="00E276AB" w:rsidP="005A1857">
            <w:pPr>
              <w:pStyle w:val="Normal6"/>
              <w:rPr>
                <w:szCs w:val="24"/>
              </w:rPr>
            </w:pPr>
            <w:r w:rsidRPr="006008DA">
              <w:t>1.</w:t>
            </w:r>
            <w:r w:rsidRPr="006008DA">
              <w:tab/>
              <w:t>Administratören av ett referensvärde för investeringar</w:t>
            </w:r>
            <w:r w:rsidRPr="006008DA">
              <w:rPr>
                <w:b/>
                <w:i/>
              </w:rPr>
              <w:t xml:space="preserve"> med positiv effekt</w:t>
            </w:r>
            <w:r w:rsidRPr="006008DA">
              <w:t xml:space="preserve"> ska beskriva, dokumentera och offentliggöra alla metoder som används för att beräkna </w:t>
            </w:r>
            <w:r w:rsidRPr="006008DA">
              <w:rPr>
                <w:b/>
                <w:i/>
              </w:rPr>
              <w:t>indikatorer</w:t>
            </w:r>
            <w:r w:rsidRPr="006008DA">
              <w:t xml:space="preserve"> för </w:t>
            </w:r>
            <w:r w:rsidRPr="006008DA">
              <w:rPr>
                <w:b/>
                <w:i/>
              </w:rPr>
              <w:t>cirkulär ekonomi</w:t>
            </w:r>
            <w:r w:rsidRPr="006008DA">
              <w:t>, där följande ska ingå:</w:t>
            </w:r>
          </w:p>
        </w:tc>
      </w:tr>
    </w:tbl>
    <w:p w14:paraId="14410448" w14:textId="77777777" w:rsidR="00E276AB" w:rsidRPr="006008DA" w:rsidRDefault="00E276AB" w:rsidP="00E276AB">
      <w:r w:rsidRPr="006008DA">
        <w:rPr>
          <w:rStyle w:val="HideTWBExt"/>
          <w:noProof w:val="0"/>
        </w:rPr>
        <w:t>&lt;/Amend&gt;</w:t>
      </w:r>
    </w:p>
    <w:p w14:paraId="1D4DFC20"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30</w:t>
      </w:r>
      <w:r w:rsidRPr="006008DA">
        <w:rPr>
          <w:rStyle w:val="HideTWBExt"/>
          <w:b w:val="0"/>
          <w:noProof w:val="0"/>
        </w:rPr>
        <w:t>&lt;/NumAm&gt;</w:t>
      </w:r>
    </w:p>
    <w:p w14:paraId="53CE136B"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23CBC7C4" w14:textId="77777777" w:rsidR="00E276AB" w:rsidRPr="006008DA" w:rsidRDefault="00E276AB" w:rsidP="00E276AB">
      <w:pPr>
        <w:pStyle w:val="NormalBold"/>
      </w:pPr>
      <w:r w:rsidRPr="006008DA">
        <w:rPr>
          <w:rStyle w:val="HideTWBExt"/>
          <w:b w:val="0"/>
          <w:noProof w:val="0"/>
        </w:rPr>
        <w:t>&lt;Article&gt;</w:t>
      </w:r>
      <w:r w:rsidRPr="006008DA">
        <w:t>Bilaga – punkt 1 – led a</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3E64899E" w14:textId="77777777" w:rsidTr="005A1857">
        <w:trPr>
          <w:jc w:val="center"/>
        </w:trPr>
        <w:tc>
          <w:tcPr>
            <w:tcW w:w="9752" w:type="dxa"/>
            <w:gridSpan w:val="2"/>
          </w:tcPr>
          <w:p w14:paraId="5BBB6026" w14:textId="77777777" w:rsidR="00E276AB" w:rsidRPr="006008DA" w:rsidRDefault="00E276AB" w:rsidP="005A1857">
            <w:pPr>
              <w:keepNext/>
            </w:pPr>
          </w:p>
        </w:tc>
      </w:tr>
      <w:tr w:rsidR="00E276AB" w:rsidRPr="006008DA" w14:paraId="1E788EEF" w14:textId="77777777" w:rsidTr="005A1857">
        <w:trPr>
          <w:jc w:val="center"/>
        </w:trPr>
        <w:tc>
          <w:tcPr>
            <w:tcW w:w="4876" w:type="dxa"/>
            <w:hideMark/>
          </w:tcPr>
          <w:p w14:paraId="320036E2" w14:textId="77777777" w:rsidR="00E276AB" w:rsidRPr="006008DA" w:rsidRDefault="00E276AB" w:rsidP="005A1857">
            <w:pPr>
              <w:pStyle w:val="ColumnHeading"/>
              <w:keepNext/>
            </w:pPr>
            <w:r w:rsidRPr="006008DA">
              <w:t>Kommissionens förslag</w:t>
            </w:r>
          </w:p>
        </w:tc>
        <w:tc>
          <w:tcPr>
            <w:tcW w:w="4876" w:type="dxa"/>
            <w:hideMark/>
          </w:tcPr>
          <w:p w14:paraId="4D4656B0" w14:textId="77777777" w:rsidR="00E276AB" w:rsidRPr="006008DA" w:rsidRDefault="00E276AB" w:rsidP="005A1857">
            <w:pPr>
              <w:pStyle w:val="ColumnHeading"/>
              <w:keepNext/>
            </w:pPr>
            <w:r w:rsidRPr="006008DA">
              <w:t>Ändringsförslag</w:t>
            </w:r>
          </w:p>
        </w:tc>
      </w:tr>
      <w:tr w:rsidR="00E276AB" w:rsidRPr="006008DA" w14:paraId="143CD925" w14:textId="77777777" w:rsidTr="005A1857">
        <w:trPr>
          <w:jc w:val="center"/>
        </w:trPr>
        <w:tc>
          <w:tcPr>
            <w:tcW w:w="4876" w:type="dxa"/>
            <w:hideMark/>
          </w:tcPr>
          <w:p w14:paraId="12101702" w14:textId="77777777" w:rsidR="00E276AB" w:rsidRPr="006008DA" w:rsidRDefault="00E276AB" w:rsidP="005A1857">
            <w:pPr>
              <w:pStyle w:val="Normal6"/>
            </w:pPr>
            <w:r w:rsidRPr="006008DA">
              <w:t>(a)</w:t>
            </w:r>
            <w:r w:rsidRPr="006008DA">
              <w:tab/>
              <w:t xml:space="preserve">En förteckning över de underliggande tillgångar som används för att beräkna </w:t>
            </w:r>
            <w:r w:rsidRPr="006008DA">
              <w:rPr>
                <w:b/>
                <w:i/>
              </w:rPr>
              <w:t>referensvärdet för koldioxidsnåla investeringar</w:t>
            </w:r>
            <w:r w:rsidRPr="006008DA">
              <w:t>.</w:t>
            </w:r>
          </w:p>
        </w:tc>
        <w:tc>
          <w:tcPr>
            <w:tcW w:w="4876" w:type="dxa"/>
            <w:hideMark/>
          </w:tcPr>
          <w:p w14:paraId="0E4F5357" w14:textId="77777777" w:rsidR="00E276AB" w:rsidRPr="006008DA" w:rsidRDefault="00E276AB" w:rsidP="005A1857">
            <w:pPr>
              <w:pStyle w:val="Normal6"/>
              <w:rPr>
                <w:szCs w:val="24"/>
              </w:rPr>
            </w:pPr>
            <w:r w:rsidRPr="006008DA">
              <w:t>(a)</w:t>
            </w:r>
            <w:r w:rsidRPr="006008DA">
              <w:tab/>
              <w:t xml:space="preserve">En förteckning över de underliggande tillgångar som används för att beräkna </w:t>
            </w:r>
            <w:r w:rsidRPr="006008DA">
              <w:rPr>
                <w:b/>
                <w:i/>
              </w:rPr>
              <w:t>den positiva nettoeffekten</w:t>
            </w:r>
            <w:r w:rsidRPr="006008DA">
              <w:t>.</w:t>
            </w:r>
          </w:p>
        </w:tc>
      </w:tr>
    </w:tbl>
    <w:p w14:paraId="7D631E2E" w14:textId="77777777" w:rsidR="00E276AB" w:rsidRPr="006008DA" w:rsidRDefault="00E276AB" w:rsidP="00E276AB">
      <w:r w:rsidRPr="006008DA">
        <w:rPr>
          <w:rStyle w:val="HideTWBExt"/>
          <w:noProof w:val="0"/>
        </w:rPr>
        <w:t>&lt;/Amend&gt;</w:t>
      </w:r>
    </w:p>
    <w:p w14:paraId="5E89BE53"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31</w:t>
      </w:r>
      <w:r w:rsidRPr="006008DA">
        <w:rPr>
          <w:rStyle w:val="HideTWBExt"/>
          <w:b w:val="0"/>
          <w:noProof w:val="0"/>
        </w:rPr>
        <w:t>&lt;/NumAm&gt;</w:t>
      </w:r>
    </w:p>
    <w:p w14:paraId="65575A7B"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633702D6" w14:textId="77777777" w:rsidR="00E276AB" w:rsidRPr="006008DA" w:rsidRDefault="00E276AB" w:rsidP="00E276AB">
      <w:pPr>
        <w:pStyle w:val="NormalBold"/>
      </w:pPr>
      <w:r w:rsidRPr="006008DA">
        <w:rPr>
          <w:rStyle w:val="HideTWBExt"/>
          <w:b w:val="0"/>
          <w:noProof w:val="0"/>
        </w:rPr>
        <w:t>&lt;Article&gt;</w:t>
      </w:r>
      <w:r w:rsidRPr="006008DA">
        <w:t>Bilaga I – led 1 – led c</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2B7617F3" w14:textId="77777777" w:rsidTr="005A1857">
        <w:trPr>
          <w:jc w:val="center"/>
        </w:trPr>
        <w:tc>
          <w:tcPr>
            <w:tcW w:w="9752" w:type="dxa"/>
            <w:gridSpan w:val="2"/>
          </w:tcPr>
          <w:p w14:paraId="5074C9FF" w14:textId="77777777" w:rsidR="00E276AB" w:rsidRPr="006008DA" w:rsidRDefault="00E276AB" w:rsidP="005A1857">
            <w:pPr>
              <w:keepNext/>
            </w:pPr>
          </w:p>
        </w:tc>
      </w:tr>
      <w:tr w:rsidR="00E276AB" w:rsidRPr="006008DA" w14:paraId="48A74DD3" w14:textId="77777777" w:rsidTr="005A1857">
        <w:trPr>
          <w:jc w:val="center"/>
        </w:trPr>
        <w:tc>
          <w:tcPr>
            <w:tcW w:w="4876" w:type="dxa"/>
            <w:hideMark/>
          </w:tcPr>
          <w:p w14:paraId="6C8196B9" w14:textId="77777777" w:rsidR="00E276AB" w:rsidRPr="006008DA" w:rsidRDefault="00E276AB" w:rsidP="005A1857">
            <w:pPr>
              <w:pStyle w:val="ColumnHeading"/>
              <w:keepNext/>
            </w:pPr>
            <w:r w:rsidRPr="006008DA">
              <w:t>Kommissionens förslag</w:t>
            </w:r>
          </w:p>
        </w:tc>
        <w:tc>
          <w:tcPr>
            <w:tcW w:w="4876" w:type="dxa"/>
            <w:hideMark/>
          </w:tcPr>
          <w:p w14:paraId="4280220E" w14:textId="77777777" w:rsidR="00E276AB" w:rsidRPr="006008DA" w:rsidRDefault="00E276AB" w:rsidP="005A1857">
            <w:pPr>
              <w:pStyle w:val="ColumnHeading"/>
              <w:keepNext/>
            </w:pPr>
            <w:r w:rsidRPr="006008DA">
              <w:t>Ändringsförslag</w:t>
            </w:r>
          </w:p>
        </w:tc>
      </w:tr>
      <w:tr w:rsidR="00E276AB" w:rsidRPr="006008DA" w14:paraId="2075A6AA" w14:textId="77777777" w:rsidTr="005A1857">
        <w:trPr>
          <w:jc w:val="center"/>
        </w:trPr>
        <w:tc>
          <w:tcPr>
            <w:tcW w:w="4876" w:type="dxa"/>
            <w:hideMark/>
          </w:tcPr>
          <w:p w14:paraId="55617037" w14:textId="77777777" w:rsidR="00E276AB" w:rsidRPr="006008DA" w:rsidRDefault="00E276AB" w:rsidP="005A1857">
            <w:pPr>
              <w:pStyle w:val="Normal6"/>
            </w:pPr>
            <w:r w:rsidRPr="006008DA">
              <w:t>(c)</w:t>
            </w:r>
            <w:r w:rsidRPr="006008DA">
              <w:tab/>
              <w:t xml:space="preserve">De kriterier som tillämpas för att utesluta tillgångar eller företag </w:t>
            </w:r>
            <w:r w:rsidRPr="006008DA">
              <w:rPr>
                <w:b/>
                <w:i/>
              </w:rPr>
              <w:t>vars koldioxidavtryck eller fossila reserver ligger på</w:t>
            </w:r>
            <w:r w:rsidRPr="006008DA">
              <w:t xml:space="preserve"> en </w:t>
            </w:r>
            <w:r w:rsidRPr="006008DA">
              <w:rPr>
                <w:b/>
                <w:i/>
              </w:rPr>
              <w:t>nivå som gör att de</w:t>
            </w:r>
            <w:r w:rsidRPr="006008DA">
              <w:t xml:space="preserve"> inte kan inkluderas i referensvärdet för </w:t>
            </w:r>
            <w:r w:rsidRPr="006008DA">
              <w:rPr>
                <w:b/>
                <w:i/>
              </w:rPr>
              <w:t>koldioxidsnåla</w:t>
            </w:r>
            <w:r w:rsidRPr="006008DA">
              <w:t xml:space="preserve"> investeringar.</w:t>
            </w:r>
          </w:p>
        </w:tc>
        <w:tc>
          <w:tcPr>
            <w:tcW w:w="4876" w:type="dxa"/>
            <w:hideMark/>
          </w:tcPr>
          <w:p w14:paraId="161AE2A6" w14:textId="77777777" w:rsidR="00E276AB" w:rsidRPr="006008DA" w:rsidRDefault="00E276AB" w:rsidP="005A1857">
            <w:pPr>
              <w:pStyle w:val="Normal6"/>
              <w:rPr>
                <w:szCs w:val="24"/>
              </w:rPr>
            </w:pPr>
            <w:r w:rsidRPr="006008DA">
              <w:t>(c)</w:t>
            </w:r>
            <w:r w:rsidRPr="006008DA">
              <w:tab/>
              <w:t xml:space="preserve">De kriterier som tillämpas för att utesluta tillgångar eller företag </w:t>
            </w:r>
            <w:r w:rsidRPr="006008DA">
              <w:rPr>
                <w:b/>
                <w:i/>
              </w:rPr>
              <w:t>som har</w:t>
            </w:r>
            <w:r w:rsidRPr="006008DA">
              <w:t xml:space="preserve"> en </w:t>
            </w:r>
            <w:r w:rsidRPr="006008DA">
              <w:rPr>
                <w:b/>
                <w:i/>
              </w:rPr>
              <w:t>negativ nettoeffekt på miljön och därför</w:t>
            </w:r>
            <w:r w:rsidRPr="006008DA">
              <w:t xml:space="preserve"> inte kan inkluderas i referensvärdet för investeringar</w:t>
            </w:r>
            <w:r w:rsidRPr="006008DA">
              <w:rPr>
                <w:b/>
                <w:i/>
              </w:rPr>
              <w:t xml:space="preserve"> med positiv effekt</w:t>
            </w:r>
            <w:r w:rsidRPr="006008DA">
              <w:t>.</w:t>
            </w:r>
          </w:p>
        </w:tc>
      </w:tr>
    </w:tbl>
    <w:p w14:paraId="5C878F9D" w14:textId="77777777" w:rsidR="00E276AB" w:rsidRPr="006008DA" w:rsidRDefault="00E276AB" w:rsidP="00E276AB">
      <w:r w:rsidRPr="006008DA">
        <w:rPr>
          <w:rStyle w:val="HideTWBExt"/>
          <w:noProof w:val="0"/>
        </w:rPr>
        <w:t>&lt;/Amend&gt;</w:t>
      </w:r>
    </w:p>
    <w:p w14:paraId="579D5B4A"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32</w:t>
      </w:r>
      <w:r w:rsidRPr="006008DA">
        <w:rPr>
          <w:rStyle w:val="HideTWBExt"/>
          <w:b w:val="0"/>
          <w:noProof w:val="0"/>
        </w:rPr>
        <w:t>&lt;/NumAm&gt;</w:t>
      </w:r>
    </w:p>
    <w:p w14:paraId="4AC41D3E"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60A2BAEC" w14:textId="77777777" w:rsidR="00E276AB" w:rsidRPr="006008DA" w:rsidRDefault="00E276AB" w:rsidP="00E276AB">
      <w:pPr>
        <w:pStyle w:val="NormalBold"/>
      </w:pPr>
      <w:r w:rsidRPr="006008DA">
        <w:rPr>
          <w:rStyle w:val="HideTWBExt"/>
          <w:b w:val="0"/>
          <w:noProof w:val="0"/>
        </w:rPr>
        <w:t>&lt;Article&gt;</w:t>
      </w:r>
      <w:r w:rsidRPr="006008DA">
        <w:t>Bilaga I – led 1 – led d</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70B8321A" w14:textId="77777777" w:rsidTr="005A1857">
        <w:trPr>
          <w:jc w:val="center"/>
        </w:trPr>
        <w:tc>
          <w:tcPr>
            <w:tcW w:w="9752" w:type="dxa"/>
            <w:gridSpan w:val="2"/>
          </w:tcPr>
          <w:p w14:paraId="5DE9E30C" w14:textId="77777777" w:rsidR="00E276AB" w:rsidRPr="006008DA" w:rsidRDefault="00E276AB" w:rsidP="005A1857">
            <w:pPr>
              <w:keepNext/>
            </w:pPr>
          </w:p>
        </w:tc>
      </w:tr>
      <w:tr w:rsidR="00E276AB" w:rsidRPr="006008DA" w14:paraId="6DCCEE09" w14:textId="77777777" w:rsidTr="005A1857">
        <w:trPr>
          <w:jc w:val="center"/>
        </w:trPr>
        <w:tc>
          <w:tcPr>
            <w:tcW w:w="4876" w:type="dxa"/>
            <w:hideMark/>
          </w:tcPr>
          <w:p w14:paraId="6566FB1E" w14:textId="77777777" w:rsidR="00E276AB" w:rsidRPr="006008DA" w:rsidRDefault="00E276AB" w:rsidP="005A1857">
            <w:pPr>
              <w:pStyle w:val="ColumnHeading"/>
              <w:keepNext/>
            </w:pPr>
            <w:r w:rsidRPr="006008DA">
              <w:t>Kommissionens förslag</w:t>
            </w:r>
          </w:p>
        </w:tc>
        <w:tc>
          <w:tcPr>
            <w:tcW w:w="4876" w:type="dxa"/>
            <w:hideMark/>
          </w:tcPr>
          <w:p w14:paraId="3ABC887D" w14:textId="77777777" w:rsidR="00E276AB" w:rsidRPr="006008DA" w:rsidRDefault="00E276AB" w:rsidP="005A1857">
            <w:pPr>
              <w:pStyle w:val="ColumnHeading"/>
              <w:keepNext/>
            </w:pPr>
            <w:r w:rsidRPr="006008DA">
              <w:t>Ändringsförslag</w:t>
            </w:r>
          </w:p>
        </w:tc>
      </w:tr>
      <w:tr w:rsidR="00E276AB" w:rsidRPr="006008DA" w14:paraId="3F47748F" w14:textId="77777777" w:rsidTr="005A1857">
        <w:trPr>
          <w:jc w:val="center"/>
        </w:trPr>
        <w:tc>
          <w:tcPr>
            <w:tcW w:w="4876" w:type="dxa"/>
            <w:hideMark/>
          </w:tcPr>
          <w:p w14:paraId="69D4CC2C" w14:textId="77777777" w:rsidR="00E276AB" w:rsidRPr="006008DA" w:rsidRDefault="00E276AB" w:rsidP="005A1857">
            <w:pPr>
              <w:pStyle w:val="Normal6"/>
            </w:pPr>
            <w:r w:rsidRPr="006008DA">
              <w:t>(d)</w:t>
            </w:r>
            <w:r w:rsidRPr="006008DA">
              <w:tab/>
              <w:t xml:space="preserve">Kriterier och metoder för hur referensvärdet för </w:t>
            </w:r>
            <w:r w:rsidRPr="006008DA">
              <w:rPr>
                <w:b/>
                <w:i/>
              </w:rPr>
              <w:t>koldioxidsnåla</w:t>
            </w:r>
            <w:r w:rsidRPr="006008DA">
              <w:t xml:space="preserve"> investeringar mäter </w:t>
            </w:r>
            <w:r w:rsidRPr="006008DA">
              <w:rPr>
                <w:b/>
                <w:i/>
              </w:rPr>
              <w:t>det koldioxidavtryck och de koldioxidbesparingar</w:t>
            </w:r>
            <w:r w:rsidRPr="006008DA">
              <w:t xml:space="preserve"> som är </w:t>
            </w:r>
            <w:r w:rsidRPr="006008DA">
              <w:rPr>
                <w:b/>
                <w:i/>
              </w:rPr>
              <w:t>kopplade</w:t>
            </w:r>
            <w:r w:rsidRPr="006008DA">
              <w:t xml:space="preserve"> till de underliggande tillgångarna i indexportföljen.</w:t>
            </w:r>
          </w:p>
        </w:tc>
        <w:tc>
          <w:tcPr>
            <w:tcW w:w="4876" w:type="dxa"/>
            <w:hideMark/>
          </w:tcPr>
          <w:p w14:paraId="23A9AC65" w14:textId="77777777" w:rsidR="00E276AB" w:rsidRPr="006008DA" w:rsidRDefault="00E276AB" w:rsidP="005A1857">
            <w:pPr>
              <w:pStyle w:val="Normal6"/>
              <w:rPr>
                <w:szCs w:val="24"/>
              </w:rPr>
            </w:pPr>
            <w:r w:rsidRPr="006008DA">
              <w:t>(d)</w:t>
            </w:r>
            <w:r w:rsidRPr="006008DA">
              <w:tab/>
              <w:t>Kriterier och metoder för hur referensvärdet för investeringar</w:t>
            </w:r>
            <w:r w:rsidRPr="006008DA">
              <w:rPr>
                <w:b/>
                <w:i/>
              </w:rPr>
              <w:t xml:space="preserve"> med positiv effekt</w:t>
            </w:r>
            <w:r w:rsidRPr="006008DA">
              <w:t xml:space="preserve"> mäter </w:t>
            </w:r>
            <w:r w:rsidRPr="006008DA">
              <w:rPr>
                <w:b/>
                <w:i/>
              </w:rPr>
              <w:t>den miljöeffekt</w:t>
            </w:r>
            <w:r w:rsidRPr="006008DA">
              <w:t xml:space="preserve"> som är </w:t>
            </w:r>
            <w:r w:rsidRPr="006008DA">
              <w:rPr>
                <w:b/>
                <w:i/>
              </w:rPr>
              <w:t>kopplad</w:t>
            </w:r>
            <w:r w:rsidRPr="006008DA">
              <w:t xml:space="preserve"> till de underliggande tillgångarna i indexportföljen.</w:t>
            </w:r>
          </w:p>
        </w:tc>
      </w:tr>
    </w:tbl>
    <w:p w14:paraId="334F71EF" w14:textId="77777777" w:rsidR="00E276AB" w:rsidRPr="006008DA" w:rsidRDefault="00E276AB" w:rsidP="00E276AB">
      <w:r w:rsidRPr="006008DA">
        <w:rPr>
          <w:rStyle w:val="HideTWBExt"/>
          <w:noProof w:val="0"/>
        </w:rPr>
        <w:t>&lt;/Amend&gt;</w:t>
      </w:r>
    </w:p>
    <w:p w14:paraId="09D2AB74"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33</w:t>
      </w:r>
      <w:r w:rsidRPr="006008DA">
        <w:rPr>
          <w:rStyle w:val="HideTWBExt"/>
          <w:b w:val="0"/>
          <w:noProof w:val="0"/>
        </w:rPr>
        <w:t>&lt;/NumAm&gt;</w:t>
      </w:r>
    </w:p>
    <w:p w14:paraId="72083B82"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40DFD72C" w14:textId="77777777" w:rsidR="00E276AB" w:rsidRPr="006008DA" w:rsidRDefault="00E276AB" w:rsidP="00E276AB">
      <w:pPr>
        <w:pStyle w:val="NormalBold"/>
      </w:pPr>
      <w:r w:rsidRPr="006008DA">
        <w:rPr>
          <w:rStyle w:val="HideTWBExt"/>
          <w:b w:val="0"/>
          <w:noProof w:val="0"/>
        </w:rPr>
        <w:t>&lt;Article&gt;</w:t>
      </w:r>
      <w:r w:rsidRPr="006008DA">
        <w:t>Bilaga – led 1 – led e</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6F1E4514" w14:textId="77777777" w:rsidTr="005A1857">
        <w:trPr>
          <w:jc w:val="center"/>
        </w:trPr>
        <w:tc>
          <w:tcPr>
            <w:tcW w:w="9752" w:type="dxa"/>
            <w:gridSpan w:val="2"/>
          </w:tcPr>
          <w:p w14:paraId="664E9104" w14:textId="77777777" w:rsidR="00E276AB" w:rsidRPr="006008DA" w:rsidRDefault="00E276AB" w:rsidP="005A1857">
            <w:pPr>
              <w:keepNext/>
            </w:pPr>
          </w:p>
        </w:tc>
      </w:tr>
      <w:tr w:rsidR="00E276AB" w:rsidRPr="006008DA" w14:paraId="00302893" w14:textId="77777777" w:rsidTr="005A1857">
        <w:trPr>
          <w:jc w:val="center"/>
        </w:trPr>
        <w:tc>
          <w:tcPr>
            <w:tcW w:w="4876" w:type="dxa"/>
            <w:hideMark/>
          </w:tcPr>
          <w:p w14:paraId="774D0F6A" w14:textId="77777777" w:rsidR="00E276AB" w:rsidRPr="006008DA" w:rsidRDefault="00E276AB" w:rsidP="005A1857">
            <w:pPr>
              <w:pStyle w:val="ColumnHeading"/>
              <w:keepNext/>
            </w:pPr>
            <w:r w:rsidRPr="006008DA">
              <w:t>Kommissionens förslag</w:t>
            </w:r>
          </w:p>
        </w:tc>
        <w:tc>
          <w:tcPr>
            <w:tcW w:w="4876" w:type="dxa"/>
            <w:hideMark/>
          </w:tcPr>
          <w:p w14:paraId="62555F26" w14:textId="77777777" w:rsidR="00E276AB" w:rsidRPr="006008DA" w:rsidRDefault="00E276AB" w:rsidP="005A1857">
            <w:pPr>
              <w:pStyle w:val="ColumnHeading"/>
              <w:keepNext/>
            </w:pPr>
            <w:r w:rsidRPr="006008DA">
              <w:t>Ändringsförslag</w:t>
            </w:r>
          </w:p>
        </w:tc>
      </w:tr>
      <w:tr w:rsidR="00E276AB" w:rsidRPr="006008DA" w14:paraId="25B1E15E" w14:textId="77777777" w:rsidTr="005A1857">
        <w:trPr>
          <w:jc w:val="center"/>
        </w:trPr>
        <w:tc>
          <w:tcPr>
            <w:tcW w:w="4876" w:type="dxa"/>
            <w:hideMark/>
          </w:tcPr>
          <w:p w14:paraId="529134DE" w14:textId="77777777" w:rsidR="00E276AB" w:rsidRPr="006008DA" w:rsidRDefault="00E276AB" w:rsidP="005A1857">
            <w:pPr>
              <w:pStyle w:val="Normal6"/>
            </w:pPr>
            <w:r w:rsidRPr="006008DA">
              <w:t>(e)</w:t>
            </w:r>
            <w:r w:rsidRPr="006008DA">
              <w:tab/>
              <w:t xml:space="preserve">Aktiv risk avseende skillnaden mellan referensvärdet för </w:t>
            </w:r>
            <w:r w:rsidRPr="006008DA">
              <w:rPr>
                <w:b/>
                <w:i/>
              </w:rPr>
              <w:t>koldioxidsnåla</w:t>
            </w:r>
            <w:r w:rsidRPr="006008DA">
              <w:t xml:space="preserve"> investeringar och motsvarande standardindex.</w:t>
            </w:r>
          </w:p>
        </w:tc>
        <w:tc>
          <w:tcPr>
            <w:tcW w:w="4876" w:type="dxa"/>
            <w:hideMark/>
          </w:tcPr>
          <w:p w14:paraId="27A5FB99" w14:textId="77777777" w:rsidR="00E276AB" w:rsidRPr="006008DA" w:rsidRDefault="00E276AB" w:rsidP="005A1857">
            <w:pPr>
              <w:pStyle w:val="Normal6"/>
              <w:rPr>
                <w:szCs w:val="24"/>
              </w:rPr>
            </w:pPr>
            <w:r w:rsidRPr="006008DA">
              <w:t>(e)</w:t>
            </w:r>
            <w:r w:rsidRPr="006008DA">
              <w:tab/>
              <w:t>Aktiv risk avseende skillnaden mellan referensvärdet för investeringar</w:t>
            </w:r>
            <w:r w:rsidRPr="006008DA">
              <w:rPr>
                <w:b/>
                <w:i/>
              </w:rPr>
              <w:t xml:space="preserve"> med positiv effekt</w:t>
            </w:r>
            <w:r w:rsidRPr="006008DA">
              <w:t xml:space="preserve"> och motsvarande standardindex.</w:t>
            </w:r>
          </w:p>
        </w:tc>
      </w:tr>
    </w:tbl>
    <w:p w14:paraId="341FA33F" w14:textId="77777777" w:rsidR="00E276AB" w:rsidRPr="006008DA" w:rsidRDefault="00E276AB" w:rsidP="00E276AB">
      <w:r w:rsidRPr="006008DA">
        <w:rPr>
          <w:rStyle w:val="HideTWBExt"/>
          <w:noProof w:val="0"/>
        </w:rPr>
        <w:t>&lt;/Amend&gt;</w:t>
      </w:r>
    </w:p>
    <w:p w14:paraId="3CC68865"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34</w:t>
      </w:r>
      <w:r w:rsidRPr="006008DA">
        <w:rPr>
          <w:rStyle w:val="HideTWBExt"/>
          <w:b w:val="0"/>
          <w:noProof w:val="0"/>
        </w:rPr>
        <w:t>&lt;/NumAm&gt;</w:t>
      </w:r>
    </w:p>
    <w:p w14:paraId="276B62BC"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5DB78A2E" w14:textId="77777777" w:rsidR="00E276AB" w:rsidRPr="006008DA" w:rsidRDefault="00E276AB" w:rsidP="00E276AB">
      <w:pPr>
        <w:pStyle w:val="NormalBold"/>
      </w:pPr>
      <w:r w:rsidRPr="006008DA">
        <w:rPr>
          <w:rStyle w:val="HideTWBExt"/>
          <w:b w:val="0"/>
          <w:noProof w:val="0"/>
        </w:rPr>
        <w:t>&lt;Article&gt;</w:t>
      </w:r>
      <w:r w:rsidRPr="006008DA">
        <w:t>Bilaga – led 1 – led f</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6EC0ED63" w14:textId="77777777" w:rsidTr="005A1857">
        <w:trPr>
          <w:jc w:val="center"/>
        </w:trPr>
        <w:tc>
          <w:tcPr>
            <w:tcW w:w="9752" w:type="dxa"/>
            <w:gridSpan w:val="2"/>
          </w:tcPr>
          <w:p w14:paraId="653CF647" w14:textId="77777777" w:rsidR="00E276AB" w:rsidRPr="006008DA" w:rsidRDefault="00E276AB" w:rsidP="005A1857">
            <w:pPr>
              <w:keepNext/>
            </w:pPr>
          </w:p>
        </w:tc>
      </w:tr>
      <w:tr w:rsidR="00E276AB" w:rsidRPr="006008DA" w14:paraId="57B735C4" w14:textId="77777777" w:rsidTr="005A1857">
        <w:trPr>
          <w:jc w:val="center"/>
        </w:trPr>
        <w:tc>
          <w:tcPr>
            <w:tcW w:w="4876" w:type="dxa"/>
            <w:hideMark/>
          </w:tcPr>
          <w:p w14:paraId="7A5FE8DF" w14:textId="77777777" w:rsidR="00E276AB" w:rsidRPr="006008DA" w:rsidRDefault="00E276AB" w:rsidP="005A1857">
            <w:pPr>
              <w:pStyle w:val="ColumnHeading"/>
              <w:keepNext/>
            </w:pPr>
            <w:r w:rsidRPr="006008DA">
              <w:t>Kommissionens förslag</w:t>
            </w:r>
          </w:p>
        </w:tc>
        <w:tc>
          <w:tcPr>
            <w:tcW w:w="4876" w:type="dxa"/>
            <w:hideMark/>
          </w:tcPr>
          <w:p w14:paraId="4C75A13B" w14:textId="77777777" w:rsidR="00E276AB" w:rsidRPr="006008DA" w:rsidRDefault="00E276AB" w:rsidP="005A1857">
            <w:pPr>
              <w:pStyle w:val="ColumnHeading"/>
              <w:keepNext/>
            </w:pPr>
            <w:r w:rsidRPr="006008DA">
              <w:t>Ändringsförslag</w:t>
            </w:r>
          </w:p>
        </w:tc>
      </w:tr>
      <w:tr w:rsidR="00E276AB" w:rsidRPr="006008DA" w14:paraId="5E69273E" w14:textId="77777777" w:rsidTr="005A1857">
        <w:trPr>
          <w:jc w:val="center"/>
        </w:trPr>
        <w:tc>
          <w:tcPr>
            <w:tcW w:w="4876" w:type="dxa"/>
            <w:hideMark/>
          </w:tcPr>
          <w:p w14:paraId="2A96782C" w14:textId="77777777" w:rsidR="00E276AB" w:rsidRPr="006008DA" w:rsidRDefault="00E276AB" w:rsidP="005A1857">
            <w:pPr>
              <w:pStyle w:val="Normal6"/>
            </w:pPr>
            <w:r w:rsidRPr="006008DA">
              <w:t>(f)</w:t>
            </w:r>
            <w:r w:rsidRPr="006008DA">
              <w:tab/>
              <w:t xml:space="preserve">Den positiva omviktningen av </w:t>
            </w:r>
            <w:r w:rsidRPr="006008DA">
              <w:rPr>
                <w:b/>
                <w:i/>
              </w:rPr>
              <w:t xml:space="preserve">koldioxidsnåla </w:t>
            </w:r>
            <w:r w:rsidRPr="006008DA">
              <w:t>tillgångar i referensvärdet</w:t>
            </w:r>
            <w:r w:rsidRPr="006008DA">
              <w:rPr>
                <w:b/>
                <w:i/>
              </w:rPr>
              <w:t xml:space="preserve"> för koldioxidsnåla investeringar</w:t>
            </w:r>
            <w:r w:rsidRPr="006008DA">
              <w:t xml:space="preserve"> i förhållande till motsvarande standardindex, och en förklaring till varför en omviktning är nödvändig för att återspegla de valda målen för referensvärdet.</w:t>
            </w:r>
          </w:p>
        </w:tc>
        <w:tc>
          <w:tcPr>
            <w:tcW w:w="4876" w:type="dxa"/>
            <w:hideMark/>
          </w:tcPr>
          <w:p w14:paraId="698CECE6" w14:textId="77777777" w:rsidR="00E276AB" w:rsidRPr="006008DA" w:rsidRDefault="00E276AB" w:rsidP="005A1857">
            <w:pPr>
              <w:pStyle w:val="Normal6"/>
              <w:rPr>
                <w:szCs w:val="24"/>
              </w:rPr>
            </w:pPr>
            <w:r w:rsidRPr="006008DA">
              <w:t>(f)</w:t>
            </w:r>
            <w:r w:rsidRPr="006008DA">
              <w:tab/>
              <w:t xml:space="preserve">Den positiva omviktningen av tillgångar </w:t>
            </w:r>
            <w:r w:rsidRPr="006008DA">
              <w:rPr>
                <w:b/>
                <w:i/>
              </w:rPr>
              <w:t xml:space="preserve">med positiv miljöeffekt </w:t>
            </w:r>
            <w:r w:rsidRPr="006008DA">
              <w:t>i referensvärdet i förhållande till motsvarande standardindex, och en förklaring till varför en omviktning är nödvändig för att återspegla de valda målen för referensvärdet.</w:t>
            </w:r>
          </w:p>
        </w:tc>
      </w:tr>
    </w:tbl>
    <w:p w14:paraId="031360C0" w14:textId="77777777" w:rsidR="00E276AB" w:rsidRPr="006008DA" w:rsidRDefault="00E276AB" w:rsidP="00E276AB">
      <w:r w:rsidRPr="006008DA">
        <w:rPr>
          <w:rStyle w:val="HideTWBExt"/>
          <w:noProof w:val="0"/>
        </w:rPr>
        <w:t>&lt;/Amend&gt;</w:t>
      </w:r>
    </w:p>
    <w:p w14:paraId="19735675"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35</w:t>
      </w:r>
      <w:r w:rsidRPr="006008DA">
        <w:rPr>
          <w:rStyle w:val="HideTWBExt"/>
          <w:b w:val="0"/>
          <w:noProof w:val="0"/>
        </w:rPr>
        <w:t>&lt;/NumAm&gt;</w:t>
      </w:r>
    </w:p>
    <w:p w14:paraId="78C87C87"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3E5E3676" w14:textId="77777777" w:rsidR="00E276AB" w:rsidRPr="006008DA" w:rsidRDefault="00E276AB" w:rsidP="00E276AB">
      <w:pPr>
        <w:pStyle w:val="NormalBold"/>
      </w:pPr>
      <w:r w:rsidRPr="006008DA">
        <w:rPr>
          <w:rStyle w:val="HideTWBExt"/>
          <w:b w:val="0"/>
          <w:noProof w:val="0"/>
        </w:rPr>
        <w:t>&lt;Article&gt;</w:t>
      </w:r>
      <w:r w:rsidRPr="006008DA">
        <w:t>Bilaga I – led 1 – led g</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4DDB38B3" w14:textId="77777777" w:rsidTr="005A1857">
        <w:trPr>
          <w:jc w:val="center"/>
        </w:trPr>
        <w:tc>
          <w:tcPr>
            <w:tcW w:w="9752" w:type="dxa"/>
            <w:gridSpan w:val="2"/>
          </w:tcPr>
          <w:p w14:paraId="3F5C2A9A" w14:textId="77777777" w:rsidR="00E276AB" w:rsidRPr="006008DA" w:rsidRDefault="00E276AB" w:rsidP="005A1857">
            <w:pPr>
              <w:keepNext/>
            </w:pPr>
          </w:p>
        </w:tc>
      </w:tr>
      <w:tr w:rsidR="00E276AB" w:rsidRPr="006008DA" w14:paraId="6FEE7AA7" w14:textId="77777777" w:rsidTr="005A1857">
        <w:trPr>
          <w:jc w:val="center"/>
        </w:trPr>
        <w:tc>
          <w:tcPr>
            <w:tcW w:w="4876" w:type="dxa"/>
            <w:hideMark/>
          </w:tcPr>
          <w:p w14:paraId="6E1B144D" w14:textId="77777777" w:rsidR="00E276AB" w:rsidRPr="006008DA" w:rsidRDefault="00E276AB" w:rsidP="005A1857">
            <w:pPr>
              <w:pStyle w:val="ColumnHeading"/>
              <w:keepNext/>
            </w:pPr>
            <w:r w:rsidRPr="006008DA">
              <w:t>Kommissionens förslag</w:t>
            </w:r>
          </w:p>
        </w:tc>
        <w:tc>
          <w:tcPr>
            <w:tcW w:w="4876" w:type="dxa"/>
            <w:hideMark/>
          </w:tcPr>
          <w:p w14:paraId="1FE6AFAE" w14:textId="77777777" w:rsidR="00E276AB" w:rsidRPr="006008DA" w:rsidRDefault="00E276AB" w:rsidP="005A1857">
            <w:pPr>
              <w:pStyle w:val="ColumnHeading"/>
              <w:keepNext/>
            </w:pPr>
            <w:r w:rsidRPr="006008DA">
              <w:t>Ändringsförslag</w:t>
            </w:r>
          </w:p>
        </w:tc>
      </w:tr>
      <w:tr w:rsidR="00E276AB" w:rsidRPr="006008DA" w14:paraId="13261500" w14:textId="77777777" w:rsidTr="005A1857">
        <w:trPr>
          <w:jc w:val="center"/>
        </w:trPr>
        <w:tc>
          <w:tcPr>
            <w:tcW w:w="4876" w:type="dxa"/>
            <w:hideMark/>
          </w:tcPr>
          <w:p w14:paraId="2AE44DB5" w14:textId="77777777" w:rsidR="00E276AB" w:rsidRPr="006008DA" w:rsidRDefault="00E276AB" w:rsidP="005A1857">
            <w:pPr>
              <w:pStyle w:val="Normal6"/>
            </w:pPr>
            <w:r w:rsidRPr="006008DA">
              <w:t>(g)</w:t>
            </w:r>
            <w:r w:rsidRPr="006008DA">
              <w:tab/>
              <w:t xml:space="preserve">Förhållandet mellan marknadsvärdet för de värdepapper som ingår i referensvärdet för </w:t>
            </w:r>
            <w:r w:rsidRPr="006008DA">
              <w:rPr>
                <w:b/>
                <w:i/>
              </w:rPr>
              <w:t>koldioxidsnåla</w:t>
            </w:r>
            <w:r w:rsidRPr="006008DA">
              <w:t xml:space="preserve"> investeringar och marknadsvärdet för de värdepapper som ingår i motsvarande standardindex.</w:t>
            </w:r>
          </w:p>
        </w:tc>
        <w:tc>
          <w:tcPr>
            <w:tcW w:w="4876" w:type="dxa"/>
            <w:hideMark/>
          </w:tcPr>
          <w:p w14:paraId="1385E81B" w14:textId="77777777" w:rsidR="00E276AB" w:rsidRPr="006008DA" w:rsidRDefault="00E276AB" w:rsidP="005A1857">
            <w:pPr>
              <w:pStyle w:val="Normal6"/>
              <w:rPr>
                <w:szCs w:val="24"/>
              </w:rPr>
            </w:pPr>
            <w:r w:rsidRPr="006008DA">
              <w:t>(g)</w:t>
            </w:r>
            <w:r w:rsidRPr="006008DA">
              <w:tab/>
              <w:t>Förhållandet mellan marknadsvärdet för de värdepapper som ingår i referensvärdet för investeringar</w:t>
            </w:r>
            <w:r w:rsidRPr="006008DA">
              <w:rPr>
                <w:b/>
                <w:i/>
              </w:rPr>
              <w:t xml:space="preserve"> med positiv effekt</w:t>
            </w:r>
            <w:r w:rsidRPr="006008DA">
              <w:t xml:space="preserve"> och marknadsvärdet för de värdepapper som ingår i motsvarande standardindex.</w:t>
            </w:r>
          </w:p>
        </w:tc>
      </w:tr>
    </w:tbl>
    <w:p w14:paraId="37005587" w14:textId="77777777" w:rsidR="00E276AB" w:rsidRPr="006008DA" w:rsidRDefault="00E276AB" w:rsidP="00E276AB">
      <w:r w:rsidRPr="006008DA">
        <w:rPr>
          <w:rStyle w:val="HideTWBExt"/>
          <w:noProof w:val="0"/>
        </w:rPr>
        <w:t>&lt;/Amend&gt;</w:t>
      </w:r>
    </w:p>
    <w:p w14:paraId="22DDDC2F"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36</w:t>
      </w:r>
      <w:r w:rsidRPr="006008DA">
        <w:rPr>
          <w:rStyle w:val="HideTWBExt"/>
          <w:b w:val="0"/>
          <w:noProof w:val="0"/>
        </w:rPr>
        <w:t>&lt;/NumAm&gt;</w:t>
      </w:r>
    </w:p>
    <w:p w14:paraId="3454BD22"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31E894D3" w14:textId="77777777" w:rsidR="00E276AB" w:rsidRPr="006008DA" w:rsidRDefault="00E276AB" w:rsidP="00E276AB">
      <w:pPr>
        <w:pStyle w:val="NormalBold"/>
      </w:pPr>
      <w:r w:rsidRPr="006008DA">
        <w:rPr>
          <w:rStyle w:val="HideTWBExt"/>
          <w:b w:val="0"/>
          <w:noProof w:val="0"/>
        </w:rPr>
        <w:t>&lt;Article&gt;</w:t>
      </w:r>
      <w:r w:rsidRPr="006008DA">
        <w:t>Bilaga I – led 1 – led h – inledningen</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61376AA3" w14:textId="77777777" w:rsidTr="005A1857">
        <w:trPr>
          <w:jc w:val="center"/>
        </w:trPr>
        <w:tc>
          <w:tcPr>
            <w:tcW w:w="9752" w:type="dxa"/>
            <w:gridSpan w:val="2"/>
          </w:tcPr>
          <w:p w14:paraId="42A22377" w14:textId="77777777" w:rsidR="00E276AB" w:rsidRPr="006008DA" w:rsidRDefault="00E276AB" w:rsidP="005A1857">
            <w:pPr>
              <w:keepNext/>
            </w:pPr>
          </w:p>
        </w:tc>
      </w:tr>
      <w:tr w:rsidR="00E276AB" w:rsidRPr="006008DA" w14:paraId="46056652" w14:textId="77777777" w:rsidTr="005A1857">
        <w:trPr>
          <w:jc w:val="center"/>
        </w:trPr>
        <w:tc>
          <w:tcPr>
            <w:tcW w:w="4876" w:type="dxa"/>
            <w:hideMark/>
          </w:tcPr>
          <w:p w14:paraId="2602EA53" w14:textId="77777777" w:rsidR="00E276AB" w:rsidRPr="006008DA" w:rsidRDefault="00E276AB" w:rsidP="005A1857">
            <w:pPr>
              <w:pStyle w:val="ColumnHeading"/>
              <w:keepNext/>
            </w:pPr>
            <w:r w:rsidRPr="006008DA">
              <w:t>Kommissionens förslag</w:t>
            </w:r>
          </w:p>
        </w:tc>
        <w:tc>
          <w:tcPr>
            <w:tcW w:w="4876" w:type="dxa"/>
            <w:hideMark/>
          </w:tcPr>
          <w:p w14:paraId="58E43656" w14:textId="77777777" w:rsidR="00E276AB" w:rsidRPr="006008DA" w:rsidRDefault="00E276AB" w:rsidP="005A1857">
            <w:pPr>
              <w:pStyle w:val="ColumnHeading"/>
              <w:keepNext/>
            </w:pPr>
            <w:r w:rsidRPr="006008DA">
              <w:t>Ändringsförslag</w:t>
            </w:r>
          </w:p>
        </w:tc>
      </w:tr>
      <w:tr w:rsidR="00E276AB" w:rsidRPr="006008DA" w14:paraId="6076696C" w14:textId="77777777" w:rsidTr="005A1857">
        <w:trPr>
          <w:jc w:val="center"/>
        </w:trPr>
        <w:tc>
          <w:tcPr>
            <w:tcW w:w="4876" w:type="dxa"/>
            <w:hideMark/>
          </w:tcPr>
          <w:p w14:paraId="583332E7" w14:textId="77777777" w:rsidR="00E276AB" w:rsidRPr="006008DA" w:rsidRDefault="00E276AB" w:rsidP="005A1857">
            <w:pPr>
              <w:pStyle w:val="Normal6"/>
            </w:pPr>
            <w:r w:rsidRPr="006008DA">
              <w:t>(h)</w:t>
            </w:r>
            <w:r w:rsidRPr="006008DA">
              <w:tab/>
              <w:t xml:space="preserve">Typ av data, och dess källa, som används vid valet av tillgångar eller företag som kvalificerar för att ingå i referensvärdet för </w:t>
            </w:r>
            <w:r w:rsidRPr="006008DA">
              <w:rPr>
                <w:b/>
                <w:i/>
              </w:rPr>
              <w:t>koldioxidsnåla</w:t>
            </w:r>
            <w:r w:rsidRPr="006008DA">
              <w:t xml:space="preserve"> investeringar, inklusive följande:</w:t>
            </w:r>
          </w:p>
        </w:tc>
        <w:tc>
          <w:tcPr>
            <w:tcW w:w="4876" w:type="dxa"/>
            <w:hideMark/>
          </w:tcPr>
          <w:p w14:paraId="3F349CF6" w14:textId="77777777" w:rsidR="00E276AB" w:rsidRPr="006008DA" w:rsidRDefault="00E276AB" w:rsidP="005A1857">
            <w:pPr>
              <w:pStyle w:val="Normal6"/>
              <w:rPr>
                <w:szCs w:val="24"/>
              </w:rPr>
            </w:pPr>
            <w:r w:rsidRPr="006008DA">
              <w:t>(h)</w:t>
            </w:r>
            <w:r w:rsidRPr="006008DA">
              <w:tab/>
              <w:t>Typ av data, och dess källa, som används vid valet av tillgångar eller företag som kvalificerar för att ingå i referensvärdet för investeringar</w:t>
            </w:r>
            <w:r w:rsidRPr="006008DA">
              <w:rPr>
                <w:b/>
                <w:i/>
              </w:rPr>
              <w:t xml:space="preserve"> med positiv effekt</w:t>
            </w:r>
            <w:r w:rsidRPr="006008DA">
              <w:t>, inklusive följande:</w:t>
            </w:r>
          </w:p>
        </w:tc>
      </w:tr>
    </w:tbl>
    <w:p w14:paraId="39B74F31" w14:textId="77777777" w:rsidR="00E276AB" w:rsidRPr="006008DA" w:rsidRDefault="00E276AB" w:rsidP="00E276AB">
      <w:r w:rsidRPr="006008DA">
        <w:rPr>
          <w:rStyle w:val="HideTWBExt"/>
          <w:noProof w:val="0"/>
        </w:rPr>
        <w:t>&lt;/Amend&gt;</w:t>
      </w:r>
    </w:p>
    <w:p w14:paraId="4865E769"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37</w:t>
      </w:r>
      <w:r w:rsidRPr="006008DA">
        <w:rPr>
          <w:rStyle w:val="HideTWBExt"/>
          <w:b w:val="0"/>
          <w:noProof w:val="0"/>
        </w:rPr>
        <w:t>&lt;/NumAm&gt;</w:t>
      </w:r>
    </w:p>
    <w:p w14:paraId="086B9478"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222B7399" w14:textId="77777777" w:rsidR="00E276AB" w:rsidRPr="006008DA" w:rsidRDefault="00E276AB" w:rsidP="00E276AB">
      <w:pPr>
        <w:pStyle w:val="NormalBold"/>
      </w:pPr>
      <w:r w:rsidRPr="006008DA">
        <w:rPr>
          <w:rStyle w:val="HideTWBExt"/>
          <w:b w:val="0"/>
          <w:noProof w:val="0"/>
        </w:rPr>
        <w:t>&lt;Article&gt;</w:t>
      </w:r>
      <w:r w:rsidRPr="006008DA">
        <w:t>Bilaga I – led 1 – led h – led va (nytt)</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7641153D" w14:textId="77777777" w:rsidTr="005A1857">
        <w:trPr>
          <w:jc w:val="center"/>
        </w:trPr>
        <w:tc>
          <w:tcPr>
            <w:tcW w:w="9752" w:type="dxa"/>
            <w:gridSpan w:val="2"/>
          </w:tcPr>
          <w:p w14:paraId="77FE6A4D" w14:textId="77777777" w:rsidR="00E276AB" w:rsidRPr="006008DA" w:rsidRDefault="00E276AB" w:rsidP="005A1857">
            <w:pPr>
              <w:keepNext/>
            </w:pPr>
          </w:p>
        </w:tc>
      </w:tr>
      <w:tr w:rsidR="00E276AB" w:rsidRPr="006008DA" w14:paraId="2B2168E3" w14:textId="77777777" w:rsidTr="005A1857">
        <w:trPr>
          <w:jc w:val="center"/>
        </w:trPr>
        <w:tc>
          <w:tcPr>
            <w:tcW w:w="4876" w:type="dxa"/>
            <w:hideMark/>
          </w:tcPr>
          <w:p w14:paraId="39D8BC5F" w14:textId="77777777" w:rsidR="00E276AB" w:rsidRPr="006008DA" w:rsidRDefault="00E276AB" w:rsidP="005A1857">
            <w:pPr>
              <w:pStyle w:val="ColumnHeading"/>
              <w:keepNext/>
            </w:pPr>
            <w:r w:rsidRPr="006008DA">
              <w:t>Kommissionens förslag</w:t>
            </w:r>
          </w:p>
        </w:tc>
        <w:tc>
          <w:tcPr>
            <w:tcW w:w="4876" w:type="dxa"/>
            <w:hideMark/>
          </w:tcPr>
          <w:p w14:paraId="4ABF620D" w14:textId="77777777" w:rsidR="00E276AB" w:rsidRPr="006008DA" w:rsidRDefault="00E276AB" w:rsidP="005A1857">
            <w:pPr>
              <w:pStyle w:val="ColumnHeading"/>
              <w:keepNext/>
            </w:pPr>
            <w:r w:rsidRPr="006008DA">
              <w:t>Ändringsförslag</w:t>
            </w:r>
          </w:p>
        </w:tc>
      </w:tr>
      <w:tr w:rsidR="00E276AB" w:rsidRPr="006008DA" w14:paraId="74E272B2" w14:textId="77777777" w:rsidTr="005A1857">
        <w:trPr>
          <w:jc w:val="center"/>
        </w:trPr>
        <w:tc>
          <w:tcPr>
            <w:tcW w:w="4876" w:type="dxa"/>
          </w:tcPr>
          <w:p w14:paraId="3BC18FFA" w14:textId="77777777" w:rsidR="00E276AB" w:rsidRPr="006008DA" w:rsidRDefault="00E276AB" w:rsidP="005A1857">
            <w:pPr>
              <w:pStyle w:val="Normal6"/>
            </w:pPr>
          </w:p>
        </w:tc>
        <w:tc>
          <w:tcPr>
            <w:tcW w:w="4876" w:type="dxa"/>
            <w:hideMark/>
          </w:tcPr>
          <w:p w14:paraId="0BBD368D" w14:textId="77777777" w:rsidR="00E276AB" w:rsidRPr="006008DA" w:rsidRDefault="00E276AB" w:rsidP="005A1857">
            <w:pPr>
              <w:pStyle w:val="Normal6"/>
              <w:rPr>
                <w:szCs w:val="24"/>
              </w:rPr>
            </w:pPr>
            <w:r w:rsidRPr="006008DA">
              <w:rPr>
                <w:b/>
                <w:i/>
              </w:rPr>
              <w:t>(va)</w:t>
            </w:r>
            <w:r w:rsidRPr="006008DA">
              <w:rPr>
                <w:b/>
                <w:i/>
              </w:rPr>
              <w:tab/>
              <w:t>Effekter på grundval av övriga indikatorer för cirkulär ekonomi, i enlighet med kommissionens övervakningsram för den cirkulära ekonomin och EU-handlingsplanen för den cirkulära ekonomin, däribland inverkan på den biologiska mångfalden, produktionen av avfall och användningen av energi, förnybar energi, råvaror, vatten och mark.</w:t>
            </w:r>
          </w:p>
        </w:tc>
      </w:tr>
    </w:tbl>
    <w:p w14:paraId="2E570EB3" w14:textId="77777777" w:rsidR="00E276AB" w:rsidRPr="006008DA" w:rsidRDefault="00E276AB" w:rsidP="00E276AB">
      <w:r w:rsidRPr="006008DA">
        <w:rPr>
          <w:rStyle w:val="HideTWBExt"/>
          <w:noProof w:val="0"/>
        </w:rPr>
        <w:t>&lt;/Amend&gt;</w:t>
      </w:r>
    </w:p>
    <w:p w14:paraId="5CDBC291"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38</w:t>
      </w:r>
      <w:r w:rsidRPr="006008DA">
        <w:rPr>
          <w:rStyle w:val="HideTWBExt"/>
          <w:b w:val="0"/>
          <w:noProof w:val="0"/>
        </w:rPr>
        <w:t>&lt;/NumAm&gt;</w:t>
      </w:r>
    </w:p>
    <w:p w14:paraId="75C410D6"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7DC6CB9D" w14:textId="77777777" w:rsidR="00E276AB" w:rsidRPr="006008DA" w:rsidRDefault="00E276AB" w:rsidP="00E276AB">
      <w:pPr>
        <w:pStyle w:val="NormalBold"/>
      </w:pPr>
      <w:r w:rsidRPr="006008DA">
        <w:rPr>
          <w:rStyle w:val="HideTWBExt"/>
          <w:b w:val="0"/>
          <w:noProof w:val="0"/>
        </w:rPr>
        <w:t>&lt;Article&gt;</w:t>
      </w:r>
      <w:r w:rsidRPr="006008DA">
        <w:t>Bilaga – led 1 – led i</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5B653A69" w14:textId="77777777" w:rsidTr="005A1857">
        <w:trPr>
          <w:jc w:val="center"/>
        </w:trPr>
        <w:tc>
          <w:tcPr>
            <w:tcW w:w="9752" w:type="dxa"/>
            <w:gridSpan w:val="2"/>
          </w:tcPr>
          <w:p w14:paraId="4E7E3933" w14:textId="77777777" w:rsidR="00E276AB" w:rsidRPr="006008DA" w:rsidRDefault="00E276AB" w:rsidP="005A1857">
            <w:pPr>
              <w:keepNext/>
            </w:pPr>
          </w:p>
        </w:tc>
      </w:tr>
      <w:tr w:rsidR="00E276AB" w:rsidRPr="006008DA" w14:paraId="23C81F80" w14:textId="77777777" w:rsidTr="005A1857">
        <w:trPr>
          <w:jc w:val="center"/>
        </w:trPr>
        <w:tc>
          <w:tcPr>
            <w:tcW w:w="4876" w:type="dxa"/>
            <w:hideMark/>
          </w:tcPr>
          <w:p w14:paraId="557EA2AA" w14:textId="77777777" w:rsidR="00E276AB" w:rsidRPr="006008DA" w:rsidRDefault="00E276AB" w:rsidP="005A1857">
            <w:pPr>
              <w:pStyle w:val="ColumnHeading"/>
              <w:keepNext/>
            </w:pPr>
            <w:r w:rsidRPr="006008DA">
              <w:t>Kommissionens förslag</w:t>
            </w:r>
          </w:p>
        </w:tc>
        <w:tc>
          <w:tcPr>
            <w:tcW w:w="4876" w:type="dxa"/>
            <w:hideMark/>
          </w:tcPr>
          <w:p w14:paraId="76332966" w14:textId="77777777" w:rsidR="00E276AB" w:rsidRPr="006008DA" w:rsidRDefault="00E276AB" w:rsidP="005A1857">
            <w:pPr>
              <w:pStyle w:val="ColumnHeading"/>
              <w:keepNext/>
            </w:pPr>
            <w:r w:rsidRPr="006008DA">
              <w:t>Ändringsförslag</w:t>
            </w:r>
          </w:p>
        </w:tc>
      </w:tr>
      <w:tr w:rsidR="00E276AB" w:rsidRPr="006008DA" w14:paraId="7872CEB9" w14:textId="77777777" w:rsidTr="005A1857">
        <w:trPr>
          <w:jc w:val="center"/>
        </w:trPr>
        <w:tc>
          <w:tcPr>
            <w:tcW w:w="4876" w:type="dxa"/>
            <w:hideMark/>
          </w:tcPr>
          <w:p w14:paraId="4F6D2546" w14:textId="77777777" w:rsidR="00E276AB" w:rsidRPr="006008DA" w:rsidRDefault="00E276AB" w:rsidP="005A1857">
            <w:pPr>
              <w:pStyle w:val="Normal6"/>
            </w:pPr>
            <w:r w:rsidRPr="006008DA">
              <w:t>(i)</w:t>
            </w:r>
            <w:r w:rsidRPr="006008DA">
              <w:tab/>
              <w:t xml:space="preserve">Indexportföljens totala </w:t>
            </w:r>
            <w:r w:rsidRPr="006008DA">
              <w:rPr>
                <w:b/>
                <w:i/>
              </w:rPr>
              <w:t>koldioxidavtryckexponering</w:t>
            </w:r>
            <w:r w:rsidRPr="006008DA">
              <w:t xml:space="preserve"> och den uppskattade </w:t>
            </w:r>
            <w:r w:rsidRPr="006008DA">
              <w:rPr>
                <w:b/>
                <w:i/>
              </w:rPr>
              <w:t>effekten på begränsningen av klimatförändringarna</w:t>
            </w:r>
            <w:r w:rsidRPr="006008DA">
              <w:t xml:space="preserve"> av den</w:t>
            </w:r>
            <w:r w:rsidRPr="006008DA">
              <w:rPr>
                <w:b/>
                <w:i/>
              </w:rPr>
              <w:t xml:space="preserve"> koldioxidsnåla</w:t>
            </w:r>
            <w:r w:rsidRPr="006008DA">
              <w:t xml:space="preserve"> strategi som referensvärdet representerar.</w:t>
            </w:r>
          </w:p>
        </w:tc>
        <w:tc>
          <w:tcPr>
            <w:tcW w:w="4876" w:type="dxa"/>
            <w:hideMark/>
          </w:tcPr>
          <w:p w14:paraId="293BDBFA" w14:textId="77777777" w:rsidR="00E276AB" w:rsidRPr="006008DA" w:rsidRDefault="00E276AB" w:rsidP="005A1857">
            <w:pPr>
              <w:pStyle w:val="Normal6"/>
              <w:rPr>
                <w:szCs w:val="24"/>
              </w:rPr>
            </w:pPr>
            <w:r w:rsidRPr="006008DA">
              <w:t>(i)</w:t>
            </w:r>
            <w:r w:rsidRPr="006008DA">
              <w:tab/>
              <w:t xml:space="preserve">Indexportföljens totala </w:t>
            </w:r>
            <w:r w:rsidRPr="006008DA">
              <w:rPr>
                <w:b/>
                <w:i/>
              </w:rPr>
              <w:t xml:space="preserve">nettomiljöeffekt </w:t>
            </w:r>
            <w:r w:rsidRPr="006008DA">
              <w:t xml:space="preserve">och den uppskattade </w:t>
            </w:r>
            <w:r w:rsidRPr="006008DA">
              <w:rPr>
                <w:b/>
                <w:i/>
              </w:rPr>
              <w:t>miljöeffekten</w:t>
            </w:r>
            <w:r w:rsidRPr="006008DA">
              <w:t xml:space="preserve"> av den strategi som referensvärdet representerar.</w:t>
            </w:r>
          </w:p>
        </w:tc>
      </w:tr>
    </w:tbl>
    <w:p w14:paraId="6771854B" w14:textId="77777777" w:rsidR="00E276AB" w:rsidRPr="006008DA" w:rsidRDefault="00E276AB" w:rsidP="00E276AB">
      <w:r w:rsidRPr="006008DA">
        <w:rPr>
          <w:rStyle w:val="HideTWBExt"/>
          <w:noProof w:val="0"/>
        </w:rPr>
        <w:t>&lt;/Amend&gt;</w:t>
      </w:r>
    </w:p>
    <w:p w14:paraId="09137247"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39</w:t>
      </w:r>
      <w:r w:rsidRPr="006008DA">
        <w:rPr>
          <w:rStyle w:val="HideTWBExt"/>
          <w:b w:val="0"/>
          <w:noProof w:val="0"/>
        </w:rPr>
        <w:t>&lt;/NumAm&gt;</w:t>
      </w:r>
    </w:p>
    <w:p w14:paraId="4A13D413"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75BBC546" w14:textId="77777777" w:rsidR="00E276AB" w:rsidRPr="006008DA" w:rsidRDefault="00E276AB" w:rsidP="00E276AB">
      <w:pPr>
        <w:pStyle w:val="NormalBold"/>
      </w:pPr>
      <w:r w:rsidRPr="006008DA">
        <w:rPr>
          <w:rStyle w:val="HideTWBExt"/>
          <w:b w:val="0"/>
          <w:noProof w:val="0"/>
        </w:rPr>
        <w:t>&lt;Article&gt;</w:t>
      </w:r>
      <w:r w:rsidRPr="006008DA">
        <w:t>Bilaga – led 1 – led j</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7B3F8CD7" w14:textId="77777777" w:rsidTr="005A1857">
        <w:trPr>
          <w:jc w:val="center"/>
        </w:trPr>
        <w:tc>
          <w:tcPr>
            <w:tcW w:w="9752" w:type="dxa"/>
            <w:gridSpan w:val="2"/>
          </w:tcPr>
          <w:p w14:paraId="3F8C0F9B" w14:textId="77777777" w:rsidR="00E276AB" w:rsidRPr="006008DA" w:rsidRDefault="00E276AB" w:rsidP="005A1857">
            <w:pPr>
              <w:keepNext/>
            </w:pPr>
          </w:p>
        </w:tc>
      </w:tr>
      <w:tr w:rsidR="00E276AB" w:rsidRPr="006008DA" w14:paraId="07001E7F" w14:textId="77777777" w:rsidTr="005A1857">
        <w:trPr>
          <w:jc w:val="center"/>
        </w:trPr>
        <w:tc>
          <w:tcPr>
            <w:tcW w:w="4876" w:type="dxa"/>
            <w:hideMark/>
          </w:tcPr>
          <w:p w14:paraId="500B04A6" w14:textId="77777777" w:rsidR="00E276AB" w:rsidRPr="006008DA" w:rsidRDefault="00E276AB" w:rsidP="005A1857">
            <w:pPr>
              <w:pStyle w:val="ColumnHeading"/>
              <w:keepNext/>
            </w:pPr>
            <w:r w:rsidRPr="006008DA">
              <w:t>Kommissionens förslag</w:t>
            </w:r>
          </w:p>
        </w:tc>
        <w:tc>
          <w:tcPr>
            <w:tcW w:w="4876" w:type="dxa"/>
            <w:hideMark/>
          </w:tcPr>
          <w:p w14:paraId="51BE278D" w14:textId="77777777" w:rsidR="00E276AB" w:rsidRPr="006008DA" w:rsidRDefault="00E276AB" w:rsidP="005A1857">
            <w:pPr>
              <w:pStyle w:val="ColumnHeading"/>
              <w:keepNext/>
            </w:pPr>
            <w:r w:rsidRPr="006008DA">
              <w:t>Ändringsförslag</w:t>
            </w:r>
          </w:p>
        </w:tc>
      </w:tr>
      <w:tr w:rsidR="00E276AB" w:rsidRPr="006008DA" w14:paraId="68FED56E" w14:textId="77777777" w:rsidTr="005A1857">
        <w:trPr>
          <w:jc w:val="center"/>
        </w:trPr>
        <w:tc>
          <w:tcPr>
            <w:tcW w:w="4876" w:type="dxa"/>
            <w:hideMark/>
          </w:tcPr>
          <w:p w14:paraId="2A9EB28C" w14:textId="77777777" w:rsidR="00E276AB" w:rsidRPr="006008DA" w:rsidRDefault="00E276AB" w:rsidP="005A1857">
            <w:pPr>
              <w:pStyle w:val="Normal6"/>
            </w:pPr>
            <w:r w:rsidRPr="006008DA">
              <w:t>(j)</w:t>
            </w:r>
            <w:r w:rsidRPr="006008DA">
              <w:tab/>
              <w:t xml:space="preserve">Skälen till varför man har valt en viss </w:t>
            </w:r>
            <w:r w:rsidRPr="006008DA">
              <w:rPr>
                <w:b/>
                <w:i/>
              </w:rPr>
              <w:t>strategi</w:t>
            </w:r>
            <w:r w:rsidRPr="006008DA">
              <w:t xml:space="preserve"> eller ett visst </w:t>
            </w:r>
            <w:r w:rsidRPr="006008DA">
              <w:rPr>
                <w:b/>
                <w:i/>
              </w:rPr>
              <w:t>mål för metoden för låga koldioxidutsläpp</w:t>
            </w:r>
            <w:r w:rsidRPr="006008DA">
              <w:t xml:space="preserve">, och en förklaring till varför metoden är lämplig för beräkning av referensvärdets mål för </w:t>
            </w:r>
            <w:r w:rsidRPr="006008DA">
              <w:rPr>
                <w:b/>
                <w:i/>
              </w:rPr>
              <w:t>låga koldioxidutsläpp</w:t>
            </w:r>
            <w:r w:rsidRPr="006008DA">
              <w:t>.</w:t>
            </w:r>
          </w:p>
        </w:tc>
        <w:tc>
          <w:tcPr>
            <w:tcW w:w="4876" w:type="dxa"/>
            <w:hideMark/>
          </w:tcPr>
          <w:p w14:paraId="2534787B" w14:textId="77777777" w:rsidR="00E276AB" w:rsidRPr="006008DA" w:rsidRDefault="00E276AB" w:rsidP="005A1857">
            <w:pPr>
              <w:pStyle w:val="Normal6"/>
              <w:rPr>
                <w:szCs w:val="24"/>
              </w:rPr>
            </w:pPr>
            <w:r w:rsidRPr="006008DA">
              <w:t>(j)</w:t>
            </w:r>
            <w:r w:rsidRPr="006008DA">
              <w:tab/>
              <w:t xml:space="preserve">Skälen till varför man har valt en viss </w:t>
            </w:r>
            <w:r w:rsidRPr="006008DA">
              <w:rPr>
                <w:b/>
                <w:i/>
              </w:rPr>
              <w:t>miljöstrategi</w:t>
            </w:r>
            <w:r w:rsidRPr="006008DA">
              <w:t xml:space="preserve"> eller ett visst </w:t>
            </w:r>
            <w:r w:rsidRPr="006008DA">
              <w:rPr>
                <w:b/>
                <w:i/>
              </w:rPr>
              <w:t>hållbarhetsmål</w:t>
            </w:r>
            <w:r w:rsidRPr="006008DA">
              <w:t xml:space="preserve">, och en förklaring till varför metoden är lämplig för beräkning av referensvärdets mål för </w:t>
            </w:r>
            <w:r w:rsidRPr="006008DA">
              <w:rPr>
                <w:b/>
                <w:i/>
              </w:rPr>
              <w:t>miljöeffekt och hållbarhet</w:t>
            </w:r>
            <w:r w:rsidRPr="006008DA">
              <w:t>.</w:t>
            </w:r>
          </w:p>
        </w:tc>
      </w:tr>
    </w:tbl>
    <w:p w14:paraId="134ED97F" w14:textId="77777777" w:rsidR="00E276AB" w:rsidRPr="006008DA" w:rsidRDefault="00E276AB" w:rsidP="00E276AB">
      <w:r w:rsidRPr="006008DA">
        <w:rPr>
          <w:rStyle w:val="HideTWBExt"/>
          <w:noProof w:val="0"/>
        </w:rPr>
        <w:t>&lt;/Amend&gt;</w:t>
      </w:r>
    </w:p>
    <w:p w14:paraId="52FA8C44"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40</w:t>
      </w:r>
      <w:r w:rsidRPr="006008DA">
        <w:rPr>
          <w:rStyle w:val="HideTWBExt"/>
          <w:b w:val="0"/>
          <w:noProof w:val="0"/>
        </w:rPr>
        <w:t>&lt;/NumAm&gt;</w:t>
      </w:r>
    </w:p>
    <w:p w14:paraId="70E3F035"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7383037B" w14:textId="77777777" w:rsidR="00E276AB" w:rsidRPr="006008DA" w:rsidRDefault="00E276AB" w:rsidP="00E276AB">
      <w:pPr>
        <w:pStyle w:val="NormalBold"/>
      </w:pPr>
      <w:r w:rsidRPr="006008DA">
        <w:rPr>
          <w:rStyle w:val="HideTWBExt"/>
          <w:b w:val="0"/>
          <w:noProof w:val="0"/>
        </w:rPr>
        <w:t>&lt;Article&gt;</w:t>
      </w:r>
      <w:r w:rsidRPr="006008DA">
        <w:t>Bilaga – underrubrik 3</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48C59E6B" w14:textId="77777777" w:rsidTr="005A1857">
        <w:trPr>
          <w:jc w:val="center"/>
        </w:trPr>
        <w:tc>
          <w:tcPr>
            <w:tcW w:w="9752" w:type="dxa"/>
            <w:gridSpan w:val="2"/>
          </w:tcPr>
          <w:p w14:paraId="04298AFC" w14:textId="77777777" w:rsidR="00E276AB" w:rsidRPr="006008DA" w:rsidRDefault="00E276AB" w:rsidP="005A1857">
            <w:pPr>
              <w:keepNext/>
            </w:pPr>
          </w:p>
        </w:tc>
      </w:tr>
      <w:tr w:rsidR="00E276AB" w:rsidRPr="006008DA" w14:paraId="76FE7750" w14:textId="77777777" w:rsidTr="005A1857">
        <w:trPr>
          <w:jc w:val="center"/>
        </w:trPr>
        <w:tc>
          <w:tcPr>
            <w:tcW w:w="4876" w:type="dxa"/>
            <w:hideMark/>
          </w:tcPr>
          <w:p w14:paraId="605B438A" w14:textId="77777777" w:rsidR="00E276AB" w:rsidRPr="006008DA" w:rsidRDefault="00E276AB" w:rsidP="005A1857">
            <w:pPr>
              <w:pStyle w:val="ColumnHeading"/>
              <w:keepNext/>
            </w:pPr>
            <w:r w:rsidRPr="006008DA">
              <w:t>Kommissionens förslag</w:t>
            </w:r>
          </w:p>
        </w:tc>
        <w:tc>
          <w:tcPr>
            <w:tcW w:w="4876" w:type="dxa"/>
            <w:hideMark/>
          </w:tcPr>
          <w:p w14:paraId="283AE8B7" w14:textId="77777777" w:rsidR="00E276AB" w:rsidRPr="006008DA" w:rsidRDefault="00E276AB" w:rsidP="005A1857">
            <w:pPr>
              <w:pStyle w:val="ColumnHeading"/>
              <w:keepNext/>
            </w:pPr>
            <w:r w:rsidRPr="006008DA">
              <w:t>Ändringsförslag</w:t>
            </w:r>
          </w:p>
        </w:tc>
      </w:tr>
      <w:tr w:rsidR="00E276AB" w:rsidRPr="006008DA" w14:paraId="396AC4D3" w14:textId="77777777" w:rsidTr="005A1857">
        <w:trPr>
          <w:jc w:val="center"/>
        </w:trPr>
        <w:tc>
          <w:tcPr>
            <w:tcW w:w="4876" w:type="dxa"/>
            <w:hideMark/>
          </w:tcPr>
          <w:p w14:paraId="1B34392B" w14:textId="77777777" w:rsidR="00E276AB" w:rsidRPr="006008DA" w:rsidRDefault="00E276AB" w:rsidP="005A1857">
            <w:pPr>
              <w:pStyle w:val="Normal6"/>
            </w:pPr>
            <w:r w:rsidRPr="006008DA">
              <w:t xml:space="preserve">Metod för referensvärden för </w:t>
            </w:r>
            <w:r w:rsidRPr="006008DA">
              <w:rPr>
                <w:b/>
                <w:i/>
              </w:rPr>
              <w:t>klimatpositiva</w:t>
            </w:r>
            <w:r w:rsidRPr="006008DA">
              <w:t xml:space="preserve"> investeringar</w:t>
            </w:r>
          </w:p>
        </w:tc>
        <w:tc>
          <w:tcPr>
            <w:tcW w:w="4876" w:type="dxa"/>
            <w:hideMark/>
          </w:tcPr>
          <w:p w14:paraId="3D81D8E6" w14:textId="77777777" w:rsidR="00E276AB" w:rsidRPr="006008DA" w:rsidRDefault="00E276AB" w:rsidP="005A1857">
            <w:pPr>
              <w:pStyle w:val="Normal6"/>
              <w:rPr>
                <w:szCs w:val="24"/>
              </w:rPr>
            </w:pPr>
            <w:r w:rsidRPr="006008DA">
              <w:rPr>
                <w:b/>
                <w:i/>
              </w:rPr>
              <w:t xml:space="preserve">Ytterligare </w:t>
            </w:r>
            <w:r w:rsidRPr="006008DA">
              <w:t>metod för referensvärden för investeringar</w:t>
            </w:r>
            <w:r w:rsidRPr="006008DA">
              <w:rPr>
                <w:b/>
                <w:i/>
              </w:rPr>
              <w:t xml:space="preserve"> med positiv effekt</w:t>
            </w:r>
          </w:p>
        </w:tc>
      </w:tr>
    </w:tbl>
    <w:p w14:paraId="500DA140" w14:textId="77777777" w:rsidR="00E276AB" w:rsidRPr="006008DA" w:rsidRDefault="00E276AB" w:rsidP="00E276AB">
      <w:r w:rsidRPr="006008DA">
        <w:rPr>
          <w:rStyle w:val="HideTWBExt"/>
          <w:noProof w:val="0"/>
        </w:rPr>
        <w:t>&lt;/Amend&gt;</w:t>
      </w:r>
    </w:p>
    <w:p w14:paraId="35F002D8"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41</w:t>
      </w:r>
      <w:r w:rsidRPr="006008DA">
        <w:rPr>
          <w:rStyle w:val="HideTWBExt"/>
          <w:b w:val="0"/>
          <w:noProof w:val="0"/>
        </w:rPr>
        <w:t>&lt;/NumAm&gt;</w:t>
      </w:r>
    </w:p>
    <w:p w14:paraId="53A9F634"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3A570BA6" w14:textId="77777777" w:rsidR="00E276AB" w:rsidRPr="006008DA" w:rsidRDefault="00E276AB" w:rsidP="00E276AB">
      <w:pPr>
        <w:pStyle w:val="NormalBold"/>
      </w:pPr>
      <w:r w:rsidRPr="006008DA">
        <w:rPr>
          <w:rStyle w:val="HideTWBExt"/>
          <w:b w:val="0"/>
          <w:noProof w:val="0"/>
        </w:rPr>
        <w:t>&lt;Article&gt;</w:t>
      </w:r>
      <w:r w:rsidRPr="006008DA">
        <w:t>Bilaga – led 2</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5469F9B0" w14:textId="77777777" w:rsidTr="005A1857">
        <w:trPr>
          <w:jc w:val="center"/>
        </w:trPr>
        <w:tc>
          <w:tcPr>
            <w:tcW w:w="9752" w:type="dxa"/>
            <w:gridSpan w:val="2"/>
          </w:tcPr>
          <w:p w14:paraId="3866A237" w14:textId="77777777" w:rsidR="00E276AB" w:rsidRPr="006008DA" w:rsidRDefault="00E276AB" w:rsidP="005A1857">
            <w:pPr>
              <w:keepNext/>
            </w:pPr>
          </w:p>
        </w:tc>
      </w:tr>
      <w:tr w:rsidR="00E276AB" w:rsidRPr="006008DA" w14:paraId="438DE9FE" w14:textId="77777777" w:rsidTr="005A1857">
        <w:trPr>
          <w:jc w:val="center"/>
        </w:trPr>
        <w:tc>
          <w:tcPr>
            <w:tcW w:w="4876" w:type="dxa"/>
            <w:hideMark/>
          </w:tcPr>
          <w:p w14:paraId="009CA963" w14:textId="77777777" w:rsidR="00E276AB" w:rsidRPr="006008DA" w:rsidRDefault="00E276AB" w:rsidP="005A1857">
            <w:pPr>
              <w:pStyle w:val="ColumnHeading"/>
              <w:keepNext/>
            </w:pPr>
            <w:r w:rsidRPr="006008DA">
              <w:t>Kommissionens förslag</w:t>
            </w:r>
          </w:p>
        </w:tc>
        <w:tc>
          <w:tcPr>
            <w:tcW w:w="4876" w:type="dxa"/>
            <w:hideMark/>
          </w:tcPr>
          <w:p w14:paraId="151AE347" w14:textId="77777777" w:rsidR="00E276AB" w:rsidRPr="006008DA" w:rsidRDefault="00E276AB" w:rsidP="005A1857">
            <w:pPr>
              <w:pStyle w:val="ColumnHeading"/>
              <w:keepNext/>
            </w:pPr>
            <w:r w:rsidRPr="006008DA">
              <w:t>Ändringsförslag</w:t>
            </w:r>
          </w:p>
        </w:tc>
      </w:tr>
      <w:tr w:rsidR="00E276AB" w:rsidRPr="006008DA" w14:paraId="137A2442" w14:textId="77777777" w:rsidTr="005A1857">
        <w:trPr>
          <w:jc w:val="center"/>
        </w:trPr>
        <w:tc>
          <w:tcPr>
            <w:tcW w:w="4876" w:type="dxa"/>
            <w:hideMark/>
          </w:tcPr>
          <w:p w14:paraId="36569A64" w14:textId="77777777" w:rsidR="00E276AB" w:rsidRPr="006008DA" w:rsidRDefault="00E276AB" w:rsidP="005A1857">
            <w:pPr>
              <w:pStyle w:val="Normal6"/>
            </w:pPr>
            <w:r w:rsidRPr="006008DA">
              <w:t>2.</w:t>
            </w:r>
            <w:r w:rsidRPr="006008DA">
              <w:tab/>
              <w:t xml:space="preserve">Administratören av ett referensvärde för </w:t>
            </w:r>
            <w:r w:rsidRPr="006008DA">
              <w:rPr>
                <w:b/>
                <w:i/>
              </w:rPr>
              <w:t>klimatpositiva</w:t>
            </w:r>
            <w:r w:rsidRPr="006008DA">
              <w:t xml:space="preserve"> investeringar ska, utöver uppfyllandet av </w:t>
            </w:r>
            <w:r w:rsidRPr="006008DA">
              <w:rPr>
                <w:b/>
                <w:i/>
              </w:rPr>
              <w:t>de</w:t>
            </w:r>
            <w:r w:rsidRPr="006008DA">
              <w:t xml:space="preserve"> skyldigheter</w:t>
            </w:r>
            <w:r w:rsidRPr="006008DA">
              <w:rPr>
                <w:b/>
                <w:i/>
              </w:rPr>
              <w:t xml:space="preserve"> som gäller för administratörer av referensvärden för koldioxidsnåla investeringar</w:t>
            </w:r>
            <w:r w:rsidRPr="006008DA">
              <w:t xml:space="preserve">, redovisa de positiva </w:t>
            </w:r>
            <w:r w:rsidRPr="006008DA">
              <w:rPr>
                <w:b/>
                <w:i/>
              </w:rPr>
              <w:t>koldioxideffekterna</w:t>
            </w:r>
            <w:r w:rsidRPr="006008DA">
              <w:t xml:space="preserve"> av varje underliggande tillgång som ingår i referensvärdet och ange den formel eller den beräkningsmetod som används för att fastställa </w:t>
            </w:r>
            <w:r w:rsidRPr="006008DA">
              <w:rPr>
                <w:b/>
                <w:i/>
              </w:rPr>
              <w:t>om utsläppsminskningarna är större än tillgångens eller företagets koldioxidavtryck (kvot för positiv klimateffekt)</w:t>
            </w:r>
            <w:r w:rsidRPr="006008DA">
              <w:t>.</w:t>
            </w:r>
          </w:p>
        </w:tc>
        <w:tc>
          <w:tcPr>
            <w:tcW w:w="4876" w:type="dxa"/>
            <w:hideMark/>
          </w:tcPr>
          <w:p w14:paraId="336DB9B5" w14:textId="77777777" w:rsidR="00E276AB" w:rsidRPr="006008DA" w:rsidRDefault="00E276AB" w:rsidP="005A1857">
            <w:pPr>
              <w:pStyle w:val="Normal6"/>
              <w:rPr>
                <w:szCs w:val="24"/>
              </w:rPr>
            </w:pPr>
            <w:r w:rsidRPr="006008DA">
              <w:t>2.</w:t>
            </w:r>
            <w:r w:rsidRPr="006008DA">
              <w:tab/>
              <w:t>Administratören av ett referensvärde för investeringar</w:t>
            </w:r>
            <w:r w:rsidRPr="006008DA">
              <w:rPr>
                <w:b/>
                <w:i/>
              </w:rPr>
              <w:t xml:space="preserve"> med positiv effekt</w:t>
            </w:r>
            <w:r w:rsidRPr="006008DA">
              <w:t xml:space="preserve"> ska, utöver uppfyllandet av </w:t>
            </w:r>
            <w:r w:rsidRPr="006008DA">
              <w:rPr>
                <w:b/>
                <w:i/>
              </w:rPr>
              <w:t>ovannämnda</w:t>
            </w:r>
            <w:r w:rsidRPr="006008DA">
              <w:t xml:space="preserve"> skyldigheter, redovisa de positiva </w:t>
            </w:r>
            <w:r w:rsidRPr="006008DA">
              <w:rPr>
                <w:b/>
                <w:i/>
              </w:rPr>
              <w:t>miljöeffekterna</w:t>
            </w:r>
            <w:r w:rsidRPr="006008DA">
              <w:t xml:space="preserve"> av varje underliggande tillgång som ingår i referensvärdet och ange den formel eller den beräkningsmetod som används för att fastställa </w:t>
            </w:r>
            <w:r w:rsidRPr="006008DA">
              <w:rPr>
                <w:b/>
                <w:i/>
              </w:rPr>
              <w:t>nettoeffekten</w:t>
            </w:r>
            <w:r w:rsidRPr="006008DA">
              <w:t>.</w:t>
            </w:r>
          </w:p>
        </w:tc>
      </w:tr>
    </w:tbl>
    <w:p w14:paraId="4FCDA0BD" w14:textId="77777777" w:rsidR="00E276AB" w:rsidRPr="006008DA" w:rsidRDefault="00E276AB" w:rsidP="00E276AB">
      <w:r w:rsidRPr="006008DA">
        <w:rPr>
          <w:rStyle w:val="HideTWBExt"/>
          <w:noProof w:val="0"/>
        </w:rPr>
        <w:t>&lt;/Amend&gt;</w:t>
      </w:r>
    </w:p>
    <w:p w14:paraId="1E9C454F"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42</w:t>
      </w:r>
      <w:r w:rsidRPr="006008DA">
        <w:rPr>
          <w:rStyle w:val="HideTWBExt"/>
          <w:b w:val="0"/>
          <w:noProof w:val="0"/>
        </w:rPr>
        <w:t>&lt;/NumAm&gt;</w:t>
      </w:r>
    </w:p>
    <w:p w14:paraId="6C1BA896"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7C1F67DE" w14:textId="77777777" w:rsidR="00E276AB" w:rsidRPr="006008DA" w:rsidRDefault="00E276AB" w:rsidP="00E276AB">
      <w:pPr>
        <w:pStyle w:val="NormalBold"/>
      </w:pPr>
      <w:r w:rsidRPr="006008DA">
        <w:rPr>
          <w:rStyle w:val="HideTWBExt"/>
          <w:b w:val="0"/>
          <w:noProof w:val="0"/>
        </w:rPr>
        <w:t>&lt;Article&gt;</w:t>
      </w:r>
      <w:r w:rsidRPr="006008DA">
        <w:t>Bilaga – led 3 – inledningen</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54685FB8" w14:textId="77777777" w:rsidTr="005A1857">
        <w:trPr>
          <w:jc w:val="center"/>
        </w:trPr>
        <w:tc>
          <w:tcPr>
            <w:tcW w:w="9752" w:type="dxa"/>
            <w:gridSpan w:val="2"/>
          </w:tcPr>
          <w:p w14:paraId="5BE0A6B5" w14:textId="77777777" w:rsidR="00E276AB" w:rsidRPr="006008DA" w:rsidRDefault="00E276AB" w:rsidP="005A1857">
            <w:pPr>
              <w:keepNext/>
            </w:pPr>
          </w:p>
        </w:tc>
      </w:tr>
      <w:tr w:rsidR="00E276AB" w:rsidRPr="006008DA" w14:paraId="3C6A42DC" w14:textId="77777777" w:rsidTr="005A1857">
        <w:trPr>
          <w:jc w:val="center"/>
        </w:trPr>
        <w:tc>
          <w:tcPr>
            <w:tcW w:w="4876" w:type="dxa"/>
            <w:hideMark/>
          </w:tcPr>
          <w:p w14:paraId="432CFA3F" w14:textId="77777777" w:rsidR="00E276AB" w:rsidRPr="006008DA" w:rsidRDefault="00E276AB" w:rsidP="005A1857">
            <w:pPr>
              <w:pStyle w:val="ColumnHeading"/>
              <w:keepNext/>
            </w:pPr>
            <w:r w:rsidRPr="006008DA">
              <w:t>Kommissionens förslag</w:t>
            </w:r>
          </w:p>
        </w:tc>
        <w:tc>
          <w:tcPr>
            <w:tcW w:w="4876" w:type="dxa"/>
            <w:hideMark/>
          </w:tcPr>
          <w:p w14:paraId="2F892C03" w14:textId="77777777" w:rsidR="00E276AB" w:rsidRPr="006008DA" w:rsidRDefault="00E276AB" w:rsidP="005A1857">
            <w:pPr>
              <w:pStyle w:val="ColumnHeading"/>
              <w:keepNext/>
            </w:pPr>
            <w:r w:rsidRPr="006008DA">
              <w:t>Ändringsförslag</w:t>
            </w:r>
          </w:p>
        </w:tc>
      </w:tr>
      <w:tr w:rsidR="00E276AB" w:rsidRPr="006008DA" w14:paraId="463F37D3" w14:textId="77777777" w:rsidTr="005A1857">
        <w:trPr>
          <w:jc w:val="center"/>
        </w:trPr>
        <w:tc>
          <w:tcPr>
            <w:tcW w:w="4876" w:type="dxa"/>
            <w:hideMark/>
          </w:tcPr>
          <w:p w14:paraId="5393CE9B" w14:textId="77777777" w:rsidR="00E276AB" w:rsidRPr="006008DA" w:rsidRDefault="00E276AB" w:rsidP="005A1857">
            <w:pPr>
              <w:pStyle w:val="Normal6"/>
            </w:pPr>
            <w:r w:rsidRPr="006008DA">
              <w:t>3.</w:t>
            </w:r>
            <w:r w:rsidRPr="006008DA">
              <w:tab/>
              <w:t xml:space="preserve">Administratörer av referensvärden för </w:t>
            </w:r>
            <w:r w:rsidRPr="006008DA">
              <w:rPr>
                <w:b/>
                <w:i/>
              </w:rPr>
              <w:t>koldioxidsnåla och för klimatpositiva</w:t>
            </w:r>
            <w:r w:rsidRPr="006008DA">
              <w:t xml:space="preserve"> investeringar ska anta förfaranden och bakomliggande skäl för alla planerade väsentliga ändringar av sina metoder, och göra dessa upplysningar tillgängliga för användarna. Rutinerna ska vara förenliga med det överordnade målet att referensvärdesberäkningarna alltid ska vara i linje med målen för </w:t>
            </w:r>
            <w:r w:rsidRPr="006008DA">
              <w:rPr>
                <w:b/>
                <w:i/>
              </w:rPr>
              <w:t xml:space="preserve">låga koldioxidutsläpp eller </w:t>
            </w:r>
            <w:r w:rsidRPr="006008DA">
              <w:t xml:space="preserve">positiv </w:t>
            </w:r>
            <w:r w:rsidRPr="006008DA">
              <w:rPr>
                <w:b/>
                <w:i/>
              </w:rPr>
              <w:t>klimateffekt</w:t>
            </w:r>
            <w:r w:rsidRPr="006008DA">
              <w:t>. Rutinerna ska föreskriva följande:</w:t>
            </w:r>
          </w:p>
        </w:tc>
        <w:tc>
          <w:tcPr>
            <w:tcW w:w="4876" w:type="dxa"/>
            <w:hideMark/>
          </w:tcPr>
          <w:p w14:paraId="686A0498" w14:textId="77777777" w:rsidR="00E276AB" w:rsidRPr="006008DA" w:rsidRDefault="00E276AB" w:rsidP="005A1857">
            <w:pPr>
              <w:pStyle w:val="Normal6"/>
              <w:rPr>
                <w:szCs w:val="24"/>
              </w:rPr>
            </w:pPr>
            <w:r w:rsidRPr="006008DA">
              <w:t>3.</w:t>
            </w:r>
            <w:r w:rsidRPr="006008DA">
              <w:tab/>
              <w:t>Administratörer av referensvärden för investeringar</w:t>
            </w:r>
            <w:r w:rsidRPr="006008DA">
              <w:rPr>
                <w:b/>
                <w:i/>
              </w:rPr>
              <w:t xml:space="preserve"> med positiv effekt</w:t>
            </w:r>
            <w:r w:rsidRPr="006008DA">
              <w:t xml:space="preserve"> ska anta förfaranden och bakomliggande skäl för alla planerade väsentliga ändringar av sina metoder, och göra dessa upplysningar tillgängliga för användarna. Rutinerna ska vara förenliga med det överordnade målet att referensvärdesberäkningarna alltid ska vara i linje med målen för positiv </w:t>
            </w:r>
            <w:r w:rsidRPr="006008DA">
              <w:rPr>
                <w:b/>
                <w:i/>
              </w:rPr>
              <w:t>nettoeffekt</w:t>
            </w:r>
            <w:r w:rsidRPr="006008DA">
              <w:t>. Rutinerna ska föreskriva följande:</w:t>
            </w:r>
          </w:p>
        </w:tc>
      </w:tr>
    </w:tbl>
    <w:p w14:paraId="024D761E" w14:textId="77777777" w:rsidR="00E276AB" w:rsidRPr="006008DA" w:rsidRDefault="00E276AB" w:rsidP="00E276AB">
      <w:r w:rsidRPr="006008DA">
        <w:rPr>
          <w:rStyle w:val="HideTWBExt"/>
          <w:noProof w:val="0"/>
        </w:rPr>
        <w:t>&lt;/Amend&gt;</w:t>
      </w:r>
    </w:p>
    <w:p w14:paraId="70B915EB" w14:textId="77777777" w:rsidR="00E276AB" w:rsidRPr="006008DA" w:rsidRDefault="00E276AB" w:rsidP="00E276AB">
      <w:pPr>
        <w:pStyle w:val="AMNumberTabs"/>
        <w:keepNext/>
      </w:pPr>
      <w:r w:rsidRPr="006008DA">
        <w:rPr>
          <w:rStyle w:val="HideTWBExt"/>
          <w:b w:val="0"/>
          <w:noProof w:val="0"/>
        </w:rPr>
        <w:t>&lt;Amend&gt;</w:t>
      </w:r>
      <w:r w:rsidRPr="006008DA">
        <w:t>Ändringsförslag</w:t>
      </w:r>
      <w:r w:rsidRPr="006008DA">
        <w:tab/>
      </w:r>
      <w:r w:rsidRPr="006008DA">
        <w:tab/>
      </w:r>
      <w:r w:rsidRPr="006008DA">
        <w:rPr>
          <w:rStyle w:val="HideTWBExt"/>
          <w:b w:val="0"/>
          <w:noProof w:val="0"/>
        </w:rPr>
        <w:t>&lt;NumAm&gt;</w:t>
      </w:r>
      <w:r w:rsidRPr="006008DA">
        <w:t>43</w:t>
      </w:r>
      <w:r w:rsidRPr="006008DA">
        <w:rPr>
          <w:rStyle w:val="HideTWBExt"/>
          <w:b w:val="0"/>
          <w:noProof w:val="0"/>
        </w:rPr>
        <w:t>&lt;/NumAm&gt;</w:t>
      </w:r>
    </w:p>
    <w:p w14:paraId="078ABAFC" w14:textId="77777777" w:rsidR="00E276AB" w:rsidRPr="006008DA" w:rsidRDefault="00E276AB" w:rsidP="00E276AB">
      <w:pPr>
        <w:pStyle w:val="NormalBold12b"/>
      </w:pPr>
      <w:r w:rsidRPr="006008DA">
        <w:rPr>
          <w:rStyle w:val="HideTWBExt"/>
          <w:b w:val="0"/>
          <w:noProof w:val="0"/>
        </w:rPr>
        <w:t>&lt;DocAmend&gt;</w:t>
      </w:r>
      <w:r w:rsidRPr="006008DA">
        <w:t>Förslag till förordning</w:t>
      </w:r>
      <w:r w:rsidRPr="006008DA">
        <w:rPr>
          <w:rStyle w:val="HideTWBExt"/>
          <w:b w:val="0"/>
          <w:noProof w:val="0"/>
        </w:rPr>
        <w:t>&lt;/DocAmend&gt;</w:t>
      </w:r>
    </w:p>
    <w:p w14:paraId="7033FB3C" w14:textId="77777777" w:rsidR="00E276AB" w:rsidRPr="006008DA" w:rsidRDefault="00E276AB" w:rsidP="00E276AB">
      <w:pPr>
        <w:pStyle w:val="NormalBold"/>
      </w:pPr>
      <w:r w:rsidRPr="006008DA">
        <w:rPr>
          <w:rStyle w:val="HideTWBExt"/>
          <w:b w:val="0"/>
          <w:noProof w:val="0"/>
        </w:rPr>
        <w:t>&lt;Article&gt;</w:t>
      </w:r>
      <w:r w:rsidRPr="006008DA">
        <w:t>Bilaga – led 4</w:t>
      </w:r>
      <w:r w:rsidRPr="006008D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6AB" w:rsidRPr="006008DA" w14:paraId="7036F4DA" w14:textId="77777777" w:rsidTr="005A1857">
        <w:trPr>
          <w:jc w:val="center"/>
        </w:trPr>
        <w:tc>
          <w:tcPr>
            <w:tcW w:w="9752" w:type="dxa"/>
            <w:gridSpan w:val="2"/>
          </w:tcPr>
          <w:p w14:paraId="153A14A7" w14:textId="77777777" w:rsidR="00E276AB" w:rsidRPr="006008DA" w:rsidRDefault="00E276AB" w:rsidP="005A1857">
            <w:pPr>
              <w:keepNext/>
            </w:pPr>
          </w:p>
        </w:tc>
      </w:tr>
      <w:tr w:rsidR="00E276AB" w:rsidRPr="006008DA" w14:paraId="195B00EC" w14:textId="77777777" w:rsidTr="005A1857">
        <w:trPr>
          <w:jc w:val="center"/>
        </w:trPr>
        <w:tc>
          <w:tcPr>
            <w:tcW w:w="4876" w:type="dxa"/>
            <w:hideMark/>
          </w:tcPr>
          <w:p w14:paraId="075C3327" w14:textId="77777777" w:rsidR="00E276AB" w:rsidRPr="006008DA" w:rsidRDefault="00E276AB" w:rsidP="005A1857">
            <w:pPr>
              <w:pStyle w:val="ColumnHeading"/>
              <w:keepNext/>
            </w:pPr>
            <w:r w:rsidRPr="006008DA">
              <w:t>Kommissionens förslag</w:t>
            </w:r>
          </w:p>
        </w:tc>
        <w:tc>
          <w:tcPr>
            <w:tcW w:w="4876" w:type="dxa"/>
            <w:hideMark/>
          </w:tcPr>
          <w:p w14:paraId="77231EA1" w14:textId="77777777" w:rsidR="00E276AB" w:rsidRPr="006008DA" w:rsidRDefault="00E276AB" w:rsidP="005A1857">
            <w:pPr>
              <w:pStyle w:val="ColumnHeading"/>
              <w:keepNext/>
            </w:pPr>
            <w:r w:rsidRPr="006008DA">
              <w:t>Ändringsförslag</w:t>
            </w:r>
          </w:p>
        </w:tc>
      </w:tr>
      <w:tr w:rsidR="00E276AB" w:rsidRPr="006008DA" w14:paraId="20AA593A" w14:textId="77777777" w:rsidTr="005A1857">
        <w:trPr>
          <w:jc w:val="center"/>
        </w:trPr>
        <w:tc>
          <w:tcPr>
            <w:tcW w:w="4876" w:type="dxa"/>
            <w:hideMark/>
          </w:tcPr>
          <w:p w14:paraId="533F3014" w14:textId="77777777" w:rsidR="00E276AB" w:rsidRPr="006008DA" w:rsidRDefault="00E276AB" w:rsidP="005A1857">
            <w:pPr>
              <w:pStyle w:val="Normal6"/>
            </w:pPr>
            <w:r w:rsidRPr="006008DA">
              <w:t>4.</w:t>
            </w:r>
            <w:r w:rsidRPr="006008DA">
              <w:tab/>
              <w:t xml:space="preserve">Administratörer av referensvärden för </w:t>
            </w:r>
            <w:r w:rsidRPr="006008DA">
              <w:rPr>
                <w:b/>
                <w:i/>
              </w:rPr>
              <w:t>koldioxidsnåla och för klimatpositiva</w:t>
            </w:r>
            <w:r w:rsidRPr="006008DA">
              <w:t xml:space="preserve"> investeringar ska regelbundet granska sina metoder för att se till att de ger en god bild av de </w:t>
            </w:r>
            <w:r w:rsidRPr="006008DA">
              <w:rPr>
                <w:b/>
                <w:i/>
              </w:rPr>
              <w:t>relevanta</w:t>
            </w:r>
            <w:r w:rsidRPr="006008DA">
              <w:t xml:space="preserve"> målen</w:t>
            </w:r>
            <w:r w:rsidRPr="006008DA">
              <w:rPr>
                <w:b/>
                <w:i/>
              </w:rPr>
              <w:t xml:space="preserve"> för låga koldioxidutsläpp eller positiv klimateffekt</w:t>
            </w:r>
            <w:r w:rsidRPr="006008DA">
              <w:t>, och de ska ha rutiner för att kunna beakta relevanta användares synpunkter.</w:t>
            </w:r>
          </w:p>
        </w:tc>
        <w:tc>
          <w:tcPr>
            <w:tcW w:w="4876" w:type="dxa"/>
            <w:hideMark/>
          </w:tcPr>
          <w:p w14:paraId="3A246102" w14:textId="77777777" w:rsidR="00E276AB" w:rsidRPr="006008DA" w:rsidRDefault="00E276AB" w:rsidP="005A1857">
            <w:pPr>
              <w:pStyle w:val="Normal6"/>
              <w:rPr>
                <w:szCs w:val="24"/>
              </w:rPr>
            </w:pPr>
            <w:r w:rsidRPr="006008DA">
              <w:t>4.</w:t>
            </w:r>
            <w:r w:rsidRPr="006008DA">
              <w:tab/>
              <w:t>Administratörer av referensvärden för investeringar</w:t>
            </w:r>
            <w:r w:rsidRPr="006008DA">
              <w:rPr>
                <w:b/>
                <w:i/>
              </w:rPr>
              <w:t xml:space="preserve"> med positiv effekt</w:t>
            </w:r>
            <w:r w:rsidRPr="006008DA">
              <w:t xml:space="preserve"> ska regelbundet granska sina metoder för att se till att de ger en god bild av de </w:t>
            </w:r>
            <w:r w:rsidRPr="006008DA">
              <w:rPr>
                <w:b/>
                <w:i/>
              </w:rPr>
              <w:t>fastställda</w:t>
            </w:r>
            <w:r w:rsidRPr="006008DA">
              <w:t xml:space="preserve"> målen, och de ska ha rutiner för att kunna beakta relevanta användares synpunkter.</w:t>
            </w:r>
          </w:p>
        </w:tc>
      </w:tr>
    </w:tbl>
    <w:p w14:paraId="422DD532" w14:textId="77777777" w:rsidR="00E276AB" w:rsidRPr="006008DA" w:rsidRDefault="00E276AB" w:rsidP="00E276AB">
      <w:pPr>
        <w:rPr>
          <w:rStyle w:val="HideTWBExt"/>
          <w:noProof w:val="0"/>
        </w:rPr>
      </w:pPr>
      <w:r w:rsidRPr="006008DA">
        <w:rPr>
          <w:rStyle w:val="HideTWBExt"/>
          <w:noProof w:val="0"/>
        </w:rPr>
        <w:t>&lt;/Amend&gt;&lt;/RepeatBlock-Amend&gt;</w:t>
      </w:r>
      <w:bookmarkEnd w:id="2"/>
    </w:p>
    <w:p w14:paraId="7358B1CF" w14:textId="77777777" w:rsidR="00E276AB" w:rsidRPr="006008DA" w:rsidRDefault="00E276AB" w:rsidP="00E276AB">
      <w:r w:rsidRPr="006008DA">
        <w:br w:type="page"/>
      </w:r>
    </w:p>
    <w:p w14:paraId="2CAA3974" w14:textId="77777777" w:rsidR="00E276AB" w:rsidRPr="006008DA" w:rsidRDefault="00E276AB" w:rsidP="00E276AB">
      <w:pPr>
        <w:pStyle w:val="PageHeadingNotTOC"/>
      </w:pPr>
      <w:bookmarkStart w:id="4" w:name="ProcPageAD"/>
      <w:r w:rsidRPr="006008DA">
        <w:t>ÄRENDETS GÅNG I DET RÅDGIVANDE UTSKOTTET</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276AB" w:rsidRPr="006008DA" w14:paraId="170ECFE0"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6AD64F" w14:textId="77777777" w:rsidR="00E276AB" w:rsidRPr="006008DA" w:rsidRDefault="00E276AB" w:rsidP="005A1857">
            <w:pPr>
              <w:widowControl w:val="0"/>
              <w:autoSpaceDE w:val="0"/>
              <w:autoSpaceDN w:val="0"/>
              <w:adjustRightInd w:val="0"/>
              <w:rPr>
                <w:b/>
                <w:bCs/>
                <w:color w:val="000000"/>
                <w:sz w:val="20"/>
                <w:szCs w:val="20"/>
              </w:rPr>
            </w:pPr>
            <w:r w:rsidRPr="006008DA">
              <w:rPr>
                <w:b/>
                <w:bCs/>
                <w:color w:val="000000"/>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AC4CE6"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Referensvärden för koldioxidsnåla investeringar och för klimatpositiva investeringar</w:t>
            </w:r>
          </w:p>
        </w:tc>
      </w:tr>
      <w:tr w:rsidR="00E276AB" w:rsidRPr="006008DA" w14:paraId="45BA56AF"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498052" w14:textId="77777777" w:rsidR="00E276AB" w:rsidRPr="006008DA" w:rsidRDefault="00E276AB" w:rsidP="005A1857">
            <w:pPr>
              <w:widowControl w:val="0"/>
              <w:autoSpaceDE w:val="0"/>
              <w:autoSpaceDN w:val="0"/>
              <w:adjustRightInd w:val="0"/>
              <w:rPr>
                <w:b/>
                <w:bCs/>
                <w:color w:val="000000"/>
                <w:sz w:val="20"/>
                <w:szCs w:val="20"/>
              </w:rPr>
            </w:pPr>
            <w:r w:rsidRPr="006008DA">
              <w:rPr>
                <w:b/>
                <w:bCs/>
                <w:color w:val="000000"/>
                <w:sz w:val="20"/>
                <w:szCs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CC8941"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COM(2018)0355 – C8-0209/2018 – 2018/0180(COD)</w:t>
            </w:r>
          </w:p>
        </w:tc>
      </w:tr>
      <w:tr w:rsidR="00E276AB" w:rsidRPr="006008DA" w14:paraId="693C4B59"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9C49C6" w14:textId="77777777" w:rsidR="00E276AB" w:rsidRPr="006008DA" w:rsidRDefault="00E276AB" w:rsidP="005A1857">
            <w:pPr>
              <w:widowControl w:val="0"/>
              <w:autoSpaceDE w:val="0"/>
              <w:autoSpaceDN w:val="0"/>
              <w:adjustRightInd w:val="0"/>
              <w:rPr>
                <w:b/>
                <w:bCs/>
                <w:color w:val="000000"/>
                <w:sz w:val="20"/>
                <w:szCs w:val="20"/>
              </w:rPr>
            </w:pPr>
            <w:r w:rsidRPr="006008DA">
              <w:rPr>
                <w:b/>
                <w:bCs/>
                <w:color w:val="000000"/>
                <w:sz w:val="20"/>
                <w:szCs w:val="20"/>
              </w:rPr>
              <w:t>Ansvarigt utskott</w:t>
            </w:r>
          </w:p>
          <w:p w14:paraId="3EC6EE5F"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0B38A40"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ECON</w:t>
            </w:r>
          </w:p>
          <w:p w14:paraId="32CBADFD"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5.7.2018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DE9CC0" w14:textId="77777777" w:rsidR="00E276AB" w:rsidRPr="006008DA" w:rsidRDefault="00E276AB" w:rsidP="005A185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30436C" w14:textId="77777777" w:rsidR="00E276AB" w:rsidRPr="006008DA" w:rsidRDefault="00E276AB" w:rsidP="005A185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975FA0" w14:textId="77777777" w:rsidR="00E276AB" w:rsidRPr="006008DA" w:rsidRDefault="00E276AB" w:rsidP="005A1857">
            <w:pPr>
              <w:widowControl w:val="0"/>
              <w:autoSpaceDE w:val="0"/>
              <w:autoSpaceDN w:val="0"/>
              <w:adjustRightInd w:val="0"/>
              <w:rPr>
                <w:rFonts w:ascii="sans-serif" w:hAnsi="sans-serif" w:cs="sans-serif"/>
                <w:color w:val="000000"/>
              </w:rPr>
            </w:pPr>
          </w:p>
        </w:tc>
      </w:tr>
      <w:tr w:rsidR="00E276AB" w:rsidRPr="006008DA" w14:paraId="1710390C"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238773" w14:textId="77777777" w:rsidR="00E276AB" w:rsidRPr="006008DA" w:rsidRDefault="00E276AB" w:rsidP="005A1857">
            <w:pPr>
              <w:widowControl w:val="0"/>
              <w:autoSpaceDE w:val="0"/>
              <w:autoSpaceDN w:val="0"/>
              <w:adjustRightInd w:val="0"/>
              <w:rPr>
                <w:b/>
                <w:bCs/>
                <w:color w:val="000000"/>
                <w:sz w:val="20"/>
                <w:szCs w:val="20"/>
              </w:rPr>
            </w:pPr>
            <w:r w:rsidRPr="006008DA">
              <w:rPr>
                <w:b/>
                <w:bCs/>
                <w:color w:val="000000"/>
                <w:sz w:val="20"/>
                <w:szCs w:val="20"/>
              </w:rPr>
              <w:t>Yttrande från</w:t>
            </w:r>
          </w:p>
          <w:p w14:paraId="731012C0"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       Tillkännagivande i kammaren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AC56FF"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ENVI</w:t>
            </w:r>
          </w:p>
          <w:p w14:paraId="5092493B"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5.7.2018</w:t>
            </w:r>
          </w:p>
        </w:tc>
      </w:tr>
      <w:tr w:rsidR="00E276AB" w:rsidRPr="006008DA" w14:paraId="3F954759"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694851" w14:textId="77777777" w:rsidR="00E276AB" w:rsidRPr="006008DA" w:rsidRDefault="00E276AB" w:rsidP="005A1857">
            <w:pPr>
              <w:widowControl w:val="0"/>
              <w:autoSpaceDE w:val="0"/>
              <w:autoSpaceDN w:val="0"/>
              <w:adjustRightInd w:val="0"/>
              <w:rPr>
                <w:b/>
                <w:bCs/>
                <w:color w:val="000000"/>
                <w:sz w:val="20"/>
                <w:szCs w:val="20"/>
              </w:rPr>
            </w:pPr>
            <w:r w:rsidRPr="006008DA">
              <w:rPr>
                <w:b/>
                <w:bCs/>
                <w:color w:val="000000"/>
                <w:sz w:val="20"/>
                <w:szCs w:val="20"/>
              </w:rPr>
              <w:t>Föredragande av yttrande</w:t>
            </w:r>
          </w:p>
          <w:p w14:paraId="360825CA"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       Utnämning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19E9278"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Adina-Ioana Vălean</w:t>
            </w:r>
          </w:p>
          <w:p w14:paraId="6B65E87F"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21.6.2018</w:t>
            </w:r>
          </w:p>
        </w:tc>
      </w:tr>
      <w:tr w:rsidR="00E276AB" w:rsidRPr="006008DA" w14:paraId="48D42B01"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DEFADF" w14:textId="77777777" w:rsidR="00E276AB" w:rsidRPr="006008DA" w:rsidRDefault="00E276AB" w:rsidP="005A1857">
            <w:pPr>
              <w:widowControl w:val="0"/>
              <w:autoSpaceDE w:val="0"/>
              <w:autoSpaceDN w:val="0"/>
              <w:adjustRightInd w:val="0"/>
              <w:rPr>
                <w:b/>
                <w:bCs/>
                <w:color w:val="000000"/>
                <w:sz w:val="20"/>
                <w:szCs w:val="20"/>
              </w:rPr>
            </w:pPr>
            <w:r w:rsidRPr="006008DA">
              <w:rPr>
                <w:b/>
                <w:bCs/>
                <w:color w:val="000000"/>
                <w:sz w:val="20"/>
                <w:szCs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4B192C"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20.11.2018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1196DB" w14:textId="77777777" w:rsidR="00E276AB" w:rsidRPr="006008DA" w:rsidRDefault="00E276AB" w:rsidP="005A185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2D542B9" w14:textId="77777777" w:rsidR="00E276AB" w:rsidRPr="006008DA" w:rsidRDefault="00E276AB" w:rsidP="005A185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6D9404" w14:textId="77777777" w:rsidR="00E276AB" w:rsidRPr="006008DA" w:rsidRDefault="00E276AB" w:rsidP="005A1857">
            <w:pPr>
              <w:widowControl w:val="0"/>
              <w:autoSpaceDE w:val="0"/>
              <w:autoSpaceDN w:val="0"/>
              <w:adjustRightInd w:val="0"/>
              <w:rPr>
                <w:rFonts w:ascii="sans-serif" w:hAnsi="sans-serif" w:cs="sans-serif"/>
                <w:color w:val="000000"/>
              </w:rPr>
            </w:pPr>
          </w:p>
        </w:tc>
      </w:tr>
      <w:tr w:rsidR="00E276AB" w:rsidRPr="006008DA" w14:paraId="7CB89BBF"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829F21" w14:textId="77777777" w:rsidR="00E276AB" w:rsidRPr="006008DA" w:rsidRDefault="00E276AB" w:rsidP="005A1857">
            <w:pPr>
              <w:widowControl w:val="0"/>
              <w:autoSpaceDE w:val="0"/>
              <w:autoSpaceDN w:val="0"/>
              <w:adjustRightInd w:val="0"/>
              <w:rPr>
                <w:b/>
                <w:bCs/>
                <w:color w:val="000000"/>
                <w:sz w:val="20"/>
                <w:szCs w:val="20"/>
              </w:rPr>
            </w:pPr>
            <w:r w:rsidRPr="006008DA">
              <w:rPr>
                <w:b/>
                <w:bCs/>
                <w:color w:val="000000"/>
                <w:sz w:val="20"/>
                <w:szCs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41F7FB1"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w:t>
            </w:r>
          </w:p>
          <w:p w14:paraId="077286D1"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w:t>
            </w:r>
          </w:p>
          <w:p w14:paraId="4FAAA76A"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E55CC8"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28</w:t>
            </w:r>
          </w:p>
          <w:p w14:paraId="5A25453D"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18</w:t>
            </w:r>
          </w:p>
          <w:p w14:paraId="62DE142B"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3</w:t>
            </w:r>
          </w:p>
        </w:tc>
      </w:tr>
      <w:tr w:rsidR="00E276AB" w:rsidRPr="006008DA" w14:paraId="590759E6"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3BDE54" w14:textId="77777777" w:rsidR="00E276AB" w:rsidRPr="006008DA" w:rsidRDefault="00E276AB" w:rsidP="005A1857">
            <w:pPr>
              <w:widowControl w:val="0"/>
              <w:autoSpaceDE w:val="0"/>
              <w:autoSpaceDN w:val="0"/>
              <w:adjustRightInd w:val="0"/>
              <w:rPr>
                <w:b/>
                <w:bCs/>
                <w:color w:val="000000"/>
                <w:sz w:val="20"/>
                <w:szCs w:val="20"/>
              </w:rPr>
            </w:pPr>
            <w:r w:rsidRPr="006008DA">
              <w:rPr>
                <w:b/>
                <w:bCs/>
                <w:color w:val="000000"/>
                <w:sz w:val="20"/>
                <w:szCs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CD24BF" w14:textId="56EB52F1" w:rsidR="00E276AB" w:rsidRPr="006008DA" w:rsidRDefault="00E276AB" w:rsidP="003109BA">
            <w:pPr>
              <w:widowControl w:val="0"/>
              <w:autoSpaceDE w:val="0"/>
              <w:autoSpaceDN w:val="0"/>
              <w:adjustRightInd w:val="0"/>
              <w:rPr>
                <w:color w:val="000000"/>
                <w:sz w:val="20"/>
                <w:szCs w:val="20"/>
              </w:rPr>
            </w:pPr>
            <w:r w:rsidRPr="006008DA">
              <w:rPr>
                <w:color w:val="000000"/>
                <w:sz w:val="20"/>
                <w:szCs w:val="20"/>
              </w:rPr>
              <w:t>Marco Affronte, Pilar Ayuso, Zoltán Balczó, Catherine Bearder, Ivo</w:t>
            </w:r>
            <w:r w:rsidR="003109BA">
              <w:rPr>
                <w:color w:val="000000"/>
                <w:sz w:val="20"/>
                <w:szCs w:val="20"/>
              </w:rPr>
              <w:t> </w:t>
            </w:r>
            <w:r w:rsidRPr="006008DA">
              <w:rPr>
                <w:color w:val="000000"/>
                <w:sz w:val="20"/>
                <w:szCs w:val="20"/>
              </w:rPr>
              <w:t>Belet, Biljana Borzan, Paul Brannen, Nessa Childers, Birgit</w:t>
            </w:r>
            <w:r w:rsidR="003109BA">
              <w:rPr>
                <w:color w:val="000000"/>
                <w:sz w:val="20"/>
                <w:szCs w:val="20"/>
              </w:rPr>
              <w:t> </w:t>
            </w:r>
            <w:r w:rsidRPr="006008DA">
              <w:rPr>
                <w:color w:val="000000"/>
                <w:sz w:val="20"/>
                <w:szCs w:val="20"/>
              </w:rPr>
              <w:t>Collin</w:t>
            </w:r>
            <w:r w:rsidR="003109BA">
              <w:rPr>
                <w:color w:val="000000"/>
                <w:sz w:val="20"/>
                <w:szCs w:val="20"/>
              </w:rPr>
              <w:noBreakHyphen/>
            </w:r>
            <w:r w:rsidRPr="006008DA">
              <w:rPr>
                <w:color w:val="000000"/>
                <w:sz w:val="20"/>
                <w:szCs w:val="20"/>
              </w:rPr>
              <w:t>Langen, Seb Dance, Mark Demesmaeker, Bas Eickhout, Francesc Gambús, Gerben-Jan Gerbrandy, Jens Gieseke, Julie Girling, Sylvie Goddyn, Françoise Grossetête, Benedek Jávor, Karin</w:t>
            </w:r>
            <w:r w:rsidR="003109BA">
              <w:rPr>
                <w:color w:val="000000"/>
                <w:sz w:val="20"/>
                <w:szCs w:val="20"/>
              </w:rPr>
              <w:t> </w:t>
            </w:r>
            <w:r w:rsidRPr="006008DA">
              <w:rPr>
                <w:color w:val="000000"/>
                <w:sz w:val="20"/>
                <w:szCs w:val="20"/>
              </w:rPr>
              <w:t>Kadenbach, Urszula Krupa, Giovanni La Via, Jo Leinen, Peter</w:t>
            </w:r>
            <w:r w:rsidR="003109BA">
              <w:rPr>
                <w:color w:val="000000"/>
                <w:sz w:val="20"/>
                <w:szCs w:val="20"/>
              </w:rPr>
              <w:t> </w:t>
            </w:r>
            <w:r w:rsidRPr="006008DA">
              <w:rPr>
                <w:color w:val="000000"/>
                <w:sz w:val="20"/>
                <w:szCs w:val="20"/>
              </w:rPr>
              <w:t>Liese, Valentinas Mazuronis, Susanne Melior, Miroslav</w:t>
            </w:r>
            <w:r w:rsidR="003109BA">
              <w:rPr>
                <w:color w:val="000000"/>
                <w:sz w:val="20"/>
                <w:szCs w:val="20"/>
              </w:rPr>
              <w:t> </w:t>
            </w:r>
            <w:r w:rsidRPr="006008DA">
              <w:rPr>
                <w:color w:val="000000"/>
                <w:sz w:val="20"/>
                <w:szCs w:val="20"/>
              </w:rPr>
              <w:t>Mikolášik, Massimo Paolucci, Gilles Pargneaux, Bolesław</w:t>
            </w:r>
            <w:r w:rsidR="003109BA">
              <w:rPr>
                <w:color w:val="000000"/>
                <w:sz w:val="20"/>
                <w:szCs w:val="20"/>
              </w:rPr>
              <w:t> </w:t>
            </w:r>
            <w:r w:rsidRPr="006008DA">
              <w:rPr>
                <w:color w:val="000000"/>
                <w:sz w:val="20"/>
                <w:szCs w:val="20"/>
              </w:rPr>
              <w:t>G.</w:t>
            </w:r>
            <w:r w:rsidR="003109BA">
              <w:rPr>
                <w:color w:val="000000"/>
                <w:sz w:val="20"/>
                <w:szCs w:val="20"/>
              </w:rPr>
              <w:t> </w:t>
            </w:r>
            <w:r w:rsidRPr="006008DA">
              <w:rPr>
                <w:color w:val="000000"/>
                <w:sz w:val="20"/>
                <w:szCs w:val="20"/>
              </w:rPr>
              <w:t>Piecha, John Procter, Julia Reid, Frédérique Ries, Annie</w:t>
            </w:r>
            <w:r w:rsidR="003109BA">
              <w:rPr>
                <w:color w:val="000000"/>
                <w:sz w:val="20"/>
                <w:szCs w:val="20"/>
              </w:rPr>
              <w:t> </w:t>
            </w:r>
            <w:r w:rsidRPr="006008DA">
              <w:rPr>
                <w:color w:val="000000"/>
                <w:sz w:val="20"/>
                <w:szCs w:val="20"/>
              </w:rPr>
              <w:t>Schreijer-Pierik, Adina-Ioana Vălean, Jadwiga Wiśniewska</w:t>
            </w:r>
          </w:p>
        </w:tc>
      </w:tr>
      <w:tr w:rsidR="00E276AB" w:rsidRPr="006008DA" w14:paraId="46FB7F0D"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10B456" w14:textId="77777777" w:rsidR="00E276AB" w:rsidRPr="006008DA" w:rsidRDefault="00E276AB" w:rsidP="005A1857">
            <w:pPr>
              <w:widowControl w:val="0"/>
              <w:autoSpaceDE w:val="0"/>
              <w:autoSpaceDN w:val="0"/>
              <w:adjustRightInd w:val="0"/>
              <w:rPr>
                <w:b/>
                <w:bCs/>
                <w:color w:val="000000"/>
                <w:sz w:val="20"/>
                <w:szCs w:val="20"/>
              </w:rPr>
            </w:pPr>
            <w:r w:rsidRPr="006008DA">
              <w:rPr>
                <w:b/>
                <w:bCs/>
                <w:color w:val="000000"/>
                <w:sz w:val="20"/>
                <w:szCs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E2F5C6" w14:textId="79A04EE3" w:rsidR="00E276AB" w:rsidRPr="006008DA" w:rsidRDefault="00E276AB" w:rsidP="003109BA">
            <w:pPr>
              <w:widowControl w:val="0"/>
              <w:autoSpaceDE w:val="0"/>
              <w:autoSpaceDN w:val="0"/>
              <w:adjustRightInd w:val="0"/>
              <w:rPr>
                <w:color w:val="000000"/>
                <w:sz w:val="20"/>
                <w:szCs w:val="20"/>
              </w:rPr>
            </w:pPr>
            <w:r w:rsidRPr="006008DA">
              <w:rPr>
                <w:color w:val="000000"/>
                <w:sz w:val="20"/>
                <w:szCs w:val="20"/>
              </w:rPr>
              <w:t>Cristian-Silviu Buşoi, Nicola Caputo, Michel Dantin, Martin Häusling, Gesine Meissner, Tilly Metz, Ulrike Müller, Sirpa Pietikäinen, Carlos</w:t>
            </w:r>
            <w:r w:rsidR="003109BA">
              <w:rPr>
                <w:color w:val="000000"/>
                <w:sz w:val="20"/>
                <w:szCs w:val="20"/>
              </w:rPr>
              <w:t> </w:t>
            </w:r>
            <w:r w:rsidRPr="006008DA">
              <w:rPr>
                <w:color w:val="000000"/>
                <w:sz w:val="20"/>
                <w:szCs w:val="20"/>
              </w:rPr>
              <w:t>Zorrinho</w:t>
            </w:r>
          </w:p>
        </w:tc>
      </w:tr>
      <w:tr w:rsidR="00E276AB" w:rsidRPr="006008DA" w14:paraId="370B8090"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945F28F" w14:textId="77777777" w:rsidR="00E276AB" w:rsidRPr="006008DA" w:rsidRDefault="00E276AB" w:rsidP="005A1857">
            <w:pPr>
              <w:widowControl w:val="0"/>
              <w:autoSpaceDE w:val="0"/>
              <w:autoSpaceDN w:val="0"/>
              <w:adjustRightInd w:val="0"/>
              <w:rPr>
                <w:b/>
                <w:bCs/>
                <w:color w:val="000000"/>
                <w:sz w:val="20"/>
                <w:szCs w:val="20"/>
              </w:rPr>
            </w:pPr>
            <w:r w:rsidRPr="006008DA">
              <w:rPr>
                <w:b/>
                <w:bCs/>
                <w:color w:val="000000"/>
                <w:sz w:val="20"/>
                <w:szCs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B7733D0" w14:textId="77777777" w:rsidR="00E276AB" w:rsidRPr="006008DA" w:rsidRDefault="00E276AB" w:rsidP="005A1857">
            <w:pPr>
              <w:widowControl w:val="0"/>
              <w:autoSpaceDE w:val="0"/>
              <w:autoSpaceDN w:val="0"/>
              <w:adjustRightInd w:val="0"/>
              <w:rPr>
                <w:color w:val="000000"/>
                <w:sz w:val="20"/>
                <w:szCs w:val="20"/>
              </w:rPr>
            </w:pPr>
            <w:r w:rsidRPr="006008DA">
              <w:rPr>
                <w:color w:val="000000"/>
                <w:sz w:val="20"/>
                <w:szCs w:val="20"/>
              </w:rPr>
              <w:t>Mercedes Bresso, Innocenzo Leontini, Olle Ludvigsson, Ana Miranda</w:t>
            </w:r>
          </w:p>
        </w:tc>
      </w:tr>
    </w:tbl>
    <w:p w14:paraId="4F4FF186" w14:textId="77777777" w:rsidR="00E276AB" w:rsidRPr="006008DA" w:rsidRDefault="00E276AB" w:rsidP="00E276AB">
      <w:pPr>
        <w:widowControl w:val="0"/>
        <w:autoSpaceDE w:val="0"/>
        <w:autoSpaceDN w:val="0"/>
        <w:adjustRightInd w:val="0"/>
        <w:rPr>
          <w:rFonts w:ascii="Arial" w:hAnsi="Arial" w:cs="Arial"/>
        </w:rPr>
      </w:pPr>
    </w:p>
    <w:bookmarkEnd w:id="4"/>
    <w:p w14:paraId="48F17A05" w14:textId="77777777" w:rsidR="00E276AB" w:rsidRPr="006008DA" w:rsidRDefault="00E276AB" w:rsidP="00E276AB">
      <w:r w:rsidRPr="006008DA">
        <w:br w:type="page"/>
      </w:r>
    </w:p>
    <w:p w14:paraId="72E2F192" w14:textId="77777777" w:rsidR="00E276AB" w:rsidRPr="006008DA" w:rsidRDefault="00E276AB" w:rsidP="00E276AB">
      <w:pPr>
        <w:pStyle w:val="PageHeadingNotTOC"/>
      </w:pPr>
      <w:bookmarkStart w:id="5" w:name="RollCallPageAD"/>
      <w:r w:rsidRPr="006008DA">
        <w:t>SLUTOMRÖSTNING MED NAMNUPPROP I DET RÅDGIVANDE UTSKOTTET</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76AB" w:rsidRPr="006008DA" w14:paraId="7CBEB5C4" w14:textId="77777777" w:rsidTr="005A1857">
        <w:trPr>
          <w:cantSplit/>
        </w:trPr>
        <w:tc>
          <w:tcPr>
            <w:tcW w:w="1701" w:type="dxa"/>
            <w:shd w:val="pct10" w:color="000000" w:fill="FFFFFF"/>
            <w:vAlign w:val="center"/>
          </w:tcPr>
          <w:p w14:paraId="075A737D" w14:textId="77777777" w:rsidR="00E276AB" w:rsidRPr="006008DA" w:rsidRDefault="00E276AB" w:rsidP="005A1857">
            <w:pPr>
              <w:spacing w:before="120" w:after="120"/>
              <w:jc w:val="center"/>
              <w:rPr>
                <w:b/>
                <w:sz w:val="20"/>
              </w:rPr>
            </w:pPr>
            <w:r w:rsidRPr="006008DA">
              <w:rPr>
                <w:b/>
                <w:sz w:val="20"/>
              </w:rPr>
              <w:t>28</w:t>
            </w:r>
          </w:p>
        </w:tc>
        <w:tc>
          <w:tcPr>
            <w:tcW w:w="7371" w:type="dxa"/>
            <w:shd w:val="pct10" w:color="000000" w:fill="FFFFFF"/>
          </w:tcPr>
          <w:p w14:paraId="340D4938" w14:textId="77777777" w:rsidR="00E276AB" w:rsidRPr="006008DA" w:rsidRDefault="00E276AB" w:rsidP="005A1857">
            <w:pPr>
              <w:spacing w:before="120" w:after="120"/>
              <w:jc w:val="center"/>
              <w:rPr>
                <w:rFonts w:ascii="Arial" w:hAnsi="Arial" w:cs="Arial"/>
                <w:b/>
                <w:sz w:val="28"/>
                <w:szCs w:val="28"/>
              </w:rPr>
            </w:pPr>
            <w:r w:rsidRPr="006008DA">
              <w:rPr>
                <w:rFonts w:ascii="Arial" w:hAnsi="Arial"/>
                <w:b/>
                <w:sz w:val="28"/>
                <w:szCs w:val="28"/>
              </w:rPr>
              <w:t>+</w:t>
            </w:r>
          </w:p>
        </w:tc>
      </w:tr>
      <w:tr w:rsidR="00E276AB" w:rsidRPr="006008DA" w14:paraId="13C78F19" w14:textId="77777777" w:rsidTr="005A1857">
        <w:trPr>
          <w:cantSplit/>
        </w:trPr>
        <w:tc>
          <w:tcPr>
            <w:tcW w:w="1701" w:type="dxa"/>
            <w:shd w:val="clear" w:color="auto" w:fill="FFFFFF"/>
          </w:tcPr>
          <w:p w14:paraId="3B502AE5" w14:textId="77777777" w:rsidR="00E276AB" w:rsidRPr="006008DA" w:rsidRDefault="00E276AB" w:rsidP="005A1857">
            <w:pPr>
              <w:spacing w:before="120" w:after="120"/>
              <w:rPr>
                <w:sz w:val="20"/>
              </w:rPr>
            </w:pPr>
            <w:r w:rsidRPr="006008DA">
              <w:rPr>
                <w:sz w:val="20"/>
              </w:rPr>
              <w:t>ALDE</w:t>
            </w:r>
          </w:p>
        </w:tc>
        <w:tc>
          <w:tcPr>
            <w:tcW w:w="7371" w:type="dxa"/>
            <w:shd w:val="clear" w:color="auto" w:fill="FFFFFF"/>
          </w:tcPr>
          <w:p w14:paraId="0D8A756D" w14:textId="77777777" w:rsidR="00E276AB" w:rsidRPr="006008DA" w:rsidRDefault="00E276AB" w:rsidP="005A1857">
            <w:pPr>
              <w:spacing w:before="120" w:after="120"/>
              <w:rPr>
                <w:sz w:val="20"/>
              </w:rPr>
            </w:pPr>
            <w:r w:rsidRPr="006008DA">
              <w:rPr>
                <w:sz w:val="20"/>
              </w:rPr>
              <w:t>Catherine Bearder, Gerben</w:t>
            </w:r>
            <w:r w:rsidRPr="006008DA">
              <w:rPr>
                <w:sz w:val="20"/>
              </w:rPr>
              <w:noBreakHyphen/>
              <w:t>Jan Gerbrandy, Valentinas Mazuronis, Gesine Meissner, Ulrike Müller, Frédérique Ries</w:t>
            </w:r>
          </w:p>
        </w:tc>
      </w:tr>
      <w:tr w:rsidR="00E276AB" w:rsidRPr="006008DA" w14:paraId="2B93C38F" w14:textId="77777777" w:rsidTr="005A1857">
        <w:trPr>
          <w:cantSplit/>
        </w:trPr>
        <w:tc>
          <w:tcPr>
            <w:tcW w:w="1701" w:type="dxa"/>
            <w:shd w:val="clear" w:color="auto" w:fill="FFFFFF"/>
          </w:tcPr>
          <w:p w14:paraId="69C963E8" w14:textId="77777777" w:rsidR="00E276AB" w:rsidRPr="006008DA" w:rsidRDefault="00E276AB" w:rsidP="005A1857">
            <w:pPr>
              <w:spacing w:before="120" w:after="120"/>
              <w:rPr>
                <w:sz w:val="20"/>
              </w:rPr>
            </w:pPr>
            <w:r w:rsidRPr="006008DA">
              <w:rPr>
                <w:sz w:val="20"/>
              </w:rPr>
              <w:t>NI</w:t>
            </w:r>
          </w:p>
        </w:tc>
        <w:tc>
          <w:tcPr>
            <w:tcW w:w="7371" w:type="dxa"/>
            <w:shd w:val="clear" w:color="auto" w:fill="FFFFFF"/>
          </w:tcPr>
          <w:p w14:paraId="6E0AB377" w14:textId="77777777" w:rsidR="00E276AB" w:rsidRPr="006008DA" w:rsidRDefault="00E276AB" w:rsidP="005A1857">
            <w:pPr>
              <w:spacing w:before="120" w:after="120"/>
              <w:rPr>
                <w:sz w:val="20"/>
              </w:rPr>
            </w:pPr>
            <w:r w:rsidRPr="006008DA">
              <w:rPr>
                <w:sz w:val="20"/>
              </w:rPr>
              <w:t>Zoltán Balczó</w:t>
            </w:r>
          </w:p>
        </w:tc>
      </w:tr>
      <w:tr w:rsidR="00E276AB" w:rsidRPr="006008DA" w14:paraId="3F12A857" w14:textId="77777777" w:rsidTr="005A1857">
        <w:trPr>
          <w:cantSplit/>
        </w:trPr>
        <w:tc>
          <w:tcPr>
            <w:tcW w:w="1701" w:type="dxa"/>
            <w:shd w:val="clear" w:color="auto" w:fill="FFFFFF"/>
          </w:tcPr>
          <w:p w14:paraId="5EC20B01" w14:textId="77777777" w:rsidR="00E276AB" w:rsidRPr="006008DA" w:rsidRDefault="00E276AB" w:rsidP="005A1857">
            <w:pPr>
              <w:spacing w:before="120" w:after="120"/>
              <w:rPr>
                <w:sz w:val="20"/>
              </w:rPr>
            </w:pPr>
            <w:r w:rsidRPr="006008DA">
              <w:rPr>
                <w:sz w:val="20"/>
              </w:rPr>
              <w:t>PPE</w:t>
            </w:r>
          </w:p>
        </w:tc>
        <w:tc>
          <w:tcPr>
            <w:tcW w:w="7371" w:type="dxa"/>
            <w:shd w:val="clear" w:color="auto" w:fill="FFFFFF"/>
          </w:tcPr>
          <w:p w14:paraId="552D1F32" w14:textId="77777777" w:rsidR="00E276AB" w:rsidRPr="006008DA" w:rsidRDefault="00E276AB" w:rsidP="005A1857">
            <w:pPr>
              <w:spacing w:before="120" w:after="120"/>
              <w:rPr>
                <w:sz w:val="20"/>
              </w:rPr>
            </w:pPr>
            <w:r w:rsidRPr="006008DA">
              <w:rPr>
                <w:sz w:val="20"/>
              </w:rPr>
              <w:t>Innocenzo Leontini, Sirpa Pietikäinen</w:t>
            </w:r>
          </w:p>
        </w:tc>
      </w:tr>
      <w:tr w:rsidR="00E276AB" w:rsidRPr="006008DA" w14:paraId="3385CEB7" w14:textId="77777777" w:rsidTr="005A1857">
        <w:trPr>
          <w:cantSplit/>
        </w:trPr>
        <w:tc>
          <w:tcPr>
            <w:tcW w:w="1701" w:type="dxa"/>
            <w:shd w:val="clear" w:color="auto" w:fill="FFFFFF"/>
          </w:tcPr>
          <w:p w14:paraId="49D0F004" w14:textId="77777777" w:rsidR="00E276AB" w:rsidRPr="006008DA" w:rsidRDefault="00E276AB" w:rsidP="005A1857">
            <w:pPr>
              <w:spacing w:before="120" w:after="120"/>
              <w:rPr>
                <w:sz w:val="20"/>
              </w:rPr>
            </w:pPr>
            <w:r w:rsidRPr="006008DA">
              <w:rPr>
                <w:sz w:val="20"/>
              </w:rPr>
              <w:t>S&amp;D</w:t>
            </w:r>
          </w:p>
        </w:tc>
        <w:tc>
          <w:tcPr>
            <w:tcW w:w="7371" w:type="dxa"/>
            <w:shd w:val="clear" w:color="auto" w:fill="FFFFFF"/>
          </w:tcPr>
          <w:p w14:paraId="6F949E32" w14:textId="3093D464" w:rsidR="00E276AB" w:rsidRPr="006008DA" w:rsidRDefault="00E276AB" w:rsidP="003109BA">
            <w:pPr>
              <w:spacing w:before="120" w:after="120"/>
              <w:rPr>
                <w:sz w:val="20"/>
              </w:rPr>
            </w:pPr>
            <w:r w:rsidRPr="006008DA">
              <w:rPr>
                <w:sz w:val="20"/>
              </w:rPr>
              <w:t>Biljana Borzan, Paul Brannen, Mercedes Bresso, Nicola Caputo, Nessa Childers, Seb</w:t>
            </w:r>
            <w:r w:rsidR="003109BA">
              <w:rPr>
                <w:sz w:val="20"/>
              </w:rPr>
              <w:t> </w:t>
            </w:r>
            <w:r w:rsidRPr="006008DA">
              <w:rPr>
                <w:sz w:val="20"/>
              </w:rPr>
              <w:t>Dance, Karin Kadenbach, Jo Leinen, Olle Ludvigsson, Susanne Melior, Massimo</w:t>
            </w:r>
            <w:r w:rsidR="003109BA">
              <w:rPr>
                <w:sz w:val="20"/>
              </w:rPr>
              <w:t> </w:t>
            </w:r>
            <w:r w:rsidRPr="006008DA">
              <w:rPr>
                <w:sz w:val="20"/>
              </w:rPr>
              <w:t>Paolucci, Gilles Pargneaux, Carlos Zorrinho</w:t>
            </w:r>
          </w:p>
        </w:tc>
      </w:tr>
      <w:tr w:rsidR="00E276AB" w:rsidRPr="006008DA" w14:paraId="37146A9E" w14:textId="77777777" w:rsidTr="005A1857">
        <w:trPr>
          <w:cantSplit/>
        </w:trPr>
        <w:tc>
          <w:tcPr>
            <w:tcW w:w="1701" w:type="dxa"/>
            <w:shd w:val="clear" w:color="auto" w:fill="FFFFFF"/>
          </w:tcPr>
          <w:p w14:paraId="2F580159" w14:textId="77777777" w:rsidR="00E276AB" w:rsidRPr="006008DA" w:rsidRDefault="00E276AB" w:rsidP="005A1857">
            <w:pPr>
              <w:spacing w:before="120" w:after="120"/>
              <w:rPr>
                <w:sz w:val="20"/>
              </w:rPr>
            </w:pPr>
            <w:r w:rsidRPr="006008DA">
              <w:rPr>
                <w:sz w:val="20"/>
              </w:rPr>
              <w:t>VERTS/ALE</w:t>
            </w:r>
          </w:p>
        </w:tc>
        <w:tc>
          <w:tcPr>
            <w:tcW w:w="7371" w:type="dxa"/>
            <w:shd w:val="clear" w:color="auto" w:fill="FFFFFF"/>
          </w:tcPr>
          <w:p w14:paraId="5E387604" w14:textId="257F89BC" w:rsidR="00E276AB" w:rsidRPr="006008DA" w:rsidRDefault="00E276AB" w:rsidP="003109BA">
            <w:pPr>
              <w:spacing w:before="120" w:after="120"/>
              <w:rPr>
                <w:sz w:val="20"/>
              </w:rPr>
            </w:pPr>
            <w:r w:rsidRPr="006008DA">
              <w:rPr>
                <w:sz w:val="20"/>
              </w:rPr>
              <w:t>Marco Affronte, Bas Eickhout, Martin Häusling, Benedek Jávor, Tilly Metz, Ana</w:t>
            </w:r>
            <w:r w:rsidR="003109BA">
              <w:rPr>
                <w:sz w:val="20"/>
              </w:rPr>
              <w:t> </w:t>
            </w:r>
            <w:r w:rsidRPr="006008DA">
              <w:rPr>
                <w:sz w:val="20"/>
              </w:rPr>
              <w:t>Miranda</w:t>
            </w:r>
          </w:p>
        </w:tc>
      </w:tr>
    </w:tbl>
    <w:p w14:paraId="254B1035" w14:textId="77777777" w:rsidR="00E276AB" w:rsidRPr="006008DA" w:rsidRDefault="00E276AB" w:rsidP="00E276A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76AB" w:rsidRPr="006008DA" w14:paraId="5BDC34A6" w14:textId="77777777" w:rsidTr="005A1857">
        <w:trPr>
          <w:cantSplit/>
        </w:trPr>
        <w:tc>
          <w:tcPr>
            <w:tcW w:w="1701" w:type="dxa"/>
            <w:shd w:val="pct10" w:color="000000" w:fill="FFFFFF"/>
            <w:vAlign w:val="center"/>
          </w:tcPr>
          <w:p w14:paraId="4BB98ECE" w14:textId="77777777" w:rsidR="00E276AB" w:rsidRPr="006008DA" w:rsidRDefault="00E276AB" w:rsidP="005A1857">
            <w:pPr>
              <w:spacing w:before="120" w:after="120"/>
              <w:jc w:val="center"/>
              <w:rPr>
                <w:b/>
                <w:sz w:val="16"/>
              </w:rPr>
            </w:pPr>
            <w:r w:rsidRPr="006008DA">
              <w:rPr>
                <w:b/>
                <w:sz w:val="16"/>
              </w:rPr>
              <w:t>18</w:t>
            </w:r>
          </w:p>
        </w:tc>
        <w:tc>
          <w:tcPr>
            <w:tcW w:w="7371" w:type="dxa"/>
            <w:shd w:val="pct10" w:color="000000" w:fill="FFFFFF"/>
          </w:tcPr>
          <w:p w14:paraId="28A84E9A" w14:textId="77777777" w:rsidR="00E276AB" w:rsidRPr="006008DA" w:rsidRDefault="00E276AB" w:rsidP="005A1857">
            <w:pPr>
              <w:spacing w:before="120" w:after="120"/>
              <w:jc w:val="center"/>
              <w:rPr>
                <w:sz w:val="28"/>
                <w:szCs w:val="28"/>
              </w:rPr>
            </w:pPr>
            <w:r w:rsidRPr="006008DA">
              <w:rPr>
                <w:rFonts w:ascii="Arial" w:hAnsi="Arial"/>
                <w:b/>
                <w:sz w:val="28"/>
                <w:szCs w:val="28"/>
              </w:rPr>
              <w:t>-</w:t>
            </w:r>
          </w:p>
        </w:tc>
      </w:tr>
      <w:tr w:rsidR="00E276AB" w:rsidRPr="006008DA" w14:paraId="66E34D91" w14:textId="77777777" w:rsidTr="005A1857">
        <w:trPr>
          <w:cantSplit/>
        </w:trPr>
        <w:tc>
          <w:tcPr>
            <w:tcW w:w="1701" w:type="dxa"/>
            <w:shd w:val="clear" w:color="auto" w:fill="FFFFFF"/>
          </w:tcPr>
          <w:p w14:paraId="29DCA1D1" w14:textId="77777777" w:rsidR="00E276AB" w:rsidRPr="006008DA" w:rsidRDefault="00E276AB" w:rsidP="005A1857">
            <w:pPr>
              <w:spacing w:before="120" w:after="120"/>
              <w:rPr>
                <w:sz w:val="20"/>
              </w:rPr>
            </w:pPr>
            <w:r w:rsidRPr="006008DA">
              <w:rPr>
                <w:sz w:val="20"/>
              </w:rPr>
              <w:t>ECR</w:t>
            </w:r>
          </w:p>
        </w:tc>
        <w:tc>
          <w:tcPr>
            <w:tcW w:w="7371" w:type="dxa"/>
            <w:shd w:val="clear" w:color="auto" w:fill="FFFFFF"/>
          </w:tcPr>
          <w:p w14:paraId="10389CC8" w14:textId="77777777" w:rsidR="00E276AB" w:rsidRPr="006008DA" w:rsidRDefault="00E276AB" w:rsidP="005A1857">
            <w:pPr>
              <w:spacing w:before="120" w:after="120"/>
              <w:rPr>
                <w:sz w:val="20"/>
              </w:rPr>
            </w:pPr>
            <w:r w:rsidRPr="006008DA">
              <w:rPr>
                <w:sz w:val="20"/>
              </w:rPr>
              <w:t>Urszula Krupa, Bolesław G. Piecha, Jadwiga Wiśniewska</w:t>
            </w:r>
          </w:p>
        </w:tc>
      </w:tr>
      <w:tr w:rsidR="00E276AB" w:rsidRPr="006008DA" w14:paraId="607657AC" w14:textId="77777777" w:rsidTr="005A1857">
        <w:trPr>
          <w:cantSplit/>
        </w:trPr>
        <w:tc>
          <w:tcPr>
            <w:tcW w:w="1701" w:type="dxa"/>
            <w:shd w:val="clear" w:color="auto" w:fill="FFFFFF"/>
          </w:tcPr>
          <w:p w14:paraId="39239442" w14:textId="77777777" w:rsidR="00E276AB" w:rsidRPr="006008DA" w:rsidRDefault="00E276AB" w:rsidP="005A1857">
            <w:pPr>
              <w:spacing w:before="120" w:after="120"/>
              <w:rPr>
                <w:sz w:val="20"/>
              </w:rPr>
            </w:pPr>
            <w:r w:rsidRPr="006008DA">
              <w:rPr>
                <w:sz w:val="20"/>
              </w:rPr>
              <w:t>EFDD</w:t>
            </w:r>
          </w:p>
        </w:tc>
        <w:tc>
          <w:tcPr>
            <w:tcW w:w="7371" w:type="dxa"/>
            <w:shd w:val="clear" w:color="auto" w:fill="FFFFFF"/>
          </w:tcPr>
          <w:p w14:paraId="24FB86FD" w14:textId="77777777" w:rsidR="00E276AB" w:rsidRPr="006008DA" w:rsidRDefault="00E276AB" w:rsidP="005A1857">
            <w:pPr>
              <w:spacing w:before="120" w:after="120"/>
              <w:rPr>
                <w:sz w:val="20"/>
              </w:rPr>
            </w:pPr>
            <w:r w:rsidRPr="006008DA">
              <w:rPr>
                <w:sz w:val="20"/>
              </w:rPr>
              <w:t>Julia Reid</w:t>
            </w:r>
          </w:p>
        </w:tc>
      </w:tr>
      <w:tr w:rsidR="00E276AB" w:rsidRPr="006008DA" w14:paraId="06DE6DCB" w14:textId="77777777" w:rsidTr="005A1857">
        <w:trPr>
          <w:cantSplit/>
        </w:trPr>
        <w:tc>
          <w:tcPr>
            <w:tcW w:w="1701" w:type="dxa"/>
            <w:shd w:val="clear" w:color="auto" w:fill="FFFFFF"/>
          </w:tcPr>
          <w:p w14:paraId="370E516E" w14:textId="77777777" w:rsidR="00E276AB" w:rsidRPr="006008DA" w:rsidRDefault="00E276AB" w:rsidP="005A1857">
            <w:pPr>
              <w:spacing w:before="120" w:after="120"/>
              <w:rPr>
                <w:sz w:val="20"/>
              </w:rPr>
            </w:pPr>
            <w:r w:rsidRPr="006008DA">
              <w:rPr>
                <w:sz w:val="20"/>
              </w:rPr>
              <w:t>PPE</w:t>
            </w:r>
          </w:p>
        </w:tc>
        <w:tc>
          <w:tcPr>
            <w:tcW w:w="7371" w:type="dxa"/>
            <w:shd w:val="clear" w:color="auto" w:fill="FFFFFF"/>
          </w:tcPr>
          <w:p w14:paraId="3B56AAAC" w14:textId="2F124DD7" w:rsidR="00E276AB" w:rsidRPr="006008DA" w:rsidRDefault="00E276AB" w:rsidP="003109BA">
            <w:pPr>
              <w:spacing w:before="120" w:after="120"/>
              <w:rPr>
                <w:sz w:val="20"/>
              </w:rPr>
            </w:pPr>
            <w:r w:rsidRPr="006008DA">
              <w:rPr>
                <w:sz w:val="20"/>
              </w:rPr>
              <w:t>Pilar Ayuso, Ivo Belet, Cristian</w:t>
            </w:r>
            <w:r w:rsidRPr="006008DA">
              <w:rPr>
                <w:sz w:val="20"/>
              </w:rPr>
              <w:noBreakHyphen/>
              <w:t>Silviu Buşoi, Birgit Collin</w:t>
            </w:r>
            <w:r w:rsidRPr="006008DA">
              <w:rPr>
                <w:sz w:val="20"/>
              </w:rPr>
              <w:noBreakHyphen/>
              <w:t>Langen, Michel Dantin, Francesc Gambús, Jens Gieseke, Julie Girling, Françoise Grossetête, Esther</w:t>
            </w:r>
            <w:r w:rsidR="003109BA">
              <w:rPr>
                <w:sz w:val="20"/>
              </w:rPr>
              <w:t> </w:t>
            </w:r>
            <w:r w:rsidRPr="006008DA">
              <w:rPr>
                <w:sz w:val="20"/>
              </w:rPr>
              <w:t>Herranz</w:t>
            </w:r>
            <w:r w:rsidR="003109BA">
              <w:rPr>
                <w:sz w:val="20"/>
              </w:rPr>
              <w:t> </w:t>
            </w:r>
            <w:r w:rsidRPr="006008DA">
              <w:rPr>
                <w:sz w:val="20"/>
              </w:rPr>
              <w:t>García, Giovanni La Via, Peter Liese, Miroslav Mikolášik, Annie</w:t>
            </w:r>
            <w:r w:rsidR="003109BA">
              <w:rPr>
                <w:sz w:val="20"/>
              </w:rPr>
              <w:t> </w:t>
            </w:r>
            <w:r w:rsidRPr="006008DA">
              <w:rPr>
                <w:sz w:val="20"/>
              </w:rPr>
              <w:t>Schreijer</w:t>
            </w:r>
            <w:r w:rsidRPr="006008DA">
              <w:rPr>
                <w:sz w:val="20"/>
              </w:rPr>
              <w:noBreakHyphen/>
              <w:t>Pierik, Adina</w:t>
            </w:r>
            <w:r w:rsidRPr="006008DA">
              <w:rPr>
                <w:sz w:val="20"/>
              </w:rPr>
              <w:noBreakHyphen/>
              <w:t>Ioana Vălean</w:t>
            </w:r>
          </w:p>
        </w:tc>
      </w:tr>
    </w:tbl>
    <w:p w14:paraId="1E26A80A" w14:textId="77777777" w:rsidR="00E276AB" w:rsidRPr="006008DA" w:rsidRDefault="00E276AB" w:rsidP="00E276A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76AB" w:rsidRPr="006008DA" w14:paraId="6772B0EA" w14:textId="77777777" w:rsidTr="005A1857">
        <w:trPr>
          <w:cantSplit/>
        </w:trPr>
        <w:tc>
          <w:tcPr>
            <w:tcW w:w="1701" w:type="dxa"/>
            <w:shd w:val="pct10" w:color="000000" w:fill="FFFFFF"/>
            <w:vAlign w:val="center"/>
          </w:tcPr>
          <w:p w14:paraId="4C095050" w14:textId="77777777" w:rsidR="00E276AB" w:rsidRPr="006008DA" w:rsidRDefault="00E276AB" w:rsidP="005A1857">
            <w:pPr>
              <w:spacing w:before="120" w:after="120"/>
              <w:jc w:val="center"/>
              <w:rPr>
                <w:b/>
                <w:sz w:val="16"/>
              </w:rPr>
            </w:pPr>
            <w:r w:rsidRPr="006008DA">
              <w:rPr>
                <w:b/>
                <w:sz w:val="16"/>
              </w:rPr>
              <w:t>3</w:t>
            </w:r>
          </w:p>
        </w:tc>
        <w:tc>
          <w:tcPr>
            <w:tcW w:w="7371" w:type="dxa"/>
            <w:shd w:val="pct10" w:color="000000" w:fill="FFFFFF"/>
          </w:tcPr>
          <w:p w14:paraId="1C5AEE3F" w14:textId="77777777" w:rsidR="00E276AB" w:rsidRPr="006008DA" w:rsidRDefault="00E276AB" w:rsidP="005A1857">
            <w:pPr>
              <w:spacing w:before="120" w:after="120"/>
              <w:jc w:val="center"/>
              <w:rPr>
                <w:sz w:val="28"/>
                <w:szCs w:val="28"/>
              </w:rPr>
            </w:pPr>
            <w:r w:rsidRPr="006008DA">
              <w:rPr>
                <w:rFonts w:ascii="Arial" w:hAnsi="Arial"/>
                <w:b/>
                <w:sz w:val="28"/>
                <w:szCs w:val="28"/>
              </w:rPr>
              <w:t>0</w:t>
            </w:r>
          </w:p>
        </w:tc>
      </w:tr>
      <w:tr w:rsidR="00E276AB" w:rsidRPr="006008DA" w14:paraId="5B643473" w14:textId="77777777" w:rsidTr="005A1857">
        <w:trPr>
          <w:cantSplit/>
        </w:trPr>
        <w:tc>
          <w:tcPr>
            <w:tcW w:w="1701" w:type="dxa"/>
            <w:shd w:val="clear" w:color="auto" w:fill="FFFFFF"/>
          </w:tcPr>
          <w:p w14:paraId="35F9EC88" w14:textId="77777777" w:rsidR="00E276AB" w:rsidRPr="006008DA" w:rsidRDefault="00E276AB" w:rsidP="005A1857">
            <w:pPr>
              <w:spacing w:before="120" w:after="120"/>
              <w:rPr>
                <w:sz w:val="20"/>
              </w:rPr>
            </w:pPr>
            <w:r w:rsidRPr="006008DA">
              <w:rPr>
                <w:sz w:val="20"/>
              </w:rPr>
              <w:t>ECR</w:t>
            </w:r>
          </w:p>
        </w:tc>
        <w:tc>
          <w:tcPr>
            <w:tcW w:w="7371" w:type="dxa"/>
            <w:shd w:val="clear" w:color="auto" w:fill="FFFFFF"/>
          </w:tcPr>
          <w:p w14:paraId="4FF3E9FB" w14:textId="77777777" w:rsidR="00E276AB" w:rsidRPr="006008DA" w:rsidRDefault="00E276AB" w:rsidP="005A1857">
            <w:pPr>
              <w:spacing w:before="120" w:after="120"/>
              <w:rPr>
                <w:sz w:val="20"/>
              </w:rPr>
            </w:pPr>
            <w:r w:rsidRPr="006008DA">
              <w:rPr>
                <w:sz w:val="20"/>
              </w:rPr>
              <w:t>Mark Demesmaeker, John Procter</w:t>
            </w:r>
          </w:p>
        </w:tc>
      </w:tr>
      <w:tr w:rsidR="00E276AB" w:rsidRPr="006008DA" w14:paraId="692699D1" w14:textId="77777777" w:rsidTr="005A1857">
        <w:trPr>
          <w:cantSplit/>
        </w:trPr>
        <w:tc>
          <w:tcPr>
            <w:tcW w:w="1701" w:type="dxa"/>
            <w:shd w:val="clear" w:color="auto" w:fill="FFFFFF"/>
          </w:tcPr>
          <w:p w14:paraId="2E3CF9B1" w14:textId="77777777" w:rsidR="00E276AB" w:rsidRPr="006008DA" w:rsidRDefault="00E276AB" w:rsidP="005A1857">
            <w:pPr>
              <w:spacing w:before="120" w:after="120"/>
              <w:rPr>
                <w:sz w:val="20"/>
              </w:rPr>
            </w:pPr>
            <w:r w:rsidRPr="006008DA">
              <w:rPr>
                <w:sz w:val="20"/>
              </w:rPr>
              <w:t>EFDD</w:t>
            </w:r>
          </w:p>
        </w:tc>
        <w:tc>
          <w:tcPr>
            <w:tcW w:w="7371" w:type="dxa"/>
            <w:shd w:val="clear" w:color="auto" w:fill="FFFFFF"/>
          </w:tcPr>
          <w:p w14:paraId="7443D3F0" w14:textId="77777777" w:rsidR="00E276AB" w:rsidRPr="006008DA" w:rsidRDefault="00E276AB" w:rsidP="005A1857">
            <w:pPr>
              <w:spacing w:before="120" w:after="120"/>
              <w:rPr>
                <w:sz w:val="20"/>
              </w:rPr>
            </w:pPr>
            <w:r w:rsidRPr="006008DA">
              <w:rPr>
                <w:sz w:val="20"/>
              </w:rPr>
              <w:t>Sylvie Goddyn</w:t>
            </w:r>
          </w:p>
        </w:tc>
      </w:tr>
    </w:tbl>
    <w:p w14:paraId="08E7DC0B" w14:textId="77777777" w:rsidR="00E276AB" w:rsidRPr="006008DA" w:rsidRDefault="00E276AB" w:rsidP="00E276AB">
      <w:pPr>
        <w:pStyle w:val="Normal12"/>
      </w:pPr>
    </w:p>
    <w:p w14:paraId="41F141CD" w14:textId="77777777" w:rsidR="00E276AB" w:rsidRPr="006008DA" w:rsidRDefault="00E276AB" w:rsidP="00E276AB">
      <w:r w:rsidRPr="006008DA">
        <w:t>Teckenförklaring:</w:t>
      </w:r>
    </w:p>
    <w:p w14:paraId="5F762AF7" w14:textId="77777777" w:rsidR="00E276AB" w:rsidRPr="006008DA" w:rsidRDefault="00E276AB" w:rsidP="00E276AB">
      <w:pPr>
        <w:pStyle w:val="NormalTabs"/>
      </w:pPr>
      <w:r w:rsidRPr="006008DA">
        <w:t>+</w:t>
      </w:r>
      <w:r w:rsidRPr="006008DA">
        <w:tab/>
        <w:t>:</w:t>
      </w:r>
      <w:r w:rsidRPr="006008DA">
        <w:tab/>
        <w:t>Ja-röster</w:t>
      </w:r>
    </w:p>
    <w:p w14:paraId="535B293C" w14:textId="77777777" w:rsidR="00E276AB" w:rsidRPr="006008DA" w:rsidRDefault="00E276AB" w:rsidP="00E276AB">
      <w:pPr>
        <w:pStyle w:val="NormalTabs"/>
      </w:pPr>
      <w:r w:rsidRPr="006008DA">
        <w:t>-</w:t>
      </w:r>
      <w:r w:rsidRPr="006008DA">
        <w:tab/>
        <w:t>:</w:t>
      </w:r>
      <w:r w:rsidRPr="006008DA">
        <w:tab/>
        <w:t>Nej-röster</w:t>
      </w:r>
    </w:p>
    <w:p w14:paraId="6B49C507" w14:textId="77777777" w:rsidR="00E276AB" w:rsidRPr="006008DA" w:rsidRDefault="00E276AB" w:rsidP="00E276AB">
      <w:pPr>
        <w:pStyle w:val="NormalTabs"/>
      </w:pPr>
      <w:r w:rsidRPr="006008DA">
        <w:t>0</w:t>
      </w:r>
      <w:r w:rsidRPr="006008DA">
        <w:tab/>
        <w:t>:</w:t>
      </w:r>
      <w:r w:rsidRPr="006008DA">
        <w:tab/>
        <w:t>Nedlagda röster</w:t>
      </w:r>
    </w:p>
    <w:p w14:paraId="08187C68" w14:textId="77777777" w:rsidR="00E276AB" w:rsidRPr="006008DA" w:rsidRDefault="00E276AB" w:rsidP="00E276AB"/>
    <w:bookmarkEnd w:id="5"/>
    <w:p w14:paraId="2E6953C3" w14:textId="77777777" w:rsidR="00E276AB" w:rsidRPr="006008DA" w:rsidRDefault="00E276AB" w:rsidP="00E276AB"/>
    <w:p w14:paraId="19BF193D" w14:textId="77777777" w:rsidR="00BE20CF" w:rsidRPr="006008DA" w:rsidRDefault="00BE20CF" w:rsidP="00E276AB">
      <w:pPr>
        <w:pStyle w:val="RefProc"/>
      </w:pPr>
    </w:p>
    <w:sectPr w:rsidR="00BE20CF" w:rsidRPr="006008DA" w:rsidSect="006008D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D4A8" w14:textId="77777777" w:rsidR="00836ACC" w:rsidRPr="006008DA" w:rsidRDefault="00836ACC">
      <w:r w:rsidRPr="006008DA">
        <w:separator/>
      </w:r>
    </w:p>
  </w:endnote>
  <w:endnote w:type="continuationSeparator" w:id="0">
    <w:p w14:paraId="5550B953" w14:textId="77777777" w:rsidR="00836ACC" w:rsidRPr="006008DA" w:rsidRDefault="00836ACC">
      <w:r w:rsidRPr="006008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7BDD" w14:textId="60ADFE54" w:rsidR="006008DA" w:rsidRPr="006008DA" w:rsidRDefault="006008DA" w:rsidP="006008DA">
    <w:pPr>
      <w:pStyle w:val="Footer"/>
    </w:pPr>
    <w:r w:rsidRPr="006008DA">
      <w:t>PE</w:t>
    </w:r>
    <w:r w:rsidRPr="006008DA">
      <w:rPr>
        <w:rStyle w:val="HideTWBExt"/>
        <w:noProof w:val="0"/>
      </w:rPr>
      <w:t>&lt;NoPE&gt;</w:t>
    </w:r>
    <w:r w:rsidRPr="006008DA">
      <w:t>630.616</w:t>
    </w:r>
    <w:r w:rsidRPr="006008DA">
      <w:rPr>
        <w:rStyle w:val="HideTWBExt"/>
        <w:noProof w:val="0"/>
      </w:rPr>
      <w:t>&lt;/NoPE&gt;&lt;Version&gt;</w:t>
    </w:r>
    <w:r w:rsidRPr="006008DA">
      <w:t>v01-00</w:t>
    </w:r>
    <w:r w:rsidRPr="006008DA">
      <w:rPr>
        <w:rStyle w:val="HideTWBExt"/>
        <w:noProof w:val="0"/>
      </w:rPr>
      <w:t>&lt;/Version&gt;</w:t>
    </w:r>
    <w:r w:rsidRPr="006008DA">
      <w:tab/>
    </w:r>
    <w:r w:rsidRPr="006008DA">
      <w:fldChar w:fldCharType="begin"/>
    </w:r>
    <w:r w:rsidRPr="006008DA">
      <w:instrText xml:space="preserve"> PAGE  \* MERGEFORMAT </w:instrText>
    </w:r>
    <w:r w:rsidRPr="006008DA">
      <w:fldChar w:fldCharType="separate"/>
    </w:r>
    <w:r w:rsidR="003109BA">
      <w:rPr>
        <w:noProof/>
      </w:rPr>
      <w:t>6</w:t>
    </w:r>
    <w:r w:rsidRPr="006008DA">
      <w:fldChar w:fldCharType="end"/>
    </w:r>
    <w:r w:rsidRPr="006008DA">
      <w:t>/</w:t>
    </w:r>
    <w:fldSimple w:instr=" NUMPAGES  \* MERGEFORMAT ">
      <w:r w:rsidR="003109BA">
        <w:rPr>
          <w:noProof/>
        </w:rPr>
        <w:t>23</w:t>
      </w:r>
    </w:fldSimple>
    <w:r w:rsidRPr="006008DA">
      <w:tab/>
    </w:r>
    <w:r w:rsidRPr="006008DA">
      <w:rPr>
        <w:rStyle w:val="HideTWBExt"/>
        <w:noProof w:val="0"/>
      </w:rPr>
      <w:t>&lt;PathFdR&gt;</w:t>
    </w:r>
    <w:r w:rsidRPr="006008DA">
      <w:t>AD\1169647SV.docx</w:t>
    </w:r>
    <w:r w:rsidRPr="006008DA">
      <w:rPr>
        <w:rStyle w:val="HideTWBExt"/>
        <w:noProof w:val="0"/>
      </w:rPr>
      <w:t>&lt;/PathFdR&gt;</w:t>
    </w:r>
  </w:p>
  <w:p w14:paraId="79AC1477" w14:textId="05172FF0" w:rsidR="007F187F" w:rsidRPr="006008DA" w:rsidRDefault="006008DA" w:rsidP="006008DA">
    <w:pPr>
      <w:pStyle w:val="Footer2"/>
    </w:pPr>
    <w:r w:rsidRPr="006008DA">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B326" w14:textId="54D39FD3" w:rsidR="006008DA" w:rsidRPr="006008DA" w:rsidRDefault="006008DA" w:rsidP="006008DA">
    <w:pPr>
      <w:pStyle w:val="Footer"/>
    </w:pPr>
    <w:r w:rsidRPr="006008DA">
      <w:rPr>
        <w:rStyle w:val="HideTWBExt"/>
        <w:noProof w:val="0"/>
      </w:rPr>
      <w:t>&lt;PathFdR&gt;</w:t>
    </w:r>
    <w:r w:rsidRPr="006008DA">
      <w:t>AD\1169647SV.docx</w:t>
    </w:r>
    <w:r w:rsidRPr="006008DA">
      <w:rPr>
        <w:rStyle w:val="HideTWBExt"/>
        <w:noProof w:val="0"/>
      </w:rPr>
      <w:t>&lt;/PathFdR&gt;</w:t>
    </w:r>
    <w:r w:rsidRPr="006008DA">
      <w:tab/>
    </w:r>
    <w:r w:rsidRPr="006008DA">
      <w:fldChar w:fldCharType="begin"/>
    </w:r>
    <w:r w:rsidRPr="006008DA">
      <w:instrText xml:space="preserve"> PAGE  \* MERGEFORMAT </w:instrText>
    </w:r>
    <w:r w:rsidRPr="006008DA">
      <w:fldChar w:fldCharType="separate"/>
    </w:r>
    <w:r w:rsidR="003109BA">
      <w:rPr>
        <w:noProof/>
      </w:rPr>
      <w:t>5</w:t>
    </w:r>
    <w:r w:rsidRPr="006008DA">
      <w:fldChar w:fldCharType="end"/>
    </w:r>
    <w:r w:rsidRPr="006008DA">
      <w:t>/</w:t>
    </w:r>
    <w:fldSimple w:instr=" NUMPAGES  \* MERGEFORMAT ">
      <w:r w:rsidR="003109BA">
        <w:rPr>
          <w:noProof/>
        </w:rPr>
        <w:t>23</w:t>
      </w:r>
    </w:fldSimple>
    <w:r w:rsidRPr="006008DA">
      <w:tab/>
      <w:t>PE</w:t>
    </w:r>
    <w:r w:rsidRPr="006008DA">
      <w:rPr>
        <w:rStyle w:val="HideTWBExt"/>
        <w:noProof w:val="0"/>
      </w:rPr>
      <w:t>&lt;NoPE&gt;</w:t>
    </w:r>
    <w:r w:rsidRPr="006008DA">
      <w:t>630.616</w:t>
    </w:r>
    <w:r w:rsidRPr="006008DA">
      <w:rPr>
        <w:rStyle w:val="HideTWBExt"/>
        <w:noProof w:val="0"/>
      </w:rPr>
      <w:t>&lt;/NoPE&gt;&lt;Version&gt;</w:t>
    </w:r>
    <w:r w:rsidRPr="006008DA">
      <w:t>v01-00</w:t>
    </w:r>
    <w:r w:rsidRPr="006008DA">
      <w:rPr>
        <w:rStyle w:val="HideTWBExt"/>
        <w:noProof w:val="0"/>
      </w:rPr>
      <w:t>&lt;/Version&gt;</w:t>
    </w:r>
  </w:p>
  <w:p w14:paraId="35A52B0D" w14:textId="03480125" w:rsidR="007F187F" w:rsidRPr="006008DA" w:rsidRDefault="006008DA" w:rsidP="006008DA">
    <w:pPr>
      <w:pStyle w:val="Footer2"/>
    </w:pPr>
    <w:r w:rsidRPr="006008DA">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E953" w14:textId="77777777" w:rsidR="006008DA" w:rsidRPr="006008DA" w:rsidRDefault="006008DA" w:rsidP="006008DA">
    <w:pPr>
      <w:pStyle w:val="Footer"/>
    </w:pPr>
    <w:r w:rsidRPr="006008DA">
      <w:rPr>
        <w:rStyle w:val="HideTWBExt"/>
        <w:noProof w:val="0"/>
      </w:rPr>
      <w:t>&lt;PathFdR&gt;</w:t>
    </w:r>
    <w:r w:rsidRPr="006008DA">
      <w:t>AD\1169647SV.docx</w:t>
    </w:r>
    <w:r w:rsidRPr="006008DA">
      <w:rPr>
        <w:rStyle w:val="HideTWBExt"/>
        <w:noProof w:val="0"/>
      </w:rPr>
      <w:t>&lt;/PathFdR&gt;</w:t>
    </w:r>
    <w:r w:rsidRPr="006008DA">
      <w:tab/>
    </w:r>
    <w:r w:rsidRPr="006008DA">
      <w:tab/>
      <w:t>PE</w:t>
    </w:r>
    <w:r w:rsidRPr="006008DA">
      <w:rPr>
        <w:rStyle w:val="HideTWBExt"/>
        <w:noProof w:val="0"/>
      </w:rPr>
      <w:t>&lt;NoPE&gt;</w:t>
    </w:r>
    <w:r w:rsidRPr="006008DA">
      <w:t>630.616</w:t>
    </w:r>
    <w:r w:rsidRPr="006008DA">
      <w:rPr>
        <w:rStyle w:val="HideTWBExt"/>
        <w:noProof w:val="0"/>
      </w:rPr>
      <w:t>&lt;/NoPE&gt;&lt;Version&gt;</w:t>
    </w:r>
    <w:r w:rsidRPr="006008DA">
      <w:t>v01-00</w:t>
    </w:r>
    <w:r w:rsidRPr="006008DA">
      <w:rPr>
        <w:rStyle w:val="HideTWBExt"/>
        <w:noProof w:val="0"/>
      </w:rPr>
      <w:t>&lt;/Version&gt;</w:t>
    </w:r>
  </w:p>
  <w:p w14:paraId="3A35AE0B" w14:textId="5E59A84A" w:rsidR="007F187F" w:rsidRPr="006008DA" w:rsidRDefault="006008DA" w:rsidP="006008DA">
    <w:pPr>
      <w:pStyle w:val="Footer2"/>
      <w:tabs>
        <w:tab w:val="center" w:pos="4535"/>
        <w:tab w:val="right" w:pos="9921"/>
      </w:tabs>
    </w:pPr>
    <w:r w:rsidRPr="006008DA">
      <w:t>SV</w:t>
    </w:r>
    <w:r w:rsidRPr="006008DA">
      <w:tab/>
    </w:r>
    <w:r w:rsidRPr="006008DA">
      <w:rPr>
        <w:b w:val="0"/>
        <w:i/>
        <w:color w:val="C0C0C0"/>
        <w:sz w:val="22"/>
      </w:rPr>
      <w:t>Förenade i mångfalden</w:t>
    </w:r>
    <w:r w:rsidRPr="006008DA">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F89B" w14:textId="77777777" w:rsidR="00836ACC" w:rsidRPr="006008DA" w:rsidRDefault="00836ACC">
      <w:r w:rsidRPr="006008DA">
        <w:separator/>
      </w:r>
    </w:p>
  </w:footnote>
  <w:footnote w:type="continuationSeparator" w:id="0">
    <w:p w14:paraId="38E91EFA" w14:textId="77777777" w:rsidR="00836ACC" w:rsidRPr="006008DA" w:rsidRDefault="00836ACC">
      <w:r w:rsidRPr="006008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65E2" w14:textId="77777777" w:rsidR="003109BA" w:rsidRDefault="00310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1991" w14:textId="77777777" w:rsidR="003109BA" w:rsidRDefault="00310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D84A" w14:textId="77777777" w:rsidR="003109BA" w:rsidRDefault="00310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DEMNU" w:val=" 1"/>
    <w:docVar w:name="COM2KEY" w:val="REGI"/>
    <w:docVar w:name="COMKEY" w:val="ENVI"/>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4575423 HideTWBInt;}}{\*\rsidtbl \rsid24658\rsid396281\rsid735077\rsid2892074\rsid4666813\rsid6641733\rsid9636012\rsid11215221\rsid12154954\rsid14424199\rsid14575423\rsid15204470\rsid15285974\rsid15950462\rsid16324206_x000d__x000a_\rsid16662270}{\mmathPr\mmathFont34\mbrkBin0\mbrkBinSub0\msmallFrac0\mdispDef1\mlMargin0\mrMargin0\mdefJc1\mwrapIndent1440\mintLim0\mnaryLim1}{\info{\author PAWLIK Anna}{\operator PAWLIK Anna}{\creatim\yr2018\mo9\dy14\hr12\min55}_x000d__x000a_{\revtim\yr2018\mo9\dy14\hr12\min55}{\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75423\utinl \fet0{\*\wgrffmtfilter 013f}\ilfomacatclnup0{\*\template C:\\Users\\AOWCZA~1\\AppData\\Local\\Temp\\Blank1.dot}{\*\ftnsep \ltrpar \pard\plain \ltrpar_x000d__x000a_\ql \li0\ri0\widctlpar\wrapdefault\aspalpha\aspnum\faauto\adjustright\rin0\lin0\itap0 \rtlch\fcs1 \af0\afs20\alang1025 \ltrch\fcs0 \fs24\lang2057\langfe2057\cgrid\langnp2057\langfenp2057 {\rtlch\fcs1 \af0 \ltrch\fcs0 \insrsid396281 \chftnsep _x000d__x000a_\par }}{\*\ftnsepc \ltrpar \pard\plain \ltrpar\ql \li0\ri0\widctlpar\wrapdefault\aspalpha\aspnum\faauto\adjustright\rin0\lin0\itap0 \rtlch\fcs1 \af0\afs20\alang1025 \ltrch\fcs0 \fs24\lang2057\langfe2057\cgrid\langnp2057\langfenp2057 {\rtlch\fcs1 \af0 _x000d__x000a_\ltrch\fcs0 \insrsid396281 \chftnsepc _x000d__x000a_\par }}{\*\aftnsep \ltrpar \pard\plain \ltrpar\ql \li0\ri0\widctlpar\wrapdefault\aspalpha\aspnum\faauto\adjustright\rin0\lin0\itap0 \rtlch\fcs1 \af0\afs20\alang1025 \ltrch\fcs0 \fs24\lang2057\langfe2057\cgrid\langnp2057\langfenp2057 {\rtlch\fcs1 \af0 _x000d__x000a_\ltrch\fcs0 \insrsid396281 \chftnsep _x000d__x000a_\par }}{\*\aftnsepc \ltrpar \pard\plain \ltrpar\ql \li0\ri0\widctlpar\wrapdefault\aspalpha\aspnum\faauto\adjustright\rin0\lin0\itap0 \rtlch\fcs1 \af0\afs20\alang1025 \ltrch\fcs0 \fs24\lang2057\langfe2057\cgrid\langnp2057\langfenp2057 {\rtlch\fcs1 \af0 _x000d__x000a_\ltrch\fcs0 \insrsid39628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4575423\charrsid9964477 {\*\bkmkstart ReplaceBookmark}#}{\rtlch\fcs1 \af0 \ltrch\fcs0 \cs15\v\cf15\insrsid14575423\charrsid9964477 &gt;&gt;&gt;CVAR@@AmendA}{\rtlch\fcs1 \af0 \ltrch\fcs0 \insrsid14575423\charrsid9964477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8_x000d__x000a_a56c194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559191 HideTWBExt;}{\s16\ql \li0\ri0\sa120\nowidctlpar\wrapdefault\aspalpha\aspnum\faauto\adjustright\rin0\lin0\itap0 \rtlch\fcs1 \af0\afs20\alang1025 \ltrch\fcs0 _x000d__x000a_\fs24\lang2057\langfe2057\cgrid\langnp2057\langfenp2057 \sbasedon0 \snext16 \slink17 \spriority0 \styrsid6559191 Normal6;}{\*\cs17 \additive \fs24 \slink16 \slocked \spriority0 \styrsid6559191 Normal6 Char;}{_x000d__x000a_\s18\ql \li0\ri0\nowidctlpar\wrapdefault\aspalpha\aspnum\faauto\adjustright\rin0\lin0\itap0 \rtlch\fcs1 \af0\afs20\alang1025 \ltrch\fcs0 \b\fs24\lang2057\langfe2057\cgrid\langnp2057\langfenp2057 \sbasedon0 \snext18 \slink19 \spriority0 \styrsid6559191 _x000d__x000a_NormalBold;}{\*\cs19 \additive \b\fs24 \slink18 \slocked \spriority0 \styrsid6559191 NormalBold Char;}{\s20\ql \li0\ri0\sa240\nowidctlpar\wrapdefault\aspalpha\aspnum\faauto\adjustright\rin0\lin0\itap0 \rtlch\fcs1 \af0\afs20\alang1025 \ltrch\fcs0 _x000d__x000a_\i\fs24\lang2057\langfe2057\cgrid\langnp2057\langfenp2057 \sbasedon0 \snext20 \spriority0 \styrsid6559191 Normal12Italic;}{\*\cs21 \additive \v\cf15 \spriority0 \styrsid6559191 HideTWBInt;}{_x000d__x000a_\s22\qc \li0\ri0\sb240\sa240\keepn\nowidctlpar\wrapdefault\aspalpha\aspnum\faauto\adjustright\rin0\lin0\itap0 \rtlch\fcs1 \af0\afs20\alang1025 \ltrch\fcs0 \i\fs24\lang2057\langfe2057\cgrid\langnp2057\langfenp2057 _x000d__x000a_\sbasedon0 \snext0 \spriority0 \styrsid6559191 JustificationTitle;}{\s23\qc \li0\ri0\sa240\nowidctlpar\wrapdefault\aspalpha\aspnum\faauto\adjustright\rin0\lin0\itap0 \rtlch\fcs1 \af0\afs20\alang1025 \ltrch\fcs0 _x000d__x000a_\i\fs24\lang2057\langfe2057\cgrid\langnp2057\langfenp2057 \sbasedon0 \snext23 \spriority0 \styrsid655919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559191 AMNumberTabs;}{\s25\ql \li0\ri0\sb240\nowidctlpar\wrapdefault\aspalpha\aspnum\faauto\adjustright\rin0\lin0\itap0 \rtlch\fcs1 _x000d__x000a_\af0\afs20\alang1025 \ltrch\fcs0 \b\fs24\lang2057\langfe2057\cgrid\langnp2057\langfenp2057 \sbasedon0 \snext25 \spriority0 \styrsid6559191 NormalBold12b;}}{\*\rsidtbl \rsid24658\rsid735077\rsid2892074\rsid4666813\rsid6559191\rsid6641733\rsid7044857_x000d__x000a_\rsid9636012\rsid11215221\rsid12154954\rsid14424199\rsid15204470\rsid15285974\rsid15950462\rsid16324206\rsid16662270}{\mmathPr\mmathFont34\mbrkBin0\mbrkBinSub0\msmallFrac0\mdispDef1\mlMargin0\mrMargin0\mdefJc1\mwrapIndent1440\mintLim0\mnaryLim1}{\info_x000d__x000a_{\author PAWLIK Anna}{\operator PAWLIK Anna}{\creatim\yr2018\mo10\dy10\hr13\min57}{\revtim\yr2018\mo10\dy10\hr13\min57}{\version1}{\edmins0}{\nofpages1}{\nofwords25}{\nofchars282}{\*\company European Parliament}{\nofcharsws284}{\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59191\utinl \fet0{\*\wgrffmtfilter 013f}\ilfomacatclnup0{\*\template C:\\Users\\AOWCZA~1\\AppData\\Local\\Temp\\Blank1.dot}{\*\ftnsep \ltrpar \pard\plain \ltrpar_x000d__x000a_\ql \li0\ri0\widctlpar\wrapdefault\aspalpha\aspnum\faauto\adjustright\rin0\lin0\itap0 \rtlch\fcs1 \af0\afs20\alang1025 \ltrch\fcs0 \fs24\lang2057\langfe2057\cgrid\langnp2057\langfenp2057 {\rtlch\fcs1 \af0 \ltrch\fcs0 \insrsid7044857 \chftnsep _x000d__x000a_\par }}{\*\ftnsepc \ltrpar \pard\plain \ltrpar\ql \li0\ri0\widctlpar\wrapdefault\aspalpha\aspnum\faauto\adjustright\rin0\lin0\itap0 \rtlch\fcs1 \af0\afs20\alang1025 \ltrch\fcs0 \fs24\lang2057\langfe2057\cgrid\langnp2057\langfenp2057 {\rtlch\fcs1 \af0 _x000d__x000a_\ltrch\fcs0 \insrsid7044857 \chftnsepc _x000d__x000a_\par }}{\*\aftnsep \ltrpar \pard\plain \ltrpar\ql \li0\ri0\widctlpar\wrapdefault\aspalpha\aspnum\faauto\adjustright\rin0\lin0\itap0 \rtlch\fcs1 \af0\afs20\alang1025 \ltrch\fcs0 \fs24\lang2057\langfe2057\cgrid\langnp2057\langfenp2057 {\rtlch\fcs1 \af0 _x000d__x000a_\ltrch\fcs0 \insrsid7044857 \chftnsep _x000d__x000a_\par }}{\*\aftnsepc \ltrpar \pard\plain \ltrpar\ql \li0\ri0\widctlpar\wrapdefault\aspalpha\aspnum\faauto\adjustright\rin0\lin0\itap0 \rtlch\fcs1 \af0\afs20\alang1025 \ltrch\fcs0 \fs24\lang2057\langfe2057\cgrid\langnp2057\langfenp2057 {\rtlch\fcs1 \af0 _x000d__x000a_\ltrch\fcs0 \insrsid70448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559191 \rtlch\fcs1 \af0\afs20\alang1025 \ltrch\fcs0 \b\fs24\lang2057\langfe2057\cgrid\langnp2057\langfenp2057 {\rtlch\fcs1 \af0 \ltrch\fcs0 \cs15\b0\v\f1\fs20\cf9\insrsid6559191\charrsid9964477 {\*\bkmkstart restartA}&lt;AmendA&gt;}{_x000d__x000a_\rtlch\fcs1 \af0 \ltrch\fcs0 \insrsid6559191\charrsid9964477 Amendment\tab \tab }{\rtlch\fcs1 \af0 \ltrch\fcs0 \cs15\b0\v\f1\fs20\cf9\insrsid6559191\charrsid9964477 &lt;NumAmA&gt;}{\rtlch\fcs1 \af0 \ltrch\fcs0 \insrsid6559191\charrsid9964477 #}{\rtlch\fcs1 _x000d__x000a_\af0 \ltrch\fcs0 \cs21\v\cf15\insrsid6559191\charrsid9964477 ENMIENDA@NRAM@}{\rtlch\fcs1 \af0 \ltrch\fcs0 \insrsid6559191\charrsid9964477 #}{\rtlch\fcs1 \af0 \ltrch\fcs0 \cs15\b0\v\f1\fs20\cf9\insrsid6559191\charrsid9964477 &lt;/NumAmA&gt;}{\rtlch\fcs1 \af0 _x000d__x000a_\ltrch\fcs0 \insrsid6559191\charrsid9964477 _x000d__x000a_\par }\pard\plain \ltrpar\s25\ql \li0\ri0\sb240\keepn\nowidctlpar\wrapdefault\aspalpha\aspnum\faauto\adjustright\rin0\lin0\itap0\pararsid6559191 \rtlch\fcs1 \af0\afs20\alang1025 \ltrch\fcs0 \b\fs24\lang2057\langfe2057\cgrid\langnp2057\langfenp2057 {_x000d__x000a_\rtlch\fcs1 \af0 \ltrch\fcs0 \cs15\b0\v\f1\fs20\cf9\insrsid6559191\charrsid9964477 &lt;DocAmend&gt;}{\rtlch\fcs1 \af0 \ltrch\fcs0 \insrsid6559191\charrsid9964477 Draft legislative resolution}{\rtlch\fcs1 \af0 \ltrch\fcs0 _x000d__x000a_\cs15\b0\v\f1\fs20\cf9\insrsid6559191\charrsid9964477 &lt;/DocAmend&gt;}{\rtlch\fcs1 \af0 \ltrch\fcs0 \insrsid6559191\charrsid9964477 _x000d__x000a_\par }\pard\plain \ltrpar\s18\ql \li0\ri0\nowidctlpar\wrapdefault\aspalpha\aspnum\faauto\adjustright\rin0\lin0\itap0\pararsid6559191 \rtlch\fcs1 \af0\afs20\alang1025 \ltrch\fcs0 \b\fs24\lang2057\langfe2057\cgrid\langnp2057\langfenp2057 {\rtlch\fcs1 \af0 _x000d__x000a_\ltrch\fcs0 \cs15\b0\v\f1\fs20\cf9\insrsid6559191\charrsid9964477 &lt;Article&gt;}{\rtlch\fcs1 \af0 \ltrch\fcs0 \cf10\insrsid6559191\charrsid603093 \u9668\'3f}{\rtlch\fcs1 \af0 \ltrch\fcs0 \insrsid6559191\charrsid9964477 #}{\rtlch\fcs1 \af0 \ltrch\fcs0 _x000d__x000a_\cs21\v\cf15\insrsid6559191\charrsid9964477 TVTRESPART@RESPART@}{\rtlch\fcs1 \af0 \ltrch\fcs0 \insrsid6559191\charrsid9964477 #}{\rtlch\fcs1 \af0 \ltrch\fcs0 \cf10\insrsid6559191\charrsid603093 \u9658\'3f}{\rtlch\fcs1 \af0 \ltrch\fcs0 _x000d__x000a_\cs15\b0\v\f1\fs20\cf9\insrsid6559191\charrsid9964477 &lt;/Article&gt;}{\rtlch\fcs1 \af0 \ltrch\fcs0 \cs19\b0\insrsid6559191\charrsid9964477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6559191\charrsid9964477 \cell }\pard \ltrpar\ql \li0\ri0\widctlpar\intbl\wrapdefault\aspalpha\aspnum\faauto\adjustright\rin0\lin0 {\rtlch\fcs1 \af0 \ltrch\fcs0 _x000d__x000a_\insrsid6559191\charrsid9964477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6559191\charrsid9964477 Draft legislative resolution\cell Amendment\cell }\pard\plain \ltrpar\ql \li0\ri0\widctlpar\intbl\wrapdefault\aspalpha\aspnum\faauto\adjustright\rin0\lin0 \rtlch\fcs1 \af0\afs20\alang1025 \ltrch\fcs0 _x000d__x000a_\fs24\lang2057\langfe2057\cgrid\langnp2057\langfenp2057 {\rtlch\fcs1 \af0 \ltrch\fcs0 \insrsid6559191\charrsid9964477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6559191\charrsid9964477 ##\cell ##}{\rtlch\fcs1 \af0\afs24 \ltrch\fcs0 \insrsid6559191\charrsid9964477 \cell }\pard\plain \ltrpar\ql \li0\ri0\widctlpar\intbl\wrapdefault\aspalpha\aspnum\faauto\adjustright\rin0\lin0 \rtlch\fcs1 _x000d__x000a_\af0\afs20\alang1025 \ltrch\fcs0 \fs24\lang2057\langfe2057\cgrid\langnp2057\langfenp2057 {\rtlch\fcs1 \af0 \ltrch\fcs0 \insrsid6559191\charrsid9964477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keepn\nowidctlpar\wrapdefault\aspalpha\aspnum\faauto\adjustright\rin0\lin0\itap0\pararsid6559191 \rtlch\fcs1 \af0\afs20\alang1025 \ltrch\fcs0 \i\fs24\lang2057\langfe2057\cgrid\langnp2057\langfenp2057 {\rtlch\fcs1 \af0 _x000d__x000a_\ltrch\fcs0 \cs15\i0\v\f1\fs20\cf9\insrsid6559191\charrsid9964477 &lt;TitreJust&gt;}{\rtlch\fcs1 \af0 \ltrch\fcs0 \insrsid6559191\charrsid9964477 Justification}{\rtlch\fcs1 \af0 \ltrch\fcs0 \cs15\i0\v\f1\fs20\cf9\insrsid6559191\charrsid9964477 &lt;/TitreJust&gt;}{_x000d__x000a_\rtlch\fcs1 \af0 \ltrch\fcs0 \insrsid6559191\charrsid9964477 _x000d__x000a_\par }\pard\plain \ltrpar\s20\ql \li0\ri0\sa240\nowidctlpar\wrapdefault\aspalpha\aspnum\faauto\adjustright\rin0\lin0\itap0\pararsid6559191 \rtlch\fcs1 \af0\afs20\alang1025 \ltrch\fcs0 \i\fs24\lang2057\langfe2057\cgrid\langnp2057\langfenp2057 {\rtlch\fcs1 \af0 _x000d__x000a_\ltrch\fcs0 \cs15\i0\v\f1\fs20\cf9\insrsid6559191\charrsid9964477 &lt;OptDelPrev&gt;}{\rtlch\fcs1 \af0 \ltrch\fcs0 \insrsid6559191\charrsid9964477 #}{\rtlch\fcs1 \af0 \ltrch\fcs0 \cs21\v\cf15\insrsid6559191\charrsid9964477 MNU[TEXTJUSTYES][TEXTJUSTNO]@CHOICE@}{_x000d__x000a_\rtlch\fcs1 \af0 \ltrch\fcs0 \insrsid6559191\charrsid9964477 #}{\rtlch\fcs1 \af0 \ltrch\fcs0 \cs15\i0\v\f1\fs20\cf9\insrsid6559191\charrsid9964477 &lt;/OptDelPrev&gt;}{\rtlch\fcs1 \af0 \ltrch\fcs0 \insrsid6559191\charrsid9964477 _x000d__x000a_\par }\pard\plain \ltrpar\ql \li0\ri0\widctlpar\wrapdefault\aspalpha\aspnum\faauto\adjustright\rin0\lin0\itap0\pararsid6559191 \rtlch\fcs1 \af0\afs20\alang1025 \ltrch\fcs0 \fs24\lang2057\langfe2057\cgrid\langnp2057\langfenp2057 {\rtlch\fcs1 \af0 \ltrch\fcs0 _x000d__x000a_\cs15\v\f1\fs20\cf9\insrsid6559191\charrsid9964477 &lt;/AmendA&gt;}{\rtlch\fcs1 \af0 \ltrch\fcs0 \insrsid655919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2_x000d__x000a_057b906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612568 HideTWBExt;}{\s16\ql \li0\ri0\sa120\nowidctlpar\wrapdefault\aspalpha\aspnum\faauto\adjustright\rin0\lin0\itap0 \rtlch\fcs1 \af0\afs20\alang1025 \ltrch\fcs0 _x000d__x000a_\fs24\lang2057\langfe2057\cgrid\langnp2057\langfenp2057 \sbasedon0 \snext16 \slink17 \spriority0 \styrsid8612568 Normal6;}{\*\cs17 \additive \fs24 \slink16 \slocked \spriority0 \styrsid8612568 Normal6 Char;}{_x000d__x000a_\s18\ql \li0\ri0\nowidctlpar\wrapdefault\aspalpha\aspnum\faauto\adjustright\rin0\lin0\itap0 \rtlch\fcs1 \af0\afs20\alang1025 \ltrch\fcs0 \b\fs24\lang2057\langfe2057\cgrid\langnp2057\langfenp2057 \sbasedon0 \snext18 \slink19 \spriority0 \styrsid8612568 _x000d__x000a_NormalBold;}{\*\cs19 \additive \b\fs24 \slink18 \slocked \spriority0 \styrsid8612568 NormalBold Char;}{\s20\ql \li0\ri0\sa240\nowidctlpar\wrapdefault\aspalpha\aspnum\faauto\adjustright\rin0\lin0\itap0 \rtlch\fcs1 \af0\afs20\alang1025 \ltrch\fcs0 _x000d__x000a_\i\fs24\lang2057\langfe2057\cgrid\langnp2057\langfenp2057 \sbasedon0 \snext20 \spriority0 \styrsid8612568 Normal12Italic;}{\s21\qc \li0\ri0\sb240\nowidctlpar\wrapdefault\aspalpha\aspnum\faauto\adjustright\rin0\lin0\itap0 \rtlch\fcs1 \af0\afs20\alang1025 _x000d__x000a_\ltrch\fcs0 \i\fs24\lang2057\langfe2057\cgrid\langnp2057\langfenp2057 \sbasedon0 \snext21 \spriority0 \styrsid8612568 CrossRef;}{\*\cs22 \additive \v\cf15 \spriority0 \styrsid8612568 HideTWBInt;}{_x000d__x000a_\s23\qc \li0\ri0\sb240\sa240\keepn\nowidctlpar\wrapdefault\aspalpha\aspnum\faauto\adjustright\rin0\lin0\itap0 \rtlch\fcs1 \af0\afs20\alang1025 \ltrch\fcs0 \i\fs24\lang2057\langfe2057\cgrid\langnp2057\langfenp2057 _x000d__x000a_\sbasedon0 \snext0 \spriority0 \styrsid8612568 JustificationTitle;}{\s24\qc \li0\ri0\sa240\nowidctlpar\wrapdefault\aspalpha\aspnum\faauto\adjustright\rin0\lin0\itap0 \rtlch\fcs1 \af0\afs20\alang1025 \ltrch\fcs0 _x000d__x000a_\i\fs24\lang2057\langfe2057\cgrid\langnp2057\langfenp2057 \sbasedon0 \snext24 \spriority0 \styrsid861256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8612568 AMNumberTabs;}{\s26\ql \li0\ri0\sb240\nowidctlpar\wrapdefault\aspalpha\aspnum\faauto\adjustright\rin0\lin0\itap0 \rtlch\fcs1 _x000d__x000a_\af0\afs20\alang1025 \ltrch\fcs0 \b\fs24\lang2057\langfe2057\cgrid\langnp2057\langfenp2057 \sbasedon0 \snext26 \spriority0 \styrsid8612568 NormalBold12b;}}{\*\rsidtbl \rsid24658\rsid735077\rsid2892074\rsid3086120\rsid4666813\rsid6641733\rsid8612568_x000d__x000a_\rsid9636012\rsid11215221\rsid12154954\rsid14424199\rsid15204470\rsid15285974\rsid15950462\rsid16324206\rsid16662270}{\mmathPr\mmathFont34\mbrkBin0\mbrkBinSub0\msmallFrac0\mdispDef1\mlMargin0\mrMargin0\mdefJc1\mwrapIndent1440\mintLim0\mnaryLim1}{\info_x000d__x000a_{\author PAWLIK Anna}{\operator PAWLIK Anna}{\creatim\yr2018\mo10\dy10\hr13\min57}{\revtim\yr2018\mo10\dy10\hr13\min57}{\version1}{\edmins0}{\nofpages1}{\nofwords54}{\nofchars596}{\*\company European Parliament}{\nofcharsws60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612568\utinl \fet0{\*\wgrffmtfilter 013f}\ilfomacatclnup0{\*\template C:\\Users\\AOWCZA~1\\AppData\\Local\\Temp\\Blank1.dot}{\*\ftnsep \ltrpar \pard\plain \ltrpar_x000d__x000a_\ql \li0\ri0\widctlpar\wrapdefault\aspalpha\aspnum\faauto\adjustright\rin0\lin0\itap0 \rtlch\fcs1 \af0\afs20\alang1025 \ltrch\fcs0 \fs24\lang2057\langfe2057\cgrid\langnp2057\langfenp2057 {\rtlch\fcs1 \af0 \ltrch\fcs0 \insrsid3086120 \chftnsep _x000d__x000a_\par }}{\*\ftnsepc \ltrpar \pard\plain \ltrpar\ql \li0\ri0\widctlpar\wrapdefault\aspalpha\aspnum\faauto\adjustright\rin0\lin0\itap0 \rtlch\fcs1 \af0\afs20\alang1025 \ltrch\fcs0 \fs24\lang2057\langfe2057\cgrid\langnp2057\langfenp2057 {\rtlch\fcs1 \af0 _x000d__x000a_\ltrch\fcs0 \insrsid3086120 \chftnsepc _x000d__x000a_\par }}{\*\aftnsep \ltrpar \pard\plain \ltrpar\ql \li0\ri0\widctlpar\wrapdefault\aspalpha\aspnum\faauto\adjustright\rin0\lin0\itap0 \rtlch\fcs1 \af0\afs20\alang1025 \ltrch\fcs0 \fs24\lang2057\langfe2057\cgrid\langnp2057\langfenp2057 {\rtlch\fcs1 \af0 _x000d__x000a_\ltrch\fcs0 \insrsid3086120 \chftnsep _x000d__x000a_\par }}{\*\aftnsepc \ltrpar \pard\plain \ltrpar\ql \li0\ri0\widctlpar\wrapdefault\aspalpha\aspnum\faauto\adjustright\rin0\lin0\itap0 \rtlch\fcs1 \af0\afs20\alang1025 \ltrch\fcs0 \fs24\lang2057\langfe2057\cgrid\langnp2057\langfenp2057 {\rtlch\fcs1 \af0 _x000d__x000a_\ltrch\fcs0 \insrsid30861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612568 \rtlch\fcs1 \af0\afs20\alang1025 \ltrch\fcs0 \b\fs24\lang2057\langfe2057\cgrid\langnp2057\langfenp2057 {\rtlch\fcs1 \af0 \ltrch\fcs0 \cs15\b0\v\f1\fs20\cf9\insrsid8612568\charrsid9964477 {\*\bkmkstart restartB}&lt;AmendB&gt;}{_x000d__x000a_\rtlch\fcs1 \af0 \ltrch\fcs0 \insrsid8612568\charrsid9964477 Amendment\tab \tab }{\rtlch\fcs1 \af0 \ltrch\fcs0 \cs15\b0\v\f1\fs20\cf9\insrsid8612568\charrsid9964477 &lt;NumAmB&gt;}{\rtlch\fcs1 \af0 \ltrch\fcs0 \insrsid8612568\charrsid9964477 #}{\rtlch\fcs1 _x000d__x000a_\af0 \ltrch\fcs0 \cs22\v\cf15\insrsid8612568\charrsid9964477 ENMIENDA@NRAM@}{\rtlch\fcs1 \af0 \ltrch\fcs0 \insrsid8612568\charrsid9964477 #}{\rtlch\fcs1 \af0 \ltrch\fcs0 \cs15\b0\v\f1\fs20\cf9\insrsid8612568\charrsid9964477 &lt;/NumAmB&gt;}{\rtlch\fcs1 \af0 _x000d__x000a_\ltrch\fcs0 \insrsid8612568\charrsid9964477 _x000d__x000a_\par }\pard\plain \ltrpar\s26\ql \li0\ri0\sb240\keepn\nowidctlpar\wrapdefault\aspalpha\aspnum\faauto\adjustright\rin0\lin0\itap0\pararsid8612568 \rtlch\fcs1 \af0\afs20\alang1025 \ltrch\fcs0 \b\fs24\lang2057\langfe2057\cgrid\langnp2057\langfenp2057 {_x000d__x000a_\rtlch\fcs1 \af0 \ltrch\fcs0 \cs15\b0\v\f1\fs20\cf9\insrsid8612568\charrsid9964477 &lt;DocAmend&gt;}{\rtlch\fcs1 \af0 \ltrch\fcs0 \insrsid8612568\charrsid9964477 #}{\rtlch\fcs1 \af0 \ltrch\fcs0 \cs22\v\cf15\insrsid8612568\charrsid9964477 _x000d__x000a_MNU[OPTPROPOSALCOD][OPTPROPOSALCNS][OPTPROPOSALNLE]@CHOICE@CODEMNU}{\rtlch\fcs1 \af0 \ltrch\fcs0 \insrsid8612568\charrsid9964477 ##}{\rtlch\fcs1 \af0 \ltrch\fcs0 \cs22\v\cf15\insrsid8612568\charrsid9964477 MNU[AMACTYES][NOTAPP]@CHOICE@AMACTMNU}{_x000d__x000a_\rtlch\fcs1 \af0 \ltrch\fcs0 \insrsid8612568\charrsid9964477 #}{\rtlch\fcs1 \af0 \ltrch\fcs0 \cs15\b0\v\f1\fs20\cf9\insrsid8612568\charrsid9964477 &lt;/DocAmend&gt;}{\rtlch\fcs1 \af0 \ltrch\fcs0 \insrsid8612568\charrsid9964477 _x000d__x000a_\par }\pard\plain \ltrpar\s18\ql \li0\ri0\keepn\nowidctlpar\wrapdefault\aspalpha\aspnum\faauto\adjustright\rin0\lin0\itap0\pararsid8612568 \rtlch\fcs1 \af0\afs20\alang1025 \ltrch\fcs0 \b\fs24\lang2057\langfe2057\cgrid\langnp2057\langfenp2057 {\rtlch\fcs1 \af0 _x000d__x000a_\ltrch\fcs0 \cs15\b0\v\f1\fs20\cf9\insrsid8612568\charrsid9964477 &lt;Article&gt;}{\rtlch\fcs1 \af0 \ltrch\fcs0 \insrsid8612568\charrsid9964477 #}{\rtlch\fcs1 \af0 \ltrch\fcs0 \cs22\v\cf15\insrsid8612568\charrsid9964477 _x000d__x000a_MNU[AMACTPARTYES][AMACTPARTNO]@CHOICE@AMACTMNU}{\rtlch\fcs1 \af0 \ltrch\fcs0 \insrsid8612568\charrsid9964477 #}{\rtlch\fcs1 \af0 \ltrch\fcs0 \cs15\b0\v\f1\fs20\cf9\insrsid8612568\charrsid9964477 &lt;/Article&gt;}{\rtlch\fcs1 \af0 \ltrch\fcs0 _x000d__x000a_\insrsid8612568\charrsid9964477 _x000d__x000a_\par }\pard\plain \ltrpar\ql \li0\ri0\keepn\widctlpar\wrapdefault\aspalpha\aspnum\faauto\adjustright\rin0\lin0\itap0\pararsid8612568 \rtlch\fcs1 \af0\afs20\alang1025 \ltrch\fcs0 \fs24\lang2057\langfe2057\cgrid\langnp2057\langfenp2057 {\rtlch\fcs1 \af0 _x000d__x000a_\ltrch\fcs0 \cs15\v\f1\fs20\cf9\insrsid8612568\charrsid9964477 &lt;DocAmend2&gt;&lt;OptDel&gt;}{\rtlch\fcs1 \af0 \ltrch\fcs0 \insrsid8612568\charrsid9964477 #}{\rtlch\fcs1 \af0 \ltrch\fcs0 \cs22\v\cf15\insrsid8612568\charrsid9964477 _x000d__x000a_MNU[OPTNRACTYES][NOTAPP]@CHOICE@AMACTMNU}{\rtlch\fcs1 \af0 \ltrch\fcs0 \insrsid8612568\charrsid9964477 #}{\rtlch\fcs1 \af0 \ltrch\fcs0 \cs15\v\f1\fs20\cf9\insrsid8612568\charrsid9964477 &lt;/OptDel&gt;&lt;/DocAmend2&gt;}{\rtlch\fcs1 \af0 \ltrch\fcs0 _x000d__x000a_\insrsid8612568\charrsid9964477 _x000d__x000a_\par }\pard \ltrpar\ql \li0\ri0\widctlpar\wrapdefault\aspalpha\aspnum\faauto\adjustright\rin0\lin0\itap0\pararsid8612568 {\rtlch\fcs1 \af0 \ltrch\fcs0 \cs15\v\f1\fs20\cf9\insrsid8612568\charrsid9964477 &lt;Article2&gt;&lt;OptDel&gt;}{\rtlch\fcs1 \af0 \ltrch\fcs0 _x000d__x000a_\insrsid8612568\charrsid9964477 #}{\rtlch\fcs1 \af0 \ltrch\fcs0 \cs22\v\cf15\insrsid8612568\charrsid9964477 MNU[OPTACTPARTYES][NOTAPP]@CHOICE@AMACTMNU}{\rtlch\fcs1 \af0 \ltrch\fcs0 \insrsid8612568\charrsid9964477 #}{\rtlch\fcs1 \af0 \ltrch\fcs0 _x000d__x000a_\cs15\v\f1\fs20\cf9\insrsid8612568\charrsid9964477 &lt;/OptDel&gt;&lt;/Article2&gt;}{\rtlch\fcs1 \af0 \ltrch\fcs0 \insrsid8612568\charrsid9964477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8612568\charrsid9964477 \cell }\pard \ltrpar\ql \li0\ri0\widctlpar\intbl\wrapdefault\aspalpha\aspnum\faauto\adjustright\rin0\lin0 {\rtlch\fcs1 \af0 \ltrch\fcs0 \insrsid8612568\charrsid9964477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8612568\charrsid9964477 #}{\rtlch\fcs1 \af0 \ltrch\fcs0 \cs22\v\cf15\insrsid8612568\charrsid9964477 MNU[OPTLEFTAMACT][LEFTPROP]@CHOICE@AMACTMNU}{\rtlch\fcs1 \af0 \ltrch\fcs0 \insrsid8612568\charrsid9964477 #\cell Amendment\cell _x000d__x000a_}\pard\plain \ltrpar\ql \li0\ri0\widctlpar\intbl\wrapdefault\aspalpha\aspnum\faauto\adjustright\rin0\lin0 \rtlch\fcs1 \af0\afs20\alang1025 \ltrch\fcs0 \fs24\lang2057\langfe2057\cgrid\langnp2057\langfenp2057 {\rtlch\fcs1 \af0 \ltrch\fcs0 _x000d__x000a_\insrsid8612568\charrsid9964477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8612568\charrsid9964477 ##\cell ##}{\rtlch\fcs1 \af0\afs24 \ltrch\fcs0 \insrsid8612568\charrsid9964477 \cell }\pard\plain \ltrpar\ql \li0\ri0\widctlpar\intbl\wrapdefault\aspalpha\aspnum\faauto\adjustright\rin0\lin0 \rtlch\fcs1 _x000d__x000a_\af0\afs20\alang1025 \ltrch\fcs0 \fs24\lang2057\langfe2057\cgrid\langnp2057\langfenp2057 {\rtlch\fcs1 \af0 \ltrch\fcs0 \insrsid8612568\charrsid9964477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8612568 \rtlch\fcs1 \af0\afs20\alang1025 \ltrch\fcs0 \i\fs24\lang2057\langfe2057\cgrid\langnp2057\langfenp2057 {\rtlch\fcs1 \af0 \ltrch\fcs0 _x000d__x000a_\cs15\i0\v\f1\fs20\cf9\insrsid8612568\charrsid9964477 &lt;OptDel&gt;}{\rtlch\fcs1 \af0 \ltrch\fcs0 \insrsid8612568\charrsid9964477 #}{\rtlch\fcs1 \af0 \ltrch\fcs0 \cs22\v\cf15\insrsid8612568\charrsid9964477 MNU[CROSSREFNO][CROSSREFYES]@CHOICE@}{\rtlch\fcs1 _x000d__x000a_\af0 \ltrch\fcs0 \insrsid8612568\charrsid9964477 #}{\rtlch\fcs1 \af0 \ltrch\fcs0 \cs15\i0\v\f1\fs20\cf9\insrsid8612568\charrsid9964477 &lt;/OptDel&gt;}{\rtlch\fcs1 \af0 \ltrch\fcs0 \insrsid8612568\charrsid9964477 _x000d__x000a_\par }\pard\plain \ltrpar\s23\qc \li0\ri0\sb240\sa240\keepn\nowidctlpar\wrapdefault\aspalpha\aspnum\faauto\adjustright\rin0\lin0\itap0\pararsid8612568 \rtlch\fcs1 \af0\afs20\alang1025 \ltrch\fcs0 \i\fs24\lang2057\langfe2057\cgrid\langnp2057\langfenp2057 {_x000d__x000a_\rtlch\fcs1 \af0 \ltrch\fcs0 \cs15\i0\v\f1\fs20\cf9\insrsid8612568\charrsid9964477 &lt;TitreJust&gt;}{\rtlch\fcs1 \af0 \ltrch\fcs0 \insrsid8612568\charrsid9964477 Justification}{\rtlch\fcs1 \af0 \ltrch\fcs0 \cs15\i0\v\f1\fs20\cf9\insrsid8612568\charrsid9964477 _x000d__x000a_&lt;/TitreJust&gt;}{\rtlch\fcs1 \af0 \ltrch\fcs0 \insrsid8612568\charrsid9964477 _x000d__x000a_\par }\pard\plain \ltrpar\s20\ql \li0\ri0\sa240\nowidctlpar\wrapdefault\aspalpha\aspnum\faauto\adjustright\rin0\lin0\itap0\pararsid8612568 \rtlch\fcs1 \af0\afs20\alang1025 \ltrch\fcs0 \i\fs24\lang2057\langfe2057\cgrid\langnp2057\langfenp2057 {\rtlch\fcs1 \af0 _x000d__x000a_\ltrch\fcs0 \cs15\i0\v\f1\fs20\cf9\insrsid8612568\charrsid9964477 &lt;OptDelPrev&gt;}{\rtlch\fcs1 \af0 \ltrch\fcs0 \insrsid8612568\charrsid9964477 #}{\rtlch\fcs1 \af0 \ltrch\fcs0 \cs22\v\cf15\insrsid8612568\charrsid9964477 MNU[TEXTJUSTYES][TEXTJUSTNO]@CHOICE@}{_x000d__x000a_\rtlch\fcs1 \af0 \ltrch\fcs0 \insrsid8612568\charrsid9964477 #}{\rtlch\fcs1 \af0 \ltrch\fcs0 \cs15\i0\v\f1\fs20\cf9\insrsid8612568\charrsid9964477 &lt;/OptDelPrev&gt;}{\rtlch\fcs1 \af0 \ltrch\fcs0 \insrsid8612568\charrsid9964477 _x000d__x000a_\par }\pard\plain \ltrpar\ql \li0\ri0\widctlpar\wrapdefault\aspalpha\aspnum\faauto\adjustright\rin0\lin0\itap0\pararsid8612568 \rtlch\fcs1 \af0\afs20\alang1025 \ltrch\fcs0 \fs24\lang2057\langfe2057\cgrid\langnp2057\langfenp2057 {\rtlch\fcs1 \af0 \ltrch\fcs0 _x000d__x000a_\cs15\v\f1\fs20\cf9\insrsid8612568\charrsid9964477 &lt;/AmendB&gt;}{\rtlch\fcs1 \af0 \ltrch\fcs0 \insrsid861256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48_x000d__x000a_9a7c906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94822 HideTWBExt;}{\s16\ql \li0\ri0\sa120\nowidctlpar\wrapdefault\aspalpha\aspnum\faauto\adjustright\rin0\lin0\itap0 \rtlch\fcs1 \af0\afs20\alang1025 \ltrch\fcs0 _x000d__x000a_\fs24\lang2057\langfe2057\cgrid\langnp2057\langfenp2057 \sbasedon0 \snext16 \slink17 \spriority0 \styrsid11494822 Normal6;}{\*\cs17 \additive \fs24 \slink16 \slocked \spriority0 \styrsid11494822 Normal6 Char;}{_x000d__x000a_\s18\ql \li0\ri0\nowidctlpar\wrapdefault\aspalpha\aspnum\faauto\adjustright\rin0\lin0\itap0 \rtlch\fcs1 \af0\afs20\alang1025 \ltrch\fcs0 \b\fs24\lang2057\langfe2057\cgrid\langnp2057\langfenp2057 \sbasedon0 \snext18 \slink19 \spriority0 \styrsid11494822 _x000d__x000a_NormalBold;}{\*\cs19 \additive \b\fs24 \slink18 \slocked \spriority0 \styrsid11494822 NormalBold Char;}{\s20\ql \li0\ri0\sa240\nowidctlpar\wrapdefault\aspalpha\aspnum\faauto\adjustright\rin0\lin0\itap0 \rtlch\fcs1 \af0\afs20\alang1025 \ltrch\fcs0 _x000d__x000a_\i\fs24\lang2057\langfe2057\cgrid\langnp2057\langfenp2057 \sbasedon0 \snext20 \spriority0 \styrsid11494822 Normal12Italic;}{\s21\qc \li0\ri0\sb240\nowidctlpar\wrapdefault\aspalpha\aspnum\faauto\adjustright\rin0\lin0\itap0 \rtlch\fcs1 \af0\afs20\alang1025 _x000d__x000a_\ltrch\fcs0 \i\fs24\lang2057\langfe2057\cgrid\langnp2057\langfenp2057 \sbasedon0 \snext21 \spriority0 \styrsid11494822 CrossRef;}{\*\cs22 \additive \v\cf15 \spriority0 \styrsid11494822 HideTWBInt;}{_x000d__x000a_\s23\qc \li0\ri0\sb240\sa240\keepn\nowidctlpar\wrapdefault\aspalpha\aspnum\faauto\adjustright\rin0\lin0\itap0 \rtlch\fcs1 \af0\afs20\alang1025 \ltrch\fcs0 \i\fs24\lang2057\langfe2057\cgrid\langnp2057\langfenp2057 _x000d__x000a_\sbasedon0 \snext0 \spriority0 \styrsid11494822 JustificationTitle;}{\s24\qr \li0\ri0\sb240\sa240\nowidctlpar\wrapdefault\aspalpha\aspnum\faauto\adjustright\rin0\lin0\itap0 \rtlch\fcs1 \af0\afs20\alang1025 \ltrch\fcs0 _x000d__x000a_\fs24\lang1024\langfe1024\cgrid\noproof\langnp2057\langfenp2057 \sbasedon0 \snext24 \spriority0 \styrsid11494822 Olang;}{\s25\qc \li0\ri0\sa240\nowidctlpar\wrapdefault\aspalpha\aspnum\faauto\adjustright\rin0\lin0\itap0 \rtlch\fcs1 \af0\afs20\alang1025 _x000d__x000a_\ltrch\fcs0 \i\fs24\lang2057\langfe2057\cgrid\langnp2057\langfenp2057 \sbasedon0 \snext25 \spriority0 \styrsid11494822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494822 AMNumberTabs;}{\s27\ql \li0\ri0\sb240\nowidctlpar\wrapdefault\aspalpha\aspnum\faauto\adjustright\rin0\lin0\itap0 \rtlch\fcs1 _x000d__x000a_\af0\afs20\alang1025 \ltrch\fcs0 \b\fs24\lang2057\langfe2057\cgrid\langnp2057\langfenp2057 \sbasedon0 \snext27 \spriority0 \styrsid11494822 NormalBold12b;}}{\*\rsidtbl \rsid24658\rsid136358\rsid735077\rsid2892074\rsid4666813\rsid6641733\rsid9636012_x000d__x000a_\rsid11215221\rsid11494822\rsid12154954\rsid14424199\rsid15204470\rsid15285974\rsid15950462\rsid16324206\rsid16662270}{\mmathPr\mmathFont34\mbrkBin0\mbrkBinSub0\msmallFrac0\mdispDef1\mlMargin0\mrMargin0\mdefJc1\mwrapIndent1440\mintLim0\mnaryLim1}{\info_x000d__x000a_{\author PAWLIK Anna}{\operator PAWLIK Anna}{\creatim\yr2018\mo9\dy14\hr12\min55}{\revtim\yr2018\mo9\dy14\hr12\min55}{\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94822\utinl \fet0{\*\wgrffmtfilter 013f}\ilfomacatclnup0{\*\template C:\\Users\\AOWCZA~1\\AppData\\Local\\Temp\\Blank1.dot}{\*\ftnsep \ltrpar \pard\plain \ltrpar_x000d__x000a_\ql \li0\ri0\widctlpar\wrapdefault\aspalpha\aspnum\faauto\adjustright\rin0\lin0\itap0 \rtlch\fcs1 \af0\afs20\alang1025 \ltrch\fcs0 \fs24\lang2057\langfe2057\cgrid\langnp2057\langfenp2057 {\rtlch\fcs1 \af0 \ltrch\fcs0 \insrsid136358 \chftnsep _x000d__x000a_\par }}{\*\ftnsepc \ltrpar \pard\plain \ltrpar\ql \li0\ri0\widctlpar\wrapdefault\aspalpha\aspnum\faauto\adjustright\rin0\lin0\itap0 \rtlch\fcs1 \af0\afs20\alang1025 \ltrch\fcs0 \fs24\lang2057\langfe2057\cgrid\langnp2057\langfenp2057 {\rtlch\fcs1 \af0 _x000d__x000a_\ltrch\fcs0 \insrsid136358 \chftnsepc _x000d__x000a_\par }}{\*\aftnsep \ltrpar \pard\plain \ltrpar\ql \li0\ri0\widctlpar\wrapdefault\aspalpha\aspnum\faauto\adjustright\rin0\lin0\itap0 \rtlch\fcs1 \af0\afs20\alang1025 \ltrch\fcs0 \fs24\lang2057\langfe2057\cgrid\langnp2057\langfenp2057 {\rtlch\fcs1 \af0 _x000d__x000a_\ltrch\fcs0 \insrsid136358 \chftnsep _x000d__x000a_\par }}{\*\aftnsepc \ltrpar \pard\plain \ltrpar\ql \li0\ri0\widctlpar\wrapdefault\aspalpha\aspnum\faauto\adjustright\rin0\lin0\itap0 \rtlch\fcs1 \af0\afs20\alang1025 \ltrch\fcs0 \fs24\lang2057\langfe2057\cgrid\langnp2057\langfenp2057 {\rtlch\fcs1 \af0 _x000d__x000a_\ltrch\fcs0 \insrsid13635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1494822 \rtlch\fcs1 \af0\afs20\alang1025 \ltrch\fcs0 \b\fs24\lang2057\langfe2057\cgrid\langnp2057\langfenp2057 {\rtlch\fcs1 \af0 \ltrch\fcs0 \cs15\b0\v\f1\fs20\cf9\insrsid11494822\charrsid9964477 {\*\bkmkstart restart}&lt;}{\rtlch\fcs1 _x000d__x000a_\af0 \ltrch\fcs0 \cs15\b0\v\f1\fs20\cf9\insrsid11494822 Amend}{\rtlch\fcs1 \af0 \ltrch\fcs0 \cs15\b0\v\f1\fs20\cf9\insrsid11494822\charrsid9964477 &gt;}{\rtlch\fcs1 \af0 \ltrch\fcs0 \insrsid11494822\charrsid9964477 Amendment\tab \tab }{\rtlch\fcs1 \af0 _x000d__x000a_\ltrch\fcs0 \cs15\b0\v\f1\fs20\cf9\insrsid11494822\charrsid9964477 &lt;}{\rtlch\fcs1 \af0 \ltrch\fcs0 \cs15\b0\v\f1\fs20\cf9\insrsid11494822 NumAm&gt;}{\rtlch\fcs1 \af0 \ltrch\fcs0 \insrsid11494822\charrsid9964477 #}{\rtlch\fcs1 \af0 \ltrch\fcs0 _x000d__x000a_\cs22\v\cf15\insrsid11494822\charrsid9964477 ENMIENDA@NRAM@}{\rtlch\fcs1 \af0 \ltrch\fcs0 \insrsid11494822\charrsid9964477 #}{\rtlch\fcs1 \af0 \ltrch\fcs0 \cs15\b0\v\f1\fs20\cf9\insrsid11494822\charrsid9964477 &lt;/}{\rtlch\fcs1 \af0 \ltrch\fcs0 _x000d__x000a_\cs15\b0\v\f1\fs20\cf9\insrsid11494822 NumAm&gt;}{\rtlch\fcs1 \af0 \ltrch\fcs0 \insrsid11494822\charrsid9964477 _x000d__x000a_\par }\pard\plain \ltrpar\s27\ql \li0\ri0\sb240\keepn\nowidctlpar\wrapdefault\aspalpha\aspnum\faauto\adjustright\rin0\lin0\itap0\pararsid11494822 \rtlch\fcs1 \af0\afs20\alang1025 \ltrch\fcs0 \b\fs24\lang2057\langfe2057\cgrid\langnp2057\langfenp2057 {_x000d__x000a_\rtlch\fcs1 \af0 \ltrch\fcs0 \cs15\b0\v\f1\fs20\cf9\insrsid11494822\charrsid9964477 &lt;DocAmend&gt;}{\rtlch\fcs1 \af0 \ltrch\fcs0 \insrsid11494822\charrsid9964477 #}{\rtlch\fcs1 \af0 \ltrch\fcs0 \cs22\v\cf15\insrsid11494822\charrsid9964477 _x000d__x000a_MNU[OPTPROPOSALCOD][OPTPROPOSALCNS][OPTPROPOSALNLE]@CHOICE@CODEMNU}{\rtlch\fcs1 \af0 \ltrch\fcs0 \insrsid11494822\charrsid9964477 ##}{\rtlch\fcs1 \af0 \ltrch\fcs0 \cs22\v\cf15\insrsid11494822\charrsid9964477 MNU[AMACTYES][NOTAPP]@CHOICE@AMACTMNU}{_x000d__x000a_\rtlch\fcs1 \af0 \ltrch\fcs0 \insrsid11494822\charrsid9964477 #}{\rtlch\fcs1 \af0 \ltrch\fcs0 \cs15\b0\v\f1\fs20\cf9\insrsid11494822\charrsid9964477 &lt;/DocAmend&gt;}{\rtlch\fcs1 \af0 \ltrch\fcs0 \insrsid11494822\charrsid9964477 _x000d__x000a_\par }\pard\plain \ltrpar\s18\ql \li0\ri0\keepn\nowidctlpar\wrapdefault\aspalpha\aspnum\faauto\adjustright\rin0\lin0\itap0\pararsid11494822 \rtlch\fcs1 \af0\afs20\alang1025 \ltrch\fcs0 \b\fs24\lang2057\langfe2057\cgrid\langnp2057\langfenp2057 {\rtlch\fcs1 _x000d__x000a_\af0 \ltrch\fcs0 \cs15\b0\v\f1\fs20\cf9\insrsid11494822\charrsid9964477 &lt;Article&gt;}{\rtlch\fcs1 \af0 \ltrch\fcs0 \insrsid11494822\charrsid9964477 #}{\rtlch\fcs1 \af0 \ltrch\fcs0 \cs22\v\cf15\insrsid11494822\charrsid9964477 MNU[AMACTPARTYES][AMAC_x000d__x000a_TPARTNO]@CHOICE@AMACTMNU}{\rtlch\fcs1 \af0 \ltrch\fcs0 \insrsid11494822\charrsid9964477 #}{\rtlch\fcs1 \af0 \ltrch\fcs0 \cs15\b0\v\f1\fs20\cf9\insrsid11494822\charrsid9964477 &lt;/Article&gt;}{\rtlch\fcs1 \af0 \ltrch\fcs0 \insrsid11494822\charrsid9964477 _x000d__x000a__x000d__x000a_\par }\pard\plain \ltrpar\ql \li0\ri0\keepn\widctlpar\wrapdefault\aspalpha\aspnum\faauto\adjustright\rin0\lin0\itap0\pararsid11494822 \rtlch\fcs1 \af0\afs20\alang1025 \ltrch\fcs0 \fs24\lang2057\langfe2057\cgrid\langnp2057\langfenp2057 {\rtlch\fcs1 \af0 _x000d__x000a_\ltrch\fcs0 \cs15\v\f1\fs20\cf9\insrsid11494822\charrsid9964477 &lt;DocAmend2&gt;&lt;OptDel&gt;}{\rtlch\fcs1 \af0 \ltrch\fcs0 \insrsid11494822\charrsid9964477 #}{\rtlch\fcs1 \af0 \ltrch\fcs0 \cs22\v\cf15\insrsid11494822\charrsid9964477 _x000d__x000a_MNU[OPTNRACTYES][NOTAPP]@CHOICE@AMACTMNU}{\rtlch\fcs1 \af0 \ltrch\fcs0 \insrsid11494822\charrsid9964477 #}{\rtlch\fcs1 \af0 \ltrch\fcs0 \cs15\v\f1\fs20\cf9\insrsid11494822\charrsid9964477 &lt;/OptDel&gt;&lt;/DocAmend2&gt;}{\rtlch\fcs1 \af0 \ltrch\fcs0 _x000d__x000a_\insrsid11494822\charrsid9964477 _x000d__x000a_\par }\pard \ltrpar\ql \li0\ri0\widctlpar\wrapdefault\aspalpha\aspnum\faauto\adjustright\rin0\lin0\itap0\pararsid11494822 {\rtlch\fcs1 \af0 \ltrch\fcs0 \cs15\v\f1\fs20\cf9\insrsid11494822\charrsid9964477 &lt;Article2&gt;&lt;OptDel&gt;}{\rtlch\fcs1 \af0 \ltrch\fcs0 _x000d__x000a_\insrsid11494822\charrsid9964477 #}{\rtlch\fcs1 \af0 \ltrch\fcs0 \cs22\v\cf15\insrsid11494822\charrsid9964477 MNU[OPTACTPARTYES][NOTAPP]@CHOICE@AMACTMNU}{\rtlch\fcs1 \af0 \ltrch\fcs0 \insrsid11494822\charrsid9964477 #}{\rtlch\fcs1 \af0 \ltrch\fcs0 _x000d__x000a_\cs15\v\f1\fs20\cf9\insrsid11494822\charrsid9964477 &lt;/OptDel&gt;&lt;/Article2&gt;}{\rtlch\fcs1 \af0 \ltrch\fcs0 \insrsid11494822\charrsid9964477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494822\charrsid9964477 \cell }\pard \ltrpar\ql \li0\ri0\widctlpar\intbl\wrapdefault\aspalpha\aspnum\faauto\adjustright\rin0\lin0 {\rtlch\fcs1 \af0 \ltrch\fcs0 \insrsid11494822\charrsid9964477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1494822\charrsid9964477 #}{\rtlch\fcs1 \af0 \ltrch\fcs0 \cs22\v\cf15\insrsid11494822\charrsid9964477 MNU[OPTLEFTAMACT][LEFTPROP]@CHOICE@AMACTMNU}{\rtlch\fcs1 \af0 \ltrch\fcs0 \insrsid11494822\charrsid9964477 #\cell Amendment\cell _x000d__x000a_}\pard\plain \ltrpar\ql \li0\ri0\widctlpar\intbl\wrapdefault\aspalpha\aspnum\faauto\adjustright\rin0\lin0 \rtlch\fcs1 \af0\afs20\alang1025 \ltrch\fcs0 \fs24\lang2057\langfe2057\cgrid\langnp2057\langfenp2057 {\rtlch\fcs1 \af0 \ltrch\fcs0 _x000d__x000a_\insrsid11494822\charrsid9964477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1494822\charrsid9964477 ##\cell ##}{\rtlch\fcs1 \af0\afs24 \ltrch\fcs0 \insrsid11494822\charrsid9964477 \cell }\pard\plain \ltrpar\ql \li0\ri0\widctlpar\intbl\wrapdefault\aspalpha\aspnum\faauto\adjustright\rin0\lin0 \rtlch\fcs1 _x000d__x000a_\af0\afs20\alang1025 \ltrch\fcs0 \fs24\lang2057\langfe2057\cgrid\langnp2057\langfenp2057 {\rtlch\fcs1 \af0 \ltrch\fcs0 \insrsid11494822\charrsid9964477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1494822 \rtlch\fcs1 \af0\afs20\alang1025 \ltrch\fcs0 \fs24\lang1024\langfe1024\cgrid\noproof\langnp2057\langfenp2057 {\rtlch\fcs1 \af0 _x000d__x000a_\ltrch\fcs0 \noproof0\insrsid11494822\charrsid9964477 Or. }{\rtlch\fcs1 \af0 \ltrch\fcs0 \cs15\v\f1\fs20\cf9\noproof0\insrsid11494822\charrsid9964477 &lt;Original&gt;}{\rtlch\fcs1 \af0 \ltrch\fcs0 \noproof0\insrsid11494822\charrsid9964477 #}{\rtlch\fcs1 \af0 _x000d__x000a_\ltrch\fcs0 \cs22\v\cf15\noproof0\insrsid11494822\charrsid9964477 MNU[ORLANGONE][ORLANGMORE]@CHOICE@ORLANGMNU}{\rtlch\fcs1 \af0 \ltrch\fcs0 \noproof0\insrsid11494822\charrsid9964477 #}{\rtlch\fcs1 \af0 \ltrch\fcs0 _x000d__x000a_\cs15\v\f1\fs20\cf9\noproof0\insrsid11494822\charrsid9964477 &lt;/Original&gt;}{\rtlch\fcs1 \af0 \ltrch\fcs0 \noproof0\insrsid11494822\charrsid9964477 _x000d__x000a_\par }\pard\plain \ltrpar\s21\qc \li0\ri0\sb240\nowidctlpar\wrapdefault\aspalpha\aspnum\faauto\adjustright\rin0\lin0\itap0\pararsid11494822 \rtlch\fcs1 \af0\afs20\alang1025 \ltrch\fcs0 \i\fs24\lang2057\langfe2057\cgrid\langnp2057\langfenp2057 {\rtlch\fcs1 _x000d__x000a_\af0 \ltrch\fcs0 \cs15\i0\v\f1\fs20\cf9\insrsid11494822\charrsid9964477 &lt;OptDel&gt;}{\rtlch\fcs1 \af0 \ltrch\fcs0 \insrsid11494822\charrsid9964477 #}{\rtlch\fcs1 \af0 \ltrch\fcs0 \cs22\v\cf15\insrsid11494822\charrsid9964477 _x000d__x000a_MNU[CROSSREFNO][CROSSREFYES]@CHOICE@}{\rtlch\fcs1 \af0 \ltrch\fcs0 \insrsid11494822\charrsid9964477 #}{\rtlch\fcs1 \af0 \ltrch\fcs0 \cs15\i0\v\f1\fs20\cf9\insrsid11494822\charrsid9964477 &lt;/OptDel&gt;}{\rtlch\fcs1 \af0 \ltrch\fcs0 _x000d__x000a_\insrsid11494822\charrsid9964477 _x000d__x000a_\par }\pard\plain \ltrpar\s23\qc \li0\ri0\sb240\sa240\keepn\nowidctlpar\wrapdefault\aspalpha\aspnum\faauto\adjustright\rin0\lin0\itap0\pararsid11494822 \rtlch\fcs1 \af0\afs20\alang1025 \ltrch\fcs0 \i\fs24\lang2057\langfe2057\cgrid\langnp2057\langfenp2057 {_x000d__x000a_\rtlch\fcs1 \af0 \ltrch\fcs0 \cs15\i0\v\f1\fs20\cf9\insrsid11494822\charrsid9964477 &lt;TitreJust&gt;}{\rtlch\fcs1 \af0 \ltrch\fcs0 \insrsid11494822\charrsid9964477 Justification}{\rtlch\fcs1 \af0 \ltrch\fcs0 _x000d__x000a_\cs15\i0\v\f1\fs20\cf9\insrsid11494822\charrsid9964477 &lt;/TitreJust&gt;}{\rtlch\fcs1 \af0 \ltrch\fcs0 \insrsid11494822\charrsid9964477 _x000d__x000a_\par }\pard\plain \ltrpar\s20\ql \li0\ri0\sa240\nowidctlpar\wrapdefault\aspalpha\aspnum\faauto\adjustright\rin0\lin0\itap0\pararsid11494822 \rtlch\fcs1 \af0\afs20\alang1025 \ltrch\fcs0 \i\fs24\lang2057\langfe2057\cgrid\langnp2057\langfenp2057 {\rtlch\fcs1 _x000d__x000a_\af0 \ltrch\fcs0 \cs15\i0\v\f1\fs20\cf9\insrsid11494822\charrsid9964477 &lt;OptDelPrev&gt;}{\rtlch\fcs1 \af0 \ltrch\fcs0 \insrsid11494822\charrsid9964477 #}{\rtlch\fcs1 \af0 \ltrch\fcs0 \cs22\v\cf15\insrsid11494822\charrsid9964477 _x000d__x000a_MNU[TEXTJUSTYES][TEXTJUSTNO]@CHOICE@}{\rtlch\fcs1 \af0 \ltrch\fcs0 \insrsid11494822\charrsid9964477 #}{\rtlch\fcs1 \af0 \ltrch\fcs0 \cs15\i0\v\f1\fs20\cf9\insrsid11494822\charrsid9964477 &lt;/OptDelPrev&gt;}{\rtlch\fcs1 \af0 \ltrch\fcs0 _x000d__x000a_\insrsid11494822\charrsid9964477 _x000d__x000a_\par }\pard\plain \ltrpar\ql \li0\ri0\widctlpar\wrapdefault\aspalpha\aspnum\faauto\adjustright\rin0\lin0\itap0\pararsid11494822 \rtlch\fcs1 \af0\afs20\alang1025 \ltrch\fcs0 \fs24\lang2057\langfe2057\cgrid\langnp2057\langfenp2057 {\rtlch\fcs1 \af0 \ltrch\fcs0 _x000d__x000a_\cs15\v\f1\fs20\cf9\insrsid11494822\charrsid9964477 &lt;/}{\rtlch\fcs1 \af0 \ltrch\fcs0 \cs15\v\f1\fs20\cf9\insrsid11494822 Amend}{\rtlch\fcs1 \af0 \ltrch\fcs0 \cs15\v\f1\fs20\cf9\insrsid11494822\charrsid9964477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1_x000d__x000a_4e6d194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56522 HideTWBExt;}{\s16\ql \li0\ri0\sa120\nowidctlpar\wrapdefault\aspalpha\aspnum\faauto\adjustright\rin0\lin0\itap0 \rtlch\fcs1 \af0\afs20\alang1025 \ltrch\fcs0 _x000d__x000a_\fs24\lang2057\langfe2057\cgrid\langnp2057\langfenp2057 \sbasedon0 \snext16 \slink17 \spriority0 \styrsid2256522 Normal6;}{\*\cs17 \additive \fs24 \slink16 \slocked \spriority0 \styrsid2256522 Normal6 Char;}{_x000d__x000a_\s18\ql \li0\ri0\nowidctlpar\wrapdefault\aspalpha\aspnum\faauto\adjustright\rin0\lin0\itap0 \rtlch\fcs1 \af0\afs20\alang1025 \ltrch\fcs0 \b\fs24\lang2057\langfe2057\cgrid\langnp2057\langfenp2057 \sbasedon0 \snext18 \slink19 \spriority0 \styrsid2256522 _x000d__x000a_NormalBold;}{\*\cs19 \additive \b\fs24 \slink18 \slocked \spriority0 \styrsid2256522 NormalBold Char;}{\s20\ql \li0\ri0\sa240\nowidctlpar\wrapdefault\aspalpha\aspnum\faauto\adjustright\rin0\lin0\itap0 \rtlch\fcs1 \af0\afs20\alang1025 \ltrch\fcs0 _x000d__x000a_\i\fs24\lang2057\langfe2057\cgrid\langnp2057\langfenp2057 \sbasedon0 \snext20 \spriority0 \styrsid2256522 Normal12Italic;}{\s21\qc \li0\ri0\sb240\sa240\keepn\nowidctlpar\wrapdefault\aspalpha\aspnum\faauto\adjustright\rin0\lin0\itap0 \rtlch\fcs1 _x000d__x000a_\af0\afs20\alang1025 \ltrch\fcs0 \i\fs24\lang2057\langfe2057\cgrid\langnp2057\langfenp2057 \sbasedon0 \snext0 \spriority0 \styrsid2256522 JustificationTitle;}{_x000d__x000a_\s22\qc \li0\ri0\sa240\nowidctlpar\wrapdefault\aspalpha\aspnum\faauto\adjustright\rin0\lin0\itap0 \rtlch\fcs1 \af0\afs20\alang1025 \ltrch\fcs0 \i\fs24\lang2057\langfe2057\cgrid\langnp2057\langfenp2057 \sbasedon0 \snext22 \spriority0 \styrsid2256522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2256522 AMNumberTabs;}{_x000d__x000a_\s24\ql \li0\ri0\sb240\nowidctlpar\wrapdefault\aspalpha\aspnum\faauto\adjustright\rin0\lin0\itap0 \rtlch\fcs1 \af0\afs20\alang1025 \ltrch\fcs0 \b\fs24\lang2057\langfe2057\cgrid\langnp2057\langfenp2057 \sbasedon0 \snext24 \spriority0 \styrsid2256522 _x000d__x000a_NormalBold12b;}}{\*\rsidtbl \rsid24658\rsid735077\rsid2256522\rsid2575251\rsid2892074\rsid4666813\rsid6641733\rsid9636012\rsid11215221\rsid12154954\rsid14424199\rsid15204470\rsid15285974\rsid15950462\rsid16324206\rsid16662270}{\mmathPr\mmathFont34_x000d__x000a_\mbrkBin0\mbrkBinSub0\msmallFrac0\mdispDef1\mlMargin0\mrMargin0\mdefJc1\mwrapIndent1440\mintLim0\mnaryLim1}{\info{\author PAWLIK Anna}{\operator PAWLIK Anna}{\creatim\yr2018\mo10\dy10\hr13\min58}{\revtim\yr2018\mo10\dy10\hr13\min58}{\version1}{\edmins0}_x000d__x000a_{\nofpages1}{\nofwords20}{\nofchars220}{\*\company European Parliament}{\nofcharsws222}{\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56522\utinl \fet0{\*\wgrffmtfilter 013f}\ilfomacatclnup0{\*\template C:\\Users\\AOWCZA~1\\AppData\\Local\\Temp\\Blank1.dot}{\*\ftnsep \ltrpar \pard\plain \ltrpar_x000d__x000a_\ql \li0\ri0\widctlpar\wrapdefault\aspalpha\aspnum\faauto\adjustright\rin0\lin0\itap0 \rtlch\fcs1 \af0\afs20\alang1025 \ltrch\fcs0 \fs24\lang2057\langfe2057\cgrid\langnp2057\langfenp2057 {\rtlch\fcs1 \af0 \ltrch\fcs0 \insrsid2575251 \chftnsep _x000d__x000a_\par }}{\*\ftnsepc \ltrpar \pard\plain \ltrpar\ql \li0\ri0\widctlpar\wrapdefault\aspalpha\aspnum\faauto\adjustright\rin0\lin0\itap0 \rtlch\fcs1 \af0\afs20\alang1025 \ltrch\fcs0 \fs24\lang2057\langfe2057\cgrid\langnp2057\langfenp2057 {\rtlch\fcs1 \af0 _x000d__x000a_\ltrch\fcs0 \insrsid2575251 \chftnsepc _x000d__x000a_\par }}{\*\aftnsep \ltrpar \pard\plain \ltrpar\ql \li0\ri0\widctlpar\wrapdefault\aspalpha\aspnum\faauto\adjustright\rin0\lin0\itap0 \rtlch\fcs1 \af0\afs20\alang1025 \ltrch\fcs0 \fs24\lang2057\langfe2057\cgrid\langnp2057\langfenp2057 {\rtlch\fcs1 \af0 _x000d__x000a_\ltrch\fcs0 \insrsid2575251 \chftnsep _x000d__x000a_\par }}{\*\aftnsepc \ltrpar \pard\plain \ltrpar\ql \li0\ri0\widctlpar\wrapdefault\aspalpha\aspnum\faauto\adjustright\rin0\lin0\itap0 \rtlch\fcs1 \af0\afs20\alang1025 \ltrch\fcs0 \fs24\lang2057\langfe2057\cgrid\langnp2057\langfenp2057 {\rtlch\fcs1 \af0 _x000d__x000a_\ltrch\fcs0 \insrsid25752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2256522 \rtlch\fcs1 \af0\afs20\alang1025 \ltrch\fcs0 \b\fs24\lang2057\langfe2057\cgrid\langnp2057\langfenp2057 {\rtlch\fcs1 \af0 \ltrch\fcs0 \cs15\b0\v\f1\fs20\cf9\insrsid2256522\charrsid15879488 {\*\bkmkstart restartA}&lt;AmendA&gt;}{_x000d__x000a_\rtlch\fcs1 \af0 \ltrch\fcs0 \insrsid2256522\charrsid15879488 [ZAMENDMENT]\tab \tab }{\rtlch\fcs1 \af0 \ltrch\fcs0 \cs15\b0\v\f1\fs20\cf9\insrsid2256522\charrsid15879488 &lt;NumAmA&gt;}{\rtlch\fcs1 \af0 \ltrch\fcs0 \insrsid2256522\charrsid15879488 [ZNRAM]}{_x000d__x000a_\rtlch\fcs1 \af0 \ltrch\fcs0 \cs15\b0\v\f1\fs20\cf9\insrsid2256522\charrsid15879488 &lt;/NumAmA&gt;}{\rtlch\fcs1 \af0 \ltrch\fcs0 \insrsid2256522\charrsid15879488 _x000d__x000a_\par }\pard\plain \ltrpar\s24\ql \li0\ri0\sb240\keepn\nowidctlpar\wrapdefault\aspalpha\aspnum\faauto\adjustright\rin0\lin0\itap0\pararsid2256522 \rtlch\fcs1 \af0\afs20\alang1025 \ltrch\fcs0 \b\fs24\lang2057\langfe2057\cgrid\langnp2057\langfenp2057 {_x000d__x000a_\rtlch\fcs1 \af0 \ltrch\fcs0 \cs15\b0\v\f1\fs20\cf9\insrsid2256522\charrsid15879488 &lt;DocAmend&gt;}{\rtlch\fcs1 \af0 \ltrch\fcs0 \insrsid2256522\charrsid15879488 [ZRESOLUTION]}{\rtlch\fcs1 \af0 \ltrch\fcs0 _x000d__x000a_\cs15\b0\v\f1\fs20\cf9\insrsid2256522\charrsid15879488 &lt;/DocAmend&gt;}{\rtlch\fcs1 \af0 \ltrch\fcs0 \insrsid2256522\charrsid15879488 _x000d__x000a_\par }\pard\plain \ltrpar\s18\ql \li0\ri0\nowidctlpar\wrapdefault\aspalpha\aspnum\faauto\adjustright\rin0\lin0\itap0\pararsid2256522 \rtlch\fcs1 \af0\afs20\alang1025 \ltrch\fcs0 \b\fs24\lang2057\langfe2057\cgrid\langnp2057\langfenp2057 {\rtlch\fcs1 \af0 _x000d__x000a_\ltrch\fcs0 \cs15\b0\v\f1\fs20\cf9\insrsid2256522\charrsid15879488 &lt;Article&gt;}{\rtlch\fcs1 \af0 \ltrch\fcs0 \insrsid2256522\charrsid15879488 [ZRESPART]}{\rtlch\fcs1 \af0 \ltrch\fcs0 \cs15\b0\v\f1\fs20\cf9\insrsid2256522\charrsid15879488 &lt;/Article&gt;}{_x000d__x000a_\rtlch\fcs1 \af0 \ltrch\fcs0 \cs19\b0\insrsid225652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2256522\charrsid15879488 \cell }\pard \ltrpar\ql \li0\ri0\widctlpar\intbl\wrapdefault\aspalpha\aspnum\faauto\adjustright\rin0\lin0 {\rtlch\fcs1 \af0 \ltrch\fcs0 _x000d__x000a_\insrsid2256522\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2256522\charrsid15879488 [ZLEFTA]\cell [ZRIGHT]\cell }\pard\plain \ltrpar\ql \li0\ri0\widctlpar\intbl\wrapdefault\aspalpha\aspnum\faauto\adjustright\rin0\lin0 \rtlch\fcs1 \af0\afs20\alang1025 \ltrch\fcs0 _x000d__x000a_\fs24\lang2057\langfe2057\cgrid\langnp2057\langfenp2057 {\rtlch\fcs1 \af0 \ltrch\fcs0 \insrsid225652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256522\charrsid15879488 [ZTEXTL]\cell [ZTEXTR]}{\rtlch\fcs1 \af0\afs24 \ltrch\fcs0 \insrsid2256522\charrsid15879488 \cell }\pard\plain \ltrpar\ql \li0\ri0\widctlpar\intbl\wrapdefault\aspalpha\aspnum\faauto\adjustright\rin0\lin0 \rtlch\fcs1 _x000d__x000a_\af0\afs20\alang1025 \ltrch\fcs0 \fs24\lang2057\langfe2057\cgrid\langnp2057\langfenp2057 {\rtlch\fcs1 \af0 \ltrch\fcs0 \insrsid225652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2256522 \rtlch\fcs1 \af0\afs20\alang1025 \ltrch\fcs0 \i\fs24\lang2057\langfe2057\cgrid\langnp2057\langfenp2057 {\rtlch\fcs1 \af0 _x000d__x000a_\ltrch\fcs0 \cs15\i0\v\f1\fs20\cf9\insrsid2256522\charrsid15879488 &lt;TitreJust&gt;}{\rtlch\fcs1 \af0 \ltrch\fcs0 \insrsid2256522\charrsid15879488 [ZJUSTIFICATION]}{\rtlch\fcs1 \af0 \ltrch\fcs0 \cs15\i0\v\f1\fs20\cf9\insrsid2256522\charrsid15879488 _x000d__x000a_&lt;/TitreJust&gt;}{\rtlch\fcs1 \af0 \ltrch\fcs0 \insrsid2256522\charrsid15879488 _x000d__x000a_\par }\pard\plain \ltrpar\s20\ql \li0\ri0\sa240\nowidctlpar\wrapdefault\aspalpha\aspnum\faauto\adjustright\rin0\lin0\itap0\pararsid2256522 \rtlch\fcs1 \af0\afs20\alang1025 \ltrch\fcs0 \i\fs24\lang2057\langfe2057\cgrid\langnp2057\langfenp2057 {\rtlch\fcs1 \af0 _x000d__x000a_\ltrch\fcs0 \cs15\i0\v\f1\fs20\cf9\insrsid2256522\charrsid15879488 &lt;OptDelPrev&gt;}{\rtlch\fcs1 \af0 \ltrch\fcs0 \insrsid2256522\charrsid15879488 [ZTEXTJUST]}{\rtlch\fcs1 \af0 \ltrch\fcs0 \cs15\i0\v\f1\fs20\cf9\insrsid2256522\charrsid15879488 &lt;/OptDelPrev&gt;}{_x000d__x000a_\rtlch\fcs1 \af0 \ltrch\fcs0 \insrsid2256522\charrsid15879488 _x000d__x000a_\par }\pard\plain \ltrpar\ql \li0\ri0\widctlpar\wrapdefault\aspalpha\aspnum\faauto\adjustright\rin0\lin0\itap0\pararsid2256522 \rtlch\fcs1 \af0\afs20\alang1025 \ltrch\fcs0 \fs24\lang2057\langfe2057\cgrid\langnp2057\langfenp2057 {\rtlch\fcs1 \af0 \ltrch\fcs0 _x000d__x000a_\cs15\v\f1\fs20\cf9\insrsid2256522\charrsid15879488 &lt;/AmendA&gt;}{\rtlch\fcs1 \af0 \ltrch\fcs0 \insrsid225652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d3_x000d__x000a_2a7e906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73966 HideTWBExt;}{\s16\ql \li0\ri0\sa120\nowidctlpar\wrapdefault\aspalpha\aspnum\faauto\adjustright\rin0\lin0\itap0 \rtlch\fcs1 \af0\afs20\alang1025 \ltrch\fcs0 _x000d__x000a_\fs24\lang2057\langfe2057\cgrid\langnp2057\langfenp2057 \sbasedon0 \snext16 \slink17 \spriority0 \styrsid1973966 Normal6;}{\*\cs17 \additive \fs24 \slink16 \slocked \spriority0 \styrsid1973966 Normal6 Char;}{_x000d__x000a_\s18\ql \li0\ri0\nowidctlpar\wrapdefault\aspalpha\aspnum\faauto\adjustright\rin0\lin0\itap0 \rtlch\fcs1 \af0\afs20\alang1025 \ltrch\fcs0 \b\fs24\lang2057\langfe2057\cgrid\langnp2057\langfenp2057 \sbasedon0 \snext18 \slink19 \spriority0 \styrsid1973966 _x000d__x000a_NormalBold;}{\*\cs19 \additive \b\fs24 \slink18 \slocked \spriority0 \styrsid1973966 NormalBold Char;}{\s20\ql \li0\ri0\sa240\nowidctlpar\wrapdefault\aspalpha\aspnum\faauto\adjustright\rin0\lin0\itap0 \rtlch\fcs1 \af0\afs20\alang1025 \ltrch\fcs0 _x000d__x000a_\i\fs24\lang2057\langfe2057\cgrid\langnp2057\langfenp2057 \sbasedon0 \snext20 \spriority0 \styrsid1973966 Normal12Italic;}{\s21\qc \li0\ri0\sb240\nowidctlpar\wrapdefault\aspalpha\aspnum\faauto\adjustright\rin0\lin0\itap0 \rtlch\fcs1 \af0\afs20\alang1025 _x000d__x000a_\ltrch\fcs0 \i\fs24\lang2057\langfe2057\cgrid\langnp2057\langfenp2057 \sbasedon0 \snext21 \spriority0 \styrsid1973966 CrossRef;}{\s22\qc \li0\ri0\sb240\sa240\keepn\nowidctlpar\wrapdefault\aspalpha\aspnum\faauto\adjustright\rin0\lin0\itap0 \rtlch\fcs1 _x000d__x000a_\af0\afs20\alang1025 \ltrch\fcs0 \i\fs24\lang2057\langfe2057\cgrid\langnp2057\langfenp2057 \sbasedon0 \snext0 \spriority0 \styrsid1973966 JustificationTitle;}{_x000d__x000a_\s23\qc \li0\ri0\sa240\nowidctlpar\wrapdefault\aspalpha\aspnum\faauto\adjustright\rin0\lin0\itap0 \rtlch\fcs1 \af0\afs20\alang1025 \ltrch\fcs0 \i\fs24\lang2057\langfe2057\cgrid\langnp2057\langfenp2057 \sbasedon0 \snext23 \spriority0 \styrsid1973966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973966 AMNumberTabs;}{_x000d__x000a_\s25\ql \li0\ri0\sb240\nowidctlpar\wrapdefault\aspalpha\aspnum\faauto\adjustright\rin0\lin0\itap0 \rtlch\fcs1 \af0\afs20\alang1025 \ltrch\fcs0 \b\fs24\lang2057\langfe2057\cgrid\langnp2057\langfenp2057 \sbasedon0 \snext25 \spriority0 \styrsid1973966 _x000d__x000a_NormalBold12b;}}{\*\rsidtbl \rsid24658\rsid735077\rsid1973966\rsid2892074\rsid4666813\rsid6641733\rsid6975060\rsid9636012\rsid11215221\rsid12154954\rsid14424199\rsid15204470\rsid15285974\rsid15950462\rsid16324206\rsid16662270}{\mmathPr\mmathFont34_x000d__x000a_\mbrkBin0\mbrkBinSub0\msmallFrac0\mdispDef1\mlMargin0\mrMargin0\mdefJc1\mwrapIndent1440\mintLim0\mnaryLim1}{\info{\author PAWLIK Anna}{\operator PAWLIK Anna}{\creatim\yr2018\mo10\dy10\hr13\min58}{\revtim\yr2018\mo10\dy10\hr13\min58}{\version1}{\edmins0}_x000d__x000a_{\nofpages1}{\nofwords31}{\nofchars341}{\*\company European Parliament}{\nofcharsws344}{\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73966\utinl \fet0{\*\wgrffmtfilter 013f}\ilfomacatclnup0{\*\template C:\\Users\\AOWCZA~1\\AppData\\Local\\Temp\\Blank1.dot}{\*\ftnsep \ltrpar \pard\plain \ltrpar_x000d__x000a_\ql \li0\ri0\widctlpar\wrapdefault\aspalpha\aspnum\faauto\adjustright\rin0\lin0\itap0 \rtlch\fcs1 \af0\afs20\alang1025 \ltrch\fcs0 \fs24\lang2057\langfe2057\cgrid\langnp2057\langfenp2057 {\rtlch\fcs1 \af0 \ltrch\fcs0 \insrsid6975060 \chftnsep _x000d__x000a_\par }}{\*\ftnsepc \ltrpar \pard\plain \ltrpar\ql \li0\ri0\widctlpar\wrapdefault\aspalpha\aspnum\faauto\adjustright\rin0\lin0\itap0 \rtlch\fcs1 \af0\afs20\alang1025 \ltrch\fcs0 \fs24\lang2057\langfe2057\cgrid\langnp2057\langfenp2057 {\rtlch\fcs1 \af0 _x000d__x000a_\ltrch\fcs0 \insrsid6975060 \chftnsepc _x000d__x000a_\par }}{\*\aftnsep \ltrpar \pard\plain \ltrpar\ql \li0\ri0\widctlpar\wrapdefault\aspalpha\aspnum\faauto\adjustright\rin0\lin0\itap0 \rtlch\fcs1 \af0\afs20\alang1025 \ltrch\fcs0 \fs24\lang2057\langfe2057\cgrid\langnp2057\langfenp2057 {\rtlch\fcs1 \af0 _x000d__x000a_\ltrch\fcs0 \insrsid6975060 \chftnsep _x000d__x000a_\par }}{\*\aftnsepc \ltrpar \pard\plain \ltrpar\ql \li0\ri0\widctlpar\wrapdefault\aspalpha\aspnum\faauto\adjustright\rin0\lin0\itap0 \rtlch\fcs1 \af0\afs20\alang1025 \ltrch\fcs0 \fs24\lang2057\langfe2057\cgrid\langnp2057\langfenp2057 {\rtlch\fcs1 \af0 _x000d__x000a_\ltrch\fcs0 \insrsid697506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973966 \rtlch\fcs1 \af0\afs20\alang1025 \ltrch\fcs0 \b\fs24\lang2057\langfe2057\cgrid\langnp2057\langfenp2057 {\rtlch\fcs1 \af0 \ltrch\fcs0 \cs15\b0\v\f1\fs20\cf9\insrsid1973966\charrsid15879488 {\*\bkmkstart restartB}&lt;AmendB&gt;}{_x000d__x000a_\rtlch\fcs1 \af0 \ltrch\fcs0 \insrsid1973966\charrsid15879488 [ZAMENDMENT]\tab \tab }{\rtlch\fcs1 \af0 \ltrch\fcs0 \cs15\b0\v\f1\fs20\cf9\insrsid1973966\charrsid15879488 &lt;NumAmB&gt;}{\rtlch\fcs1 \af0 \ltrch\fcs0 \insrsid1973966\charrsid15879488 [ZNRAM]}{_x000d__x000a_\rtlch\fcs1 \af0 \ltrch\fcs0 \cs15\b0\v\f1\fs20\cf9\insrsid1973966\charrsid15879488 &lt;/NumAmB&gt;}{\rtlch\fcs1 \af0 \ltrch\fcs0 \insrsid1973966\charrsid15879488 _x000d__x000a_\par }\pard\plain \ltrpar\s25\ql \li0\ri0\sb240\keepn\nowidctlpar\wrapdefault\aspalpha\aspnum\faauto\adjustright\rin0\lin0\itap0\pararsid1973966 \rtlch\fcs1 \af0\afs20\alang1025 \ltrch\fcs0 \b\fs24\lang2057\langfe2057\cgrid\langnp2057\langfenp2057 {_x000d__x000a_\rtlch\fcs1 \af0 \ltrch\fcs0 \cs15\b0\v\f1\fs20\cf9\insrsid1973966\charrsid15879488 &lt;DocAmend&gt;}{\rtlch\fcs1 \af0 \ltrch\fcs0 \insrsid1973966\charrsid15879488 [ZPROPOSAL][ZAMACT]}{\rtlch\fcs1 \af0 \ltrch\fcs0 _x000d__x000a_\cs15\b0\v\f1\fs20\cf9\insrsid1973966\charrsid15879488 &lt;/DocAmend&gt;}{\rtlch\fcs1 \af0 \ltrch\fcs0 \insrsid1973966\charrsid15879488 _x000d__x000a_\par }\pard\plain \ltrpar\s18\ql \li0\ri0\keepn\nowidctlpar\wrapdefault\aspalpha\aspnum\faauto\adjustright\rin0\lin0\itap0\pararsid1973966 \rtlch\fcs1 \af0\afs20\alang1025 \ltrch\fcs0 \b\fs24\lang2057\langfe2057\cgrid\langnp2057\langfenp2057 {\rtlch\fcs1 \af0 _x000d__x000a_\ltrch\fcs0 \cs15\b0\v\f1\fs20\cf9\insrsid1973966\charrsid15879488 &lt;Article&gt;}{\rtlch\fcs1 \af0 \ltrch\fcs0 \insrsid1973966\charrsid15879488 [ZAMPART]}{\rtlch\fcs1 \af0 \ltrch\fcs0 \cs15\b0\v\f1\fs20\cf9\insrsid1973966\charrsid15879488 &lt;/Article&gt;}{_x000d__x000a_\rtlch\fcs1 \af0 \ltrch\fcs0 \insrsid1973966\charrsid15879488 _x000d__x000a_\par }\pard\plain \ltrpar\ql \li0\ri0\keepn\widctlpar\wrapdefault\aspalpha\aspnum\faauto\adjustright\rin0\lin0\itap0\pararsid1973966 \rtlch\fcs1 \af0\afs20\alang1025 \ltrch\fcs0 \fs24\lang2057\langfe2057\cgrid\langnp2057\langfenp2057 {\rtlch\fcs1 \af0 _x000d__x000a_\ltrch\fcs0 \cs15\v\f1\fs20\cf9\insrsid1973966\charrsid15879488 &lt;DocAmend2&gt;&lt;OptDel&gt;}{\rtlch\fcs1 \af0 \ltrch\fcs0 \insrsid1973966\charrsid15879488 [ZNRACT]}{\rtlch\fcs1 \af0 \ltrch\fcs0 \cs15\v\f1\fs20\cf9\insrsid1973966\charrsid15879488 _x000d__x000a_&lt;/OptDel&gt;&lt;/DocAmend2&gt;}{\rtlch\fcs1 \af0 \ltrch\fcs0 \insrsid1973966\charrsid15879488 _x000d__x000a_\par }\pard \ltrpar\ql \li0\ri0\widctlpar\wrapdefault\aspalpha\aspnum\faauto\adjustright\rin0\lin0\itap0\pararsid1973966 {\rtlch\fcs1 \af0 \ltrch\fcs0 \cs15\v\f1\fs20\cf9\insrsid1973966\charrsid15879488 &lt;Article2&gt;&lt;OptDel&gt;}{\rtlch\fcs1 \af0 \ltrch\fcs0 _x000d__x000a_\insrsid1973966\charrsid15879488 [ZACTPART]}{\rtlch\fcs1 \af0 \ltrch\fcs0 \cs15\v\f1\fs20\cf9\insrsid1973966\charrsid15879488 &lt;/OptDel&gt;&lt;/Article2&gt;}{\rtlch\fcs1 \af0 \ltrch\fcs0 \insrsid1973966\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973966\charrsid15879488 \cell }\pard \ltrpar\ql \li0\ri0\widctlpar\intbl\wrapdefault\aspalpha\aspnum\faauto\adjustright\rin0\lin0 {\rtlch\fcs1 \af0 \ltrch\fcs0 \insrsid1973966\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973966\charrsid15879488 [ZLEFTB]\cell [ZRIGHT]\cell }\pard\plain \ltrpar\ql \li0\ri0\widctlpar\intbl\wrapdefault\aspalpha\aspnum\faauto\adjustright\rin0\lin0 \rtlch\fcs1 \af0\afs20\alang1025 \ltrch\fcs0 _x000d__x000a_\fs24\lang2057\langfe2057\cgrid\langnp2057\langfenp2057 {\rtlch\fcs1 \af0 \ltrch\fcs0 \insrsid1973966\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973966\charrsid15879488 [ZTEXTL]\cell [ZTEXTR]}{\rtlch\fcs1 \af0\afs24 \ltrch\fcs0 \insrsid1973966\charrsid15879488 \cell }\pard\plain \ltrpar\ql \li0\ri0\widctlpar\intbl\wrapdefault\aspalpha\aspnum\faauto\adjustright\rin0\lin0 \rtlch\fcs1 _x000d__x000a_\af0\afs20\alang1025 \ltrch\fcs0 \fs24\lang2057\langfe2057\cgrid\langnp2057\langfenp2057 {\rtlch\fcs1 \af0 \ltrch\fcs0 \insrsid1973966\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973966 \rtlch\fcs1 \af0\afs20\alang1025 \ltrch\fcs0 \i\fs24\lang2057\langfe2057\cgrid\langnp2057\langfenp2057 {\rtlch\fcs1 \af0 \ltrch\fcs0 _x000d__x000a_\cs15\i0\v\f1\fs20\cf9\insrsid1973966\charrsid15879488 &lt;OptDel&gt;}{\rtlch\fcs1 \af0 \ltrch\fcs0 \insrsid1973966\charrsid15879488 [ZCROSSREF]}{\rtlch\fcs1 \af0 \ltrch\fcs0 \cs15\i0\v\f1\fs20\cf9\insrsid1973966\charrsid15879488 &lt;/OptDel&gt;}{\rtlch\fcs1 \af0 _x000d__x000a_\ltrch\fcs0 \insrsid1973966\charrsid15879488 _x000d__x000a_\par }\pard\plain \ltrpar\s22\qc \li0\ri0\sb240\sa240\keepn\nowidctlpar\wrapdefault\aspalpha\aspnum\faauto\adjustright\rin0\lin0\itap0\pararsid1973966 \rtlch\fcs1 \af0\afs20\alang1025 \ltrch\fcs0 \i\fs24\lang2057\langfe2057\cgrid\langnp2057\langfenp2057 {_x000d__x000a_\rtlch\fcs1 \af0 \ltrch\fcs0 \cs15\i0\v\f1\fs20\cf9\insrsid1973966\charrsid15879488 &lt;TitreJust&gt;}{\rtlch\fcs1 \af0 \ltrch\fcs0 \insrsid1973966\charrsid15879488 [ZJUSTIFICATION]}{\rtlch\fcs1 \af0 \ltrch\fcs0 _x000d__x000a_\cs15\i0\v\f1\fs20\cf9\insrsid1973966\charrsid15879488 &lt;/TitreJust&gt;}{\rtlch\fcs1 \af0 \ltrch\fcs0 \insrsid1973966\charrsid15879488 _x000d__x000a_\par }\pard\plain \ltrpar\s20\ql \li0\ri0\sa240\nowidctlpar\wrapdefault\aspalpha\aspnum\faauto\adjustright\rin0\lin0\itap0\pararsid1973966 \rtlch\fcs1 \af0\afs20\alang1025 \ltrch\fcs0 \i\fs24\lang2057\langfe2057\cgrid\langnp2057\langfenp2057 {\rtlch\fcs1 \af0 _x000d__x000a_\ltrch\fcs0 \cs15\i0\v\f1\fs20\cf9\insrsid1973966\charrsid15879488 &lt;OptDelPrev&gt;}{\rtlch\fcs1 \af0 \ltrch\fcs0 \insrsid1973966\charrsid15879488 [ZTEXTJUST]}{\rtlch\fcs1 \af0 \ltrch\fcs0 \cs15\i0\v\f1\fs20\cf9\insrsid1973966\charrsid15879488 &lt;/OptDelPrev&gt;}{_x000d__x000a_\rtlch\fcs1 \af0 \ltrch\fcs0 \insrsid1973966\charrsid15879488 _x000d__x000a_\par }\pard\plain \ltrpar\ql \li0\ri0\widctlpar\wrapdefault\aspalpha\aspnum\faauto\adjustright\rin0\lin0\itap0\pararsid1973966 \rtlch\fcs1 \af0\afs20\alang1025 \ltrch\fcs0 \fs24\lang2057\langfe2057\cgrid\langnp2057\langfenp2057 {\rtlch\fcs1 \af0 \ltrch\fcs0 _x000d__x000a_\cs15\v\f1\fs20\cf9\insrsid1973966\charrsid15879488 &lt;/AmendB&gt;}{\rtlch\fcs1 \af0 \ltrch\fcs0 \insrsid197396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38_x000d__x000a_957f906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73966 HideTWBExt;}{\s16\ql \li0\ri0\sa120\nowidctlpar\wrapdefault\aspalpha\aspnum\faauto\adjustright\rin0\lin0\itap0 \rtlch\fcs1 \af0\afs20\alang1025 \ltrch\fcs0 _x000d__x000a_\fs24\lang2057\langfe2057\cgrid\langnp2057\langfenp2057 \sbasedon0 \snext16 \slink17 \spriority0 \styrsid1973966 Normal6;}{\*\cs17 \additive \fs24 \slink16 \slocked \spriority0 \styrsid1973966 Normal6 Char;}{_x000d__x000a_\s18\ql \li0\ri0\nowidctlpar\wrapdefault\aspalpha\aspnum\faauto\adjustright\rin0\lin0\itap0 \rtlch\fcs1 \af0\afs20\alang1025 \ltrch\fcs0 \b\fs24\lang2057\langfe2057\cgrid\langnp2057\langfenp2057 \sbasedon0 \snext18 \slink19 \spriority0 \styrsid1973966 _x000d__x000a_NormalBold;}{\*\cs19 \additive \b\fs24 \slink18 \slocked \spriority0 \styrsid1973966 NormalBold Char;}{\s20\ql \li0\ri0\sa240\nowidctlpar\wrapdefault\aspalpha\aspnum\faauto\adjustright\rin0\lin0\itap0 \rtlch\fcs1 \af0\afs20\alang1025 \ltrch\fcs0 _x000d__x000a_\i\fs24\lang2057\langfe2057\cgrid\langnp2057\langfenp2057 \sbasedon0 \snext20 \spriority0 \styrsid1973966 Normal12Italic;}{\s21\qc \li0\ri0\sb240\nowidctlpar\wrapdefault\aspalpha\aspnum\faauto\adjustright\rin0\lin0\itap0 \rtlch\fcs1 \af0\afs20\alang1025 _x000d__x000a_\ltrch\fcs0 \i\fs24\lang2057\langfe2057\cgrid\langnp2057\langfenp2057 \sbasedon0 \snext21 \spriority0 \styrsid1973966 CrossRef;}{\s22\qc \li0\ri0\sb240\sa240\keepn\nowidctlpar\wrapdefault\aspalpha\aspnum\faauto\adjustright\rin0\lin0\itap0 \rtlch\fcs1 _x000d__x000a_\af0\afs20\alang1025 \ltrch\fcs0 \i\fs24\lang2057\langfe2057\cgrid\langnp2057\langfenp2057 \sbasedon0 \snext0 \spriority0 \styrsid1973966 JustificationTitle;}{_x000d__x000a_\s23\qc \li0\ri0\sa240\nowidctlpar\wrapdefault\aspalpha\aspnum\faauto\adjustright\rin0\lin0\itap0 \rtlch\fcs1 \af0\afs20\alang1025 \ltrch\fcs0 \i\fs24\lang2057\langfe2057\cgrid\langnp2057\langfenp2057 \sbasedon0 \snext23 \spriority0 \styrsid1973966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973966 AMNumberTabs;}{_x000d__x000a_\s25\ql \li0\ri0\sb240\nowidctlpar\wrapdefault\aspalpha\aspnum\faauto\adjustright\rin0\lin0\itap0 \rtlch\fcs1 \af0\afs20\alang1025 \ltrch\fcs0 \b\fs24\lang2057\langfe2057\cgrid\langnp2057\langfenp2057 \sbasedon0 \snext25 \spriority0 \styrsid1973966 _x000d__x000a_NormalBold12b;}}{\*\rsidtbl \rsid24658\rsid735077\rsid1973966\rsid2892074\rsid4666813\rsid6641733\rsid6975060\rsid9636012\rsid11215221\rsid12154954\rsid14424199\rsid15204470\rsid15285974\rsid15950462\rsid16324206\rsid16662270}{\mmathPr\mmathFont34_x000d__x000a_\mbrkBin0\mbrkBinSub0\msmallFrac0\mdispDef1\mlMargin0\mrMargin0\mdefJc1\mwrapIndent1440\mintLim0\mnaryLim1}{\info{\author PAWLIK Anna}{\operator PAWLIK Anna}{\creatim\yr2018\mo10\dy10\hr13\min58}{\revtim\yr2018\mo10\dy10\hr13\min58}{\version1}{\edmins0}_x000d__x000a_{\nofpages1}{\nofwords31}{\nofchars341}{\*\company European Parliament}{\nofcharsws344}{\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73966\utinl \fet0{\*\wgrffmtfilter 013f}\ilfomacatclnup0{\*\template C:\\Users\\AOWCZA~1\\AppData\\Local\\Temp\\Blank1.dot}{\*\ftnsep \ltrpar \pard\plain \ltrpar_x000d__x000a_\ql \li0\ri0\widctlpar\wrapdefault\aspalpha\aspnum\faauto\adjustright\rin0\lin0\itap0 \rtlch\fcs1 \af0\afs20\alang1025 \ltrch\fcs0 \fs24\lang2057\langfe2057\cgrid\langnp2057\langfenp2057 {\rtlch\fcs1 \af0 \ltrch\fcs0 \insrsid6975060 \chftnsep _x000d__x000a_\par }}{\*\ftnsepc \ltrpar \pard\plain \ltrpar\ql \li0\ri0\widctlpar\wrapdefault\aspalpha\aspnum\faauto\adjustright\rin0\lin0\itap0 \rtlch\fcs1 \af0\afs20\alang1025 \ltrch\fcs0 \fs24\lang2057\langfe2057\cgrid\langnp2057\langfenp2057 {\rtlch\fcs1 \af0 _x000d__x000a_\ltrch\fcs0 \insrsid6975060 \chftnsepc _x000d__x000a_\par }}{\*\aftnsep \ltrpar \pard\plain \ltrpar\ql \li0\ri0\widctlpar\wrapdefault\aspalpha\aspnum\faauto\adjustright\rin0\lin0\itap0 \rtlch\fcs1 \af0\afs20\alang1025 \ltrch\fcs0 \fs24\lang2057\langfe2057\cgrid\langnp2057\langfenp2057 {\rtlch\fcs1 \af0 _x000d__x000a_\ltrch\fcs0 \insrsid6975060 \chftnsep _x000d__x000a_\par }}{\*\aftnsepc \ltrpar \pard\plain \ltrpar\ql \li0\ri0\widctlpar\wrapdefault\aspalpha\aspnum\faauto\adjustright\rin0\lin0\itap0 \rtlch\fcs1 \af0\afs20\alang1025 \ltrch\fcs0 \fs24\lang2057\langfe2057\cgrid\langnp2057\langfenp2057 {\rtlch\fcs1 \af0 _x000d__x000a_\ltrch\fcs0 \insrsid697506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973966 \rtlch\fcs1 \af0\afs20\alang1025 \ltrch\fcs0 \b\fs24\lang2057\langfe2057\cgrid\langnp2057\langfenp2057 {\rtlch\fcs1 \af0 \ltrch\fcs0 \cs15\b0\v\f1\fs20\cf9\insrsid1973966\charrsid15879488 {\*\bkmkstart restartB}&lt;AmendB&gt;}{_x000d__x000a_\rtlch\fcs1 \af0 \ltrch\fcs0 \insrsid1973966\charrsid15879488 [ZAMENDMENT]\tab \tab }{\rtlch\fcs1 \af0 \ltrch\fcs0 \cs15\b0\v\f1\fs20\cf9\insrsid1973966\charrsid15879488 &lt;NumAmB&gt;}{\rtlch\fcs1 \af0 \ltrch\fcs0 \insrsid1973966\charrsid15879488 [ZNRAM]}{_x000d__x000a_\rtlch\fcs1 \af0 \ltrch\fcs0 \cs15\b0\v\f1\fs20\cf9\insrsid1973966\charrsid15879488 &lt;/NumAmB&gt;}{\rtlch\fcs1 \af0 \ltrch\fcs0 \insrsid1973966\charrsid15879488 _x000d__x000a_\par }\pard\plain \ltrpar\s25\ql \li0\ri0\sb240\keepn\nowidctlpar\wrapdefault\aspalpha\aspnum\faauto\adjustright\rin0\lin0\itap0\pararsid1973966 \rtlch\fcs1 \af0\afs20\alang1025 \ltrch\fcs0 \b\fs24\lang2057\langfe2057\cgrid\langnp2057\langfenp2057 {_x000d__x000a_\rtlch\fcs1 \af0 \ltrch\fcs0 \cs15\b0\v\f1\fs20\cf9\insrsid1973966\charrsid15879488 &lt;DocAmend&gt;}{\rtlch\fcs1 \af0 \ltrch\fcs0 \insrsid1973966\charrsid15879488 [ZPROPOSAL][ZAMACT]}{\rtlch\fcs1 \af0 \ltrch\fcs0 _x000d__x000a_\cs15\b0\v\f1\fs20\cf9\insrsid1973966\charrsid15879488 &lt;/DocAmend&gt;}{\rtlch\fcs1 \af0 \ltrch\fcs0 \insrsid1973966\charrsid15879488 _x000d__x000a_\par }\pard\plain \ltrpar\s18\ql \li0\ri0\keepn\nowidctlpar\wrapdefault\aspalpha\aspnum\faauto\adjustright\rin0\lin0\itap0\pararsid1973966 \rtlch\fcs1 \af0\afs20\alang1025 \ltrch\fcs0 \b\fs24\lang2057\langfe2057\cgrid\langnp2057\langfenp2057 {\rtlch\fcs1 \af0 _x000d__x000a_\ltrch\fcs0 \cs15\b0\v\f1\fs20\cf9\insrsid1973966\charrsid15879488 &lt;Article&gt;}{\rtlch\fcs1 \af0 \ltrch\fcs0 \insrsid1973966\charrsid15879488 [ZAMPART]}{\rtlch\fcs1 \af0 \ltrch\fcs0 \cs15\b0\v\f1\fs20\cf9\insrsid1973966\charrsid15879488 &lt;/Article&gt;}{_x000d__x000a_\rtlch\fcs1 \af0 \ltrch\fcs0 \insrsid1973966\charrsid15879488 _x000d__x000a_\par }\pard\plain \ltrpar\ql \li0\ri0\keepn\widctlpar\wrapdefault\aspalpha\aspnum\faauto\adjustright\rin0\lin0\itap0\pararsid1973966 \rtlch\fcs1 \af0\afs20\alang1025 \ltrch\fcs0 \fs24\lang2057\langfe2057\cgrid\langnp2057\langfenp2057 {\rtlch\fcs1 \af0 _x000d__x000a_\ltrch\fcs0 \cs15\v\f1\fs20\cf9\insrsid1973966\charrsid15879488 &lt;DocAmend2&gt;&lt;OptDel&gt;}{\rtlch\fcs1 \af0 \ltrch\fcs0 \insrsid1973966\charrsid15879488 [ZNRACT]}{\rtlch\fcs1 \af0 \ltrch\fcs0 \cs15\v\f1\fs20\cf9\insrsid1973966\charrsid15879488 _x000d__x000a_&lt;/OptDel&gt;&lt;/DocAmend2&gt;}{\rtlch\fcs1 \af0 \ltrch\fcs0 \insrsid1973966\charrsid15879488 _x000d__x000a_\par }\pard \ltrpar\ql \li0\ri0\widctlpar\wrapdefault\aspalpha\aspnum\faauto\adjustright\rin0\lin0\itap0\pararsid1973966 {\rtlch\fcs1 \af0 \ltrch\fcs0 \cs15\v\f1\fs20\cf9\insrsid1973966\charrsid15879488 &lt;Article2&gt;&lt;OptDel&gt;}{\rtlch\fcs1 \af0 \ltrch\fcs0 _x000d__x000a_\insrsid1973966\charrsid15879488 [ZACTPART]}{\rtlch\fcs1 \af0 \ltrch\fcs0 \cs15\v\f1\fs20\cf9\insrsid1973966\charrsid15879488 &lt;/OptDel&gt;&lt;/Article2&gt;}{\rtlch\fcs1 \af0 \ltrch\fcs0 \insrsid1973966\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973966\charrsid15879488 \cell }\pard \ltrpar\ql \li0\ri0\widctlpar\intbl\wrapdefault\aspalpha\aspnum\faauto\adjustright\rin0\lin0 {\rtlch\fcs1 \af0 \ltrch\fcs0 \insrsid1973966\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973966\charrsid15879488 [ZLEFTB]\cell [ZRIGHT]\cell }\pard\plain \ltrpar\ql \li0\ri0\widctlpar\intbl\wrapdefault\aspalpha\aspnum\faauto\adjustright\rin0\lin0 \rtlch\fcs1 \af0\afs20\alang1025 \ltrch\fcs0 _x000d__x000a_\fs24\lang2057\langfe2057\cgrid\langnp2057\langfenp2057 {\rtlch\fcs1 \af0 \ltrch\fcs0 \insrsid1973966\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973966\charrsid15879488 [ZTEXTL]\cell [ZTEXTR]}{\rtlch\fcs1 \af0\afs24 \ltrch\fcs0 \insrsid1973966\charrsid15879488 \cell }\pard\plain \ltrpar\ql \li0\ri0\widctlpar\intbl\wrapdefault\aspalpha\aspnum\faauto\adjustright\rin0\lin0 \rtlch\fcs1 _x000d__x000a_\af0\afs20\alang1025 \ltrch\fcs0 \fs24\lang2057\langfe2057\cgrid\langnp2057\langfenp2057 {\rtlch\fcs1 \af0 \ltrch\fcs0 \insrsid1973966\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973966 \rtlch\fcs1 \af0\afs20\alang1025 \ltrch\fcs0 \i\fs24\lang2057\langfe2057\cgrid\langnp2057\langfenp2057 {\rtlch\fcs1 \af0 \ltrch\fcs0 _x000d__x000a_\cs15\i0\v\f1\fs20\cf9\insrsid1973966\charrsid15879488 &lt;OptDel&gt;}{\rtlch\fcs1 \af0 \ltrch\fcs0 \insrsid1973966\charrsid15879488 [ZCROSSREF]}{\rtlch\fcs1 \af0 \ltrch\fcs0 \cs15\i0\v\f1\fs20\cf9\insrsid1973966\charrsid15879488 &lt;/OptDel&gt;}{\rtlch\fcs1 \af0 _x000d__x000a_\ltrch\fcs0 \insrsid1973966\charrsid15879488 _x000d__x000a_\par }\pard\plain \ltrpar\s22\qc \li0\ri0\sb240\sa240\keepn\nowidctlpar\wrapdefault\aspalpha\aspnum\faauto\adjustright\rin0\lin0\itap0\pararsid1973966 \rtlch\fcs1 \af0\afs20\alang1025 \ltrch\fcs0 \i\fs24\lang2057\langfe2057\cgrid\langnp2057\langfenp2057 {_x000d__x000a_\rtlch\fcs1 \af0 \ltrch\fcs0 \cs15\i0\v\f1\fs20\cf9\insrsid1973966\charrsid15879488 &lt;TitreJust&gt;}{\rtlch\fcs1 \af0 \ltrch\fcs0 \insrsid1973966\charrsid15879488 [ZJUSTIFICATION]}{\rtlch\fcs1 \af0 \ltrch\fcs0 _x000d__x000a_\cs15\i0\v\f1\fs20\cf9\insrsid1973966\charrsid15879488 &lt;/TitreJust&gt;}{\rtlch\fcs1 \af0 \ltrch\fcs0 \insrsid1973966\charrsid15879488 _x000d__x000a_\par }\pard\plain \ltrpar\s20\ql \li0\ri0\sa240\nowidctlpar\wrapdefault\aspalpha\aspnum\faauto\adjustright\rin0\lin0\itap0\pararsid1973966 \rtlch\fcs1 \af0\afs20\alang1025 \ltrch\fcs0 \i\fs24\lang2057\langfe2057\cgrid\langnp2057\langfenp2057 {\rtlch\fcs1 \af0 _x000d__x000a_\ltrch\fcs0 \cs15\i0\v\f1\fs20\cf9\insrsid1973966\charrsid15879488 &lt;OptDelPrev&gt;}{\rtlch\fcs1 \af0 \ltrch\fcs0 \insrsid1973966\charrsid15879488 [ZTEXTJUST]}{\rtlch\fcs1 \af0 \ltrch\fcs0 \cs15\i0\v\f1\fs20\cf9\insrsid1973966\charrsid15879488 &lt;/OptDelPrev&gt;}{_x000d__x000a_\rtlch\fcs1 \af0 \ltrch\fcs0 \insrsid1973966\charrsid15879488 _x000d__x000a_\par }\pard\plain \ltrpar\ql \li0\ri0\widctlpar\wrapdefault\aspalpha\aspnum\faauto\adjustright\rin0\lin0\itap0\pararsid1973966 \rtlch\fcs1 \af0\afs20\alang1025 \ltrch\fcs0 \fs24\lang2057\langfe2057\cgrid\langnp2057\langfenp2057 {\rtlch\fcs1 \af0 \ltrch\fcs0 _x000d__x000a_\cs15\v\f1\fs20\cf9\insrsid1973966\charrsid15879488 &lt;/AmendB&gt;}{\rtlch\fcs1 \af0 \ltrch\fcs0 \insrsid197396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38_x000d__x000a_957f906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9"/>
    <w:docVar w:name="TITLECODMNU" w:val=" 1"/>
    <w:docVar w:name="TVTAMPART" w:val="xx"/>
    <w:docVar w:name="TXTLANGUE" w:val="EN"/>
    <w:docVar w:name="TXTLANGUEMIN" w:val="en"/>
    <w:docVar w:name="TXTNRC" w:val="0230/2018"/>
    <w:docVar w:name="TXTNRCOM" w:val="(2018)0375"/>
    <w:docVar w:name="TXTNRFIRSTAM" w:val="1"/>
    <w:docVar w:name="TXTNRLASTAM" w:val="43"/>
    <w:docVar w:name="TXTNRPE" w:val="630.616"/>
    <w:docVar w:name="TXTNRPROC" w:val="2018/0196"/>
    <w:docVar w:name="TXTPEorAP" w:val="PE"/>
    <w:docVar w:name="TXTROUTE" w:val="AD\1169647EN.docx"/>
    <w:docVar w:name="TXTVERSION" w:val="01-00"/>
  </w:docVars>
  <w:rsids>
    <w:rsidRoot w:val="00836ACC"/>
    <w:rsid w:val="00026559"/>
    <w:rsid w:val="0004474F"/>
    <w:rsid w:val="00072B90"/>
    <w:rsid w:val="000B3C1E"/>
    <w:rsid w:val="000E14B6"/>
    <w:rsid w:val="000F1C37"/>
    <w:rsid w:val="00104AE6"/>
    <w:rsid w:val="00134974"/>
    <w:rsid w:val="00141CD7"/>
    <w:rsid w:val="001820A9"/>
    <w:rsid w:val="001B0A1E"/>
    <w:rsid w:val="001C0886"/>
    <w:rsid w:val="001E3AC4"/>
    <w:rsid w:val="001E76D2"/>
    <w:rsid w:val="001F6942"/>
    <w:rsid w:val="002008B0"/>
    <w:rsid w:val="00211BDC"/>
    <w:rsid w:val="002861E5"/>
    <w:rsid w:val="00304EA8"/>
    <w:rsid w:val="003109BA"/>
    <w:rsid w:val="00341A99"/>
    <w:rsid w:val="00360FAA"/>
    <w:rsid w:val="0038294E"/>
    <w:rsid w:val="003A2F84"/>
    <w:rsid w:val="003C7390"/>
    <w:rsid w:val="003F096C"/>
    <w:rsid w:val="0040055C"/>
    <w:rsid w:val="004521D9"/>
    <w:rsid w:val="00453411"/>
    <w:rsid w:val="00487596"/>
    <w:rsid w:val="004C2A0D"/>
    <w:rsid w:val="004C3BB0"/>
    <w:rsid w:val="00522B51"/>
    <w:rsid w:val="00546491"/>
    <w:rsid w:val="005900AB"/>
    <w:rsid w:val="006008DA"/>
    <w:rsid w:val="0060181B"/>
    <w:rsid w:val="00613134"/>
    <w:rsid w:val="00691B1C"/>
    <w:rsid w:val="006A0F0A"/>
    <w:rsid w:val="006A42E9"/>
    <w:rsid w:val="006A48AA"/>
    <w:rsid w:val="006A56A5"/>
    <w:rsid w:val="006B1267"/>
    <w:rsid w:val="006B63E7"/>
    <w:rsid w:val="006D0665"/>
    <w:rsid w:val="006D258A"/>
    <w:rsid w:val="006D292E"/>
    <w:rsid w:val="006F5679"/>
    <w:rsid w:val="006F70DA"/>
    <w:rsid w:val="00712462"/>
    <w:rsid w:val="00773ADD"/>
    <w:rsid w:val="0078548A"/>
    <w:rsid w:val="007C76AF"/>
    <w:rsid w:val="007F187F"/>
    <w:rsid w:val="008142E1"/>
    <w:rsid w:val="00817D13"/>
    <w:rsid w:val="00820C7D"/>
    <w:rsid w:val="00822A78"/>
    <w:rsid w:val="00833D11"/>
    <w:rsid w:val="00836ACC"/>
    <w:rsid w:val="00836FD3"/>
    <w:rsid w:val="00855E11"/>
    <w:rsid w:val="00856F66"/>
    <w:rsid w:val="00880B2E"/>
    <w:rsid w:val="00904864"/>
    <w:rsid w:val="009052FE"/>
    <w:rsid w:val="00915792"/>
    <w:rsid w:val="00924555"/>
    <w:rsid w:val="00933D8B"/>
    <w:rsid w:val="00946681"/>
    <w:rsid w:val="0095643A"/>
    <w:rsid w:val="00982B83"/>
    <w:rsid w:val="009857B4"/>
    <w:rsid w:val="009E7319"/>
    <w:rsid w:val="009F7943"/>
    <w:rsid w:val="00A124BE"/>
    <w:rsid w:val="00A373B4"/>
    <w:rsid w:val="00A6036D"/>
    <w:rsid w:val="00A86ED2"/>
    <w:rsid w:val="00A9239F"/>
    <w:rsid w:val="00A9606E"/>
    <w:rsid w:val="00B17187"/>
    <w:rsid w:val="00B45C06"/>
    <w:rsid w:val="00B476DC"/>
    <w:rsid w:val="00B556CD"/>
    <w:rsid w:val="00B61DE1"/>
    <w:rsid w:val="00B625AF"/>
    <w:rsid w:val="00B62D4B"/>
    <w:rsid w:val="00B96337"/>
    <w:rsid w:val="00BC2E4F"/>
    <w:rsid w:val="00BD1F76"/>
    <w:rsid w:val="00BD384D"/>
    <w:rsid w:val="00BE20CF"/>
    <w:rsid w:val="00BF33D6"/>
    <w:rsid w:val="00C22327"/>
    <w:rsid w:val="00C75E98"/>
    <w:rsid w:val="00D25CF2"/>
    <w:rsid w:val="00D51CBA"/>
    <w:rsid w:val="00D6254D"/>
    <w:rsid w:val="00D65CAD"/>
    <w:rsid w:val="00D74FD1"/>
    <w:rsid w:val="00D943A5"/>
    <w:rsid w:val="00DB56E4"/>
    <w:rsid w:val="00DC69EC"/>
    <w:rsid w:val="00E00A50"/>
    <w:rsid w:val="00E276AB"/>
    <w:rsid w:val="00E27F01"/>
    <w:rsid w:val="00E31420"/>
    <w:rsid w:val="00E42B3F"/>
    <w:rsid w:val="00E734F4"/>
    <w:rsid w:val="00E810F4"/>
    <w:rsid w:val="00EE02CE"/>
    <w:rsid w:val="00EE59D0"/>
    <w:rsid w:val="00EF33D5"/>
    <w:rsid w:val="00F15744"/>
    <w:rsid w:val="00F24D40"/>
    <w:rsid w:val="00F45817"/>
    <w:rsid w:val="00F8793D"/>
    <w:rsid w:val="00FE0791"/>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EE38"/>
  <w15:chartTrackingRefBased/>
  <w15:docId w15:val="{8DA34892-6FE9-426B-95A7-52EA3E49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sv-SE"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sv-SE"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NormalTabs">
    <w:name w:val="NormalTabs"/>
    <w:basedOn w:val="Normal"/>
    <w:qFormat/>
    <w:rsid w:val="00A373B4"/>
    <w:pPr>
      <w:widowControl w:val="0"/>
      <w:tabs>
        <w:tab w:val="center" w:pos="284"/>
        <w:tab w:val="left" w:pos="426"/>
      </w:tabs>
    </w:pPr>
    <w:rPr>
      <w:snapToGrid w:val="0"/>
      <w:szCs w:val="20"/>
      <w:lang w:eastAsia="en-US"/>
    </w:rPr>
  </w:style>
  <w:style w:type="paragraph" w:styleId="BalloonText">
    <w:name w:val="Balloon Text"/>
    <w:basedOn w:val="Normal"/>
    <w:link w:val="BalloonTextChar"/>
    <w:rsid w:val="00E42B3F"/>
    <w:rPr>
      <w:rFonts w:ascii="Segoe UI" w:hAnsi="Segoe UI" w:cs="Segoe UI"/>
      <w:sz w:val="18"/>
      <w:szCs w:val="18"/>
    </w:rPr>
  </w:style>
  <w:style w:type="character" w:customStyle="1" w:styleId="BalloonTextChar">
    <w:name w:val="Balloon Text Char"/>
    <w:basedOn w:val="DefaultParagraphFont"/>
    <w:link w:val="BalloonText"/>
    <w:rsid w:val="00E42B3F"/>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E276AB"/>
  </w:style>
  <w:style w:type="paragraph" w:styleId="CommentSubject">
    <w:name w:val="annotation subject"/>
    <w:basedOn w:val="CommentText"/>
    <w:next w:val="CommentText"/>
    <w:link w:val="CommentSubjectChar"/>
    <w:rsid w:val="00E276AB"/>
    <w:rPr>
      <w:b/>
      <w:bCs/>
    </w:rPr>
  </w:style>
  <w:style w:type="character" w:customStyle="1" w:styleId="CommentSubjectChar">
    <w:name w:val="Comment Subject Char"/>
    <w:basedOn w:val="CommentTextChar"/>
    <w:link w:val="CommentSubject"/>
    <w:rsid w:val="00E276AB"/>
    <w:rPr>
      <w:b/>
      <w:bCs/>
    </w:rPr>
  </w:style>
  <w:style w:type="character" w:styleId="Hyperlink">
    <w:name w:val="Hyperlink"/>
    <w:basedOn w:val="DefaultParagraphFont"/>
    <w:rsid w:val="00E27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4826</Words>
  <Characters>36677</Characters>
  <Application>Microsoft Office Word</Application>
  <DocSecurity>0</DocSecurity>
  <Lines>1467</Lines>
  <Paragraphs>518</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PAWLIK Anna</dc:creator>
  <cp:keywords/>
  <dc:description/>
  <cp:lastModifiedBy>SJÖHOLM Outi</cp:lastModifiedBy>
  <cp:revision>2</cp:revision>
  <dcterms:created xsi:type="dcterms:W3CDTF">2018-12-06T16:04:00Z</dcterms:created>
  <dcterms:modified xsi:type="dcterms:W3CDTF">2018-12-06T16:04:00Z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[20181105]</vt:lpwstr>
  </property>
  <property fmtid="{D5CDD505-2E9C-101B-9397-08002B2CF9AE}" pid="4" name="&lt;FdR&gt;">
    <vt:lpwstr>1169647</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AD\1169647SV.docx</vt:lpwstr>
  </property>
  <property fmtid="{D5CDD505-2E9C-101B-9397-08002B2CF9AE}" pid="10" name="PE number">
    <vt:lpwstr>630.616</vt:lpwstr>
  </property>
  <property fmtid="{D5CDD505-2E9C-101B-9397-08002B2CF9AE}" pid="11" name="SendToEpades">
    <vt:lpwstr>OK - 2018/11/22 10:07</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- 2018/12/06 17:03</vt:lpwstr>
  </property>
</Properties>
</file>