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4B1DCD" w14:paraId="164F5995" w14:textId="77777777">
        <w:trPr>
          <w:trHeight w:hRule="exact" w:val="1300"/>
          <w:jc w:val="center"/>
        </w:trPr>
        <w:tc>
          <w:tcPr>
            <w:tcW w:w="6804" w:type="dxa"/>
            <w:vAlign w:val="center"/>
          </w:tcPr>
          <w:p w14:paraId="5FB3E526" w14:textId="77777777" w:rsidR="00A77B3E" w:rsidRDefault="003C4422">
            <w:pPr>
              <w:pStyle w:val="EPName"/>
            </w:pPr>
            <w:r>
              <w:t>European Parliament</w:t>
            </w:r>
          </w:p>
          <w:p w14:paraId="136ADAB1" w14:textId="77777777" w:rsidR="004B1DCD" w:rsidRDefault="003C4422">
            <w:pPr>
              <w:pStyle w:val="EPTerm"/>
            </w:pPr>
            <w:r>
              <w:t>2014-2019</w:t>
            </w:r>
          </w:p>
        </w:tc>
        <w:tc>
          <w:tcPr>
            <w:tcW w:w="2268" w:type="dxa"/>
          </w:tcPr>
          <w:p w14:paraId="055483C2" w14:textId="77777777" w:rsidR="004B1DCD" w:rsidRDefault="003C4422">
            <w:pPr>
              <w:pStyle w:val="EPLogo"/>
            </w:pPr>
            <w:r>
              <w:rPr>
                <w:noProof/>
              </w:rPr>
              <w:drawing>
                <wp:inline distT="0" distB="0" distL="0" distR="0" wp14:anchorId="5A09491F" wp14:editId="31471E54">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D2C7421" w14:textId="77777777" w:rsidR="00A77B3E" w:rsidRDefault="008C7DA0">
      <w:pPr>
        <w:pStyle w:val="LineTop"/>
      </w:pPr>
    </w:p>
    <w:p w14:paraId="2D700F60" w14:textId="77777777" w:rsidR="004B1DCD" w:rsidRPr="002A66D4" w:rsidRDefault="003C4422">
      <w:pPr>
        <w:pStyle w:val="ZCommittee"/>
        <w:rPr>
          <w:lang w:val="en-GB"/>
        </w:rPr>
      </w:pPr>
      <w:r w:rsidRPr="002A66D4">
        <w:rPr>
          <w:rStyle w:val="HideTWBExt"/>
          <w:noProof w:val="0"/>
          <w:lang w:val="en-GB"/>
        </w:rPr>
        <w:t>&lt;Commission&gt;</w:t>
      </w:r>
      <w:r w:rsidRPr="002A66D4">
        <w:rPr>
          <w:rStyle w:val="HideTWBInt"/>
          <w:lang w:val="en-GB"/>
        </w:rPr>
        <w:t>{ENVI}</w:t>
      </w:r>
      <w:r w:rsidRPr="002A66D4">
        <w:rPr>
          <w:lang w:val="en-GB"/>
        </w:rPr>
        <w:t>Committee on the Environment, Public Health and Food Safety</w:t>
      </w:r>
      <w:r w:rsidRPr="002A66D4">
        <w:rPr>
          <w:rStyle w:val="HideTWBExt"/>
          <w:noProof w:val="0"/>
          <w:lang w:val="en-GB"/>
        </w:rPr>
        <w:t>&lt;/Commission&gt;</w:t>
      </w:r>
    </w:p>
    <w:p w14:paraId="3F0A933E" w14:textId="77777777" w:rsidR="004B1DCD" w:rsidRDefault="004B1DCD">
      <w:pPr>
        <w:pStyle w:val="LineBottom"/>
      </w:pPr>
    </w:p>
    <w:p w14:paraId="13BF824D" w14:textId="77777777" w:rsidR="004B1DCD" w:rsidRDefault="003C4422">
      <w:pPr>
        <w:pStyle w:val="RefProc"/>
      </w:pPr>
      <w:r>
        <w:rPr>
          <w:rStyle w:val="HideTWBExt"/>
          <w:noProof w:val="0"/>
        </w:rPr>
        <w:t>&lt;RefProc&gt;</w:t>
      </w:r>
      <w:r>
        <w:t>2018/2119(INI)</w:t>
      </w:r>
      <w:r>
        <w:rPr>
          <w:rStyle w:val="HideTWBExt"/>
          <w:noProof w:val="0"/>
        </w:rPr>
        <w:t>&lt;/RefProc&gt;</w:t>
      </w:r>
    </w:p>
    <w:p w14:paraId="34F6701B" w14:textId="77777777" w:rsidR="004B1DCD" w:rsidRDefault="003C4422">
      <w:pPr>
        <w:pStyle w:val="ZDate"/>
      </w:pPr>
      <w:r>
        <w:rPr>
          <w:rStyle w:val="HideTWBExt"/>
          <w:noProof w:val="0"/>
        </w:rPr>
        <w:t>&lt;Date&gt;</w:t>
      </w:r>
      <w:r w:rsidR="00E96130">
        <w:rPr>
          <w:rStyle w:val="HideTWBInt"/>
        </w:rPr>
        <w:t>{3</w:t>
      </w:r>
      <w:r w:rsidR="006C17D7">
        <w:rPr>
          <w:rStyle w:val="HideTWBInt"/>
        </w:rPr>
        <w:t>1</w:t>
      </w:r>
      <w:r w:rsidR="00A72213" w:rsidRPr="00A72213">
        <w:rPr>
          <w:rStyle w:val="HideTWBInt"/>
        </w:rPr>
        <w:t>/01/2019}</w:t>
      </w:r>
      <w:r w:rsidR="006C17D7">
        <w:t>31</w:t>
      </w:r>
      <w:r w:rsidR="00A72213" w:rsidRPr="00A72213">
        <w:t>.1.2019</w:t>
      </w:r>
      <w:r>
        <w:rPr>
          <w:rStyle w:val="HideTWBExt"/>
          <w:noProof w:val="0"/>
        </w:rPr>
        <w:t>&lt;/Date&gt;</w:t>
      </w:r>
    </w:p>
    <w:p w14:paraId="6D37951F" w14:textId="77777777" w:rsidR="004B1DCD" w:rsidRDefault="003C4422">
      <w:pPr>
        <w:pStyle w:val="TypeDoc"/>
      </w:pPr>
      <w:r>
        <w:rPr>
          <w:rStyle w:val="HideTWBExt"/>
          <w:noProof w:val="0"/>
        </w:rPr>
        <w:t>&lt;TitreType&gt;</w:t>
      </w:r>
      <w:r w:rsidR="00A72213" w:rsidRPr="00A72213">
        <w:t>OPINION</w:t>
      </w:r>
      <w:r>
        <w:rPr>
          <w:rStyle w:val="HideTWBExt"/>
          <w:noProof w:val="0"/>
        </w:rPr>
        <w:t>&lt;/TitreType&gt;</w:t>
      </w:r>
    </w:p>
    <w:p w14:paraId="0860B3E3" w14:textId="77777777" w:rsidR="004B1DCD" w:rsidRDefault="003C4422">
      <w:pPr>
        <w:pStyle w:val="Cover24"/>
      </w:pPr>
      <w:r>
        <w:rPr>
          <w:rStyle w:val="HideTWBExt"/>
          <w:noProof w:val="0"/>
        </w:rPr>
        <w:t>&lt;CommissionResp&gt;</w:t>
      </w:r>
      <w:r>
        <w:t>of the Committee on the Environment, Public Health and Food Safety</w:t>
      </w:r>
      <w:r>
        <w:rPr>
          <w:rStyle w:val="HideTWBExt"/>
          <w:noProof w:val="0"/>
        </w:rPr>
        <w:t>&lt;/CommissionResp&gt;</w:t>
      </w:r>
    </w:p>
    <w:p w14:paraId="00E1B50E" w14:textId="77777777" w:rsidR="004B1DCD" w:rsidRDefault="003C4422">
      <w:pPr>
        <w:pStyle w:val="Cover24"/>
      </w:pPr>
      <w:r>
        <w:rPr>
          <w:rStyle w:val="HideTWBExt"/>
          <w:noProof w:val="0"/>
        </w:rPr>
        <w:t>&lt;CommissionInt&gt;</w:t>
      </w:r>
      <w:r>
        <w:t>for the Committee on Economic and Monetary Affairs</w:t>
      </w:r>
      <w:r>
        <w:rPr>
          <w:rStyle w:val="HideTWBExt"/>
          <w:noProof w:val="0"/>
        </w:rPr>
        <w:t>&lt;/CommissionInt&gt;</w:t>
      </w:r>
    </w:p>
    <w:p w14:paraId="6DEB864B" w14:textId="77777777" w:rsidR="004B1DCD" w:rsidRDefault="003C4422">
      <w:pPr>
        <w:pStyle w:val="CoverNormal"/>
      </w:pPr>
      <w:r>
        <w:rPr>
          <w:rStyle w:val="HideTWBExt"/>
          <w:noProof w:val="0"/>
        </w:rPr>
        <w:t>&lt;Titre&gt;</w:t>
      </w:r>
      <w:r>
        <w:t>on the European Semester for economic policy coordination: Annual Growth Survey 2019</w:t>
      </w:r>
      <w:r>
        <w:rPr>
          <w:rStyle w:val="HideTWBExt"/>
          <w:noProof w:val="0"/>
        </w:rPr>
        <w:t>&lt;/Titre&gt;</w:t>
      </w:r>
    </w:p>
    <w:p w14:paraId="7F8BCB87" w14:textId="77777777" w:rsidR="004B1DCD" w:rsidRDefault="003C4422">
      <w:pPr>
        <w:pStyle w:val="Cover24"/>
      </w:pPr>
      <w:r>
        <w:rPr>
          <w:rStyle w:val="HideTWBExt"/>
          <w:noProof w:val="0"/>
        </w:rPr>
        <w:t>&lt;DocRef&gt;</w:t>
      </w:r>
      <w:r>
        <w:t>(2018/2119(INI))</w:t>
      </w:r>
      <w:r>
        <w:rPr>
          <w:rStyle w:val="HideTWBExt"/>
          <w:noProof w:val="0"/>
        </w:rPr>
        <w:t>&lt;/DocRef&gt;</w:t>
      </w:r>
    </w:p>
    <w:p w14:paraId="310BEF28" w14:textId="77777777" w:rsidR="005504DB" w:rsidRPr="005504DB" w:rsidRDefault="003C4422" w:rsidP="005504DB">
      <w:pPr>
        <w:pStyle w:val="Cover24"/>
      </w:pPr>
      <w:r w:rsidRPr="006D471E">
        <w:t xml:space="preserve">Rapporteur: </w:t>
      </w:r>
      <w:r w:rsidRPr="006D471E">
        <w:rPr>
          <w:rStyle w:val="HideTWBExt"/>
          <w:noProof w:val="0"/>
        </w:rPr>
        <w:t>&lt;Depute&gt;</w:t>
      </w:r>
      <w:r w:rsidRPr="006D471E">
        <w:t>Andrey Kovatchev</w:t>
      </w:r>
      <w:r w:rsidRPr="006D471E">
        <w:rPr>
          <w:rStyle w:val="HideTWBExt"/>
          <w:noProof w:val="0"/>
        </w:rPr>
        <w:t>&lt;/Depute&gt;</w:t>
      </w:r>
    </w:p>
    <w:p w14:paraId="31E2A7C6" w14:textId="77777777" w:rsidR="005504DB" w:rsidRPr="005504DB" w:rsidRDefault="005504DB">
      <w:pPr>
        <w:pStyle w:val="Cover24"/>
        <w:rPr>
          <w:vanish/>
        </w:rPr>
      </w:pPr>
    </w:p>
    <w:p w14:paraId="62FF62B6" w14:textId="77777777" w:rsidR="004B1DCD" w:rsidRPr="006D471E" w:rsidRDefault="003C4422">
      <w:r w:rsidRPr="006D471E">
        <w:br w:type="page"/>
      </w:r>
    </w:p>
    <w:p w14:paraId="7A7AC2B8" w14:textId="77777777" w:rsidR="004B1DCD" w:rsidRDefault="003C4422">
      <w:pPr>
        <w:pStyle w:val="Normal12"/>
      </w:pPr>
      <w:r>
        <w:lastRenderedPageBreak/>
        <w:t>PA_NonLeg</w:t>
      </w:r>
    </w:p>
    <w:p w14:paraId="528D0E8B" w14:textId="77777777" w:rsidR="004B1DCD" w:rsidRDefault="003C4422">
      <w:pPr>
        <w:pStyle w:val="PageHeadingNotTOC"/>
      </w:pPr>
      <w:r>
        <w:br w:type="page"/>
      </w:r>
      <w:r>
        <w:lastRenderedPageBreak/>
        <w:t>SUGGESTIONS</w:t>
      </w:r>
    </w:p>
    <w:p w14:paraId="0873D486" w14:textId="77777777" w:rsidR="004B1DCD" w:rsidRDefault="003C4422">
      <w:pPr>
        <w:pStyle w:val="Normal12"/>
      </w:pPr>
      <w:r>
        <w:t>The Committee on the Environment, Public Health and Food Safety calls on the Committee on Economic and Monetary Affairs, as the committee responsible, to incorporate the following suggestions into its motion for a resolution:</w:t>
      </w:r>
    </w:p>
    <w:p w14:paraId="1518ED15" w14:textId="31DBF5B4" w:rsidR="00F41B9B" w:rsidRDefault="00F41B9B" w:rsidP="008C7DA0">
      <w:pPr>
        <w:pStyle w:val="Normal12Hanging"/>
      </w:pPr>
      <w:r w:rsidRPr="00F41B9B" w:rsidDel="00F41B9B">
        <w:t xml:space="preserve"> </w:t>
      </w:r>
      <w:r>
        <w:t>1.</w:t>
      </w:r>
      <w:r>
        <w:tab/>
        <w:t xml:space="preserve">Calls on the Commission to adapt the European Semester process to a new long-term strategic framework guided by the Sustainable Development Goals (SDGs) to support Member States in achieving environmentally sustainable and socially inclusive growth; reiterates the importance of monitoring the implementation of the European Pillar of Social Rights to ensure significant progress in the realisation of its key principles, in particular the right to access </w:t>
      </w:r>
      <w:r w:rsidR="002144DA">
        <w:t>high</w:t>
      </w:r>
      <w:r w:rsidR="00B00B77">
        <w:t>-</w:t>
      </w:r>
      <w:r>
        <w:t>quality preventive healthcare</w:t>
      </w:r>
      <w:r w:rsidR="00B00B77">
        <w:t xml:space="preserve"> that is affordable for all</w:t>
      </w:r>
      <w:r>
        <w:t>;</w:t>
      </w:r>
    </w:p>
    <w:p w14:paraId="1374546B" w14:textId="7C14A346" w:rsidR="00F41B9B" w:rsidRPr="006D471E" w:rsidRDefault="00A24261" w:rsidP="00F41B9B">
      <w:pPr>
        <w:pStyle w:val="Normal12Hanging"/>
      </w:pPr>
      <w:r>
        <w:t>2</w:t>
      </w:r>
      <w:r w:rsidR="00F41B9B" w:rsidRPr="006D471E">
        <w:t>.</w:t>
      </w:r>
      <w:r w:rsidR="00F41B9B" w:rsidRPr="006D471E">
        <w:tab/>
        <w:t>Emphasises that social</w:t>
      </w:r>
      <w:r w:rsidR="00B00B77">
        <w:t>,</w:t>
      </w:r>
      <w:r w:rsidR="00F41B9B" w:rsidRPr="006D471E">
        <w:t xml:space="preserve"> climate and environmental policy should play a full role in the European Semester process</w:t>
      </w:r>
      <w:r w:rsidR="002144DA">
        <w:t>,</w:t>
      </w:r>
      <w:r w:rsidR="00F41B9B" w:rsidRPr="006D471E">
        <w:t xml:space="preserve"> in addition to </w:t>
      </w:r>
      <w:r w:rsidR="002144DA">
        <w:t>its</w:t>
      </w:r>
      <w:r w:rsidR="002144DA" w:rsidRPr="006D471E">
        <w:t xml:space="preserve"> </w:t>
      </w:r>
      <w:r w:rsidR="00F41B9B" w:rsidRPr="006D471E">
        <w:t>economic dimensions; calls for the inclusion of indicators oriented towards measuring sustainability and well-being;</w:t>
      </w:r>
    </w:p>
    <w:p w14:paraId="0B457999" w14:textId="3B9DF8E6" w:rsidR="00F41B9B" w:rsidRDefault="00A24261" w:rsidP="00F41B9B">
      <w:pPr>
        <w:pStyle w:val="Normal12Hanging"/>
      </w:pPr>
      <w:r>
        <w:t>3</w:t>
      </w:r>
      <w:r w:rsidR="00F41B9B" w:rsidRPr="006D471E">
        <w:t>.</w:t>
      </w:r>
      <w:r w:rsidR="00F41B9B" w:rsidRPr="006D471E">
        <w:tab/>
        <w:t>Stresses that continued decoupling of energy and resource use from economic growth is needed to achieve the EU</w:t>
      </w:r>
      <w:r w:rsidR="00E709B9">
        <w:t>’</w:t>
      </w:r>
      <w:r w:rsidR="00F41B9B" w:rsidRPr="006D471E">
        <w:t xml:space="preserve">s 2030 climate and energy targets, in line with </w:t>
      </w:r>
      <w:r w:rsidR="00E709B9">
        <w:t xml:space="preserve">the </w:t>
      </w:r>
      <w:r w:rsidR="00F41B9B" w:rsidRPr="006D471E">
        <w:t xml:space="preserve">commitments </w:t>
      </w:r>
      <w:r w:rsidR="00E709B9">
        <w:t xml:space="preserve">made </w:t>
      </w:r>
      <w:r w:rsidR="00F41B9B" w:rsidRPr="006D471E">
        <w:t>under the Paris Agreement;</w:t>
      </w:r>
    </w:p>
    <w:p w14:paraId="297D2981" w14:textId="514D9BA8" w:rsidR="00E96130" w:rsidRPr="006D471E" w:rsidRDefault="00A24261" w:rsidP="00E96130">
      <w:pPr>
        <w:pStyle w:val="Normal12Hanging"/>
      </w:pPr>
      <w:r>
        <w:t>4</w:t>
      </w:r>
      <w:r w:rsidR="00E96130" w:rsidRPr="006D471E">
        <w:t>.</w:t>
      </w:r>
      <w:r w:rsidR="00E96130" w:rsidRPr="006D471E">
        <w:tab/>
        <w:t xml:space="preserve">Calls on the Commission to include </w:t>
      </w:r>
      <w:r w:rsidR="00E709B9" w:rsidRPr="00241F64">
        <w:t>in the European Semester</w:t>
      </w:r>
      <w:r w:rsidR="00E709B9" w:rsidRPr="00E709B9">
        <w:t xml:space="preserve"> </w:t>
      </w:r>
      <w:r w:rsidR="00E96130" w:rsidRPr="006D471E">
        <w:t xml:space="preserve">the objective </w:t>
      </w:r>
      <w:r w:rsidR="00E709B9">
        <w:t>of</w:t>
      </w:r>
      <w:r w:rsidR="00E709B9" w:rsidRPr="006D471E">
        <w:t xml:space="preserve"> </w:t>
      </w:r>
      <w:r w:rsidR="00E96130" w:rsidRPr="006D471E">
        <w:t>achiev</w:t>
      </w:r>
      <w:r w:rsidR="00E709B9">
        <w:t>ing</w:t>
      </w:r>
      <w:r w:rsidR="00E96130" w:rsidRPr="006D471E">
        <w:t xml:space="preserve"> a climate</w:t>
      </w:r>
      <w:r w:rsidR="00E709B9">
        <w:t>-</w:t>
      </w:r>
      <w:r w:rsidR="00E96130" w:rsidRPr="006D471E">
        <w:t xml:space="preserve">neutral economy; recalls </w:t>
      </w:r>
      <w:r w:rsidR="00E709B9">
        <w:t>the EU</w:t>
      </w:r>
      <w:r w:rsidR="00E96130" w:rsidRPr="006D471E">
        <w:t>’s commitment to achieving net-zero greenhouse</w:t>
      </w:r>
      <w:r w:rsidR="00E96130" w:rsidRPr="008C7DA0">
        <w:t xml:space="preserve"> </w:t>
      </w:r>
      <w:r w:rsidR="00E96130" w:rsidRPr="006D471E">
        <w:t>gas emissions by 2050 through a socially fair transition</w:t>
      </w:r>
      <w:r w:rsidR="002144DA">
        <w:t>,</w:t>
      </w:r>
      <w:r w:rsidR="00E96130" w:rsidRPr="006D471E">
        <w:t xml:space="preserve"> </w:t>
      </w:r>
      <w:r w:rsidR="002144DA">
        <w:t xml:space="preserve">and </w:t>
      </w:r>
      <w:r w:rsidR="00E96130" w:rsidRPr="006D471E">
        <w:t>in a cost-efficient manner;</w:t>
      </w:r>
    </w:p>
    <w:p w14:paraId="4DA6F887" w14:textId="17BBC94D" w:rsidR="00F41B9B" w:rsidRPr="006D471E" w:rsidRDefault="00A24261" w:rsidP="00F41B9B">
      <w:pPr>
        <w:pStyle w:val="Normal12Hanging"/>
      </w:pPr>
      <w:r>
        <w:t>5</w:t>
      </w:r>
      <w:r w:rsidR="00F41B9B" w:rsidRPr="006D471E">
        <w:t>.</w:t>
      </w:r>
      <w:r w:rsidR="00F41B9B" w:rsidRPr="006D471E">
        <w:tab/>
        <w:t>Highlights that the decarbonisation of the EU’s economy will stimulate significant additional investment; recalls that today around 2</w:t>
      </w:r>
      <w:r w:rsidR="00E709B9">
        <w:t> </w:t>
      </w:r>
      <w:r w:rsidR="00F41B9B" w:rsidRPr="006D471E">
        <w:t xml:space="preserve">% of the EU’s GDP is invested in </w:t>
      </w:r>
      <w:r w:rsidR="00E709B9">
        <w:t>its</w:t>
      </w:r>
      <w:r w:rsidR="00E709B9" w:rsidRPr="006D471E">
        <w:t xml:space="preserve"> </w:t>
      </w:r>
      <w:r w:rsidR="00F41B9B" w:rsidRPr="006D471E">
        <w:t>energy system and related infrastructure; notes that this would have to increase to 2.8</w:t>
      </w:r>
      <w:r w:rsidR="00E709B9">
        <w:t> </w:t>
      </w:r>
      <w:r w:rsidR="00F41B9B" w:rsidRPr="006D471E">
        <w:t>% in order to achieve a net-zero greenhouse</w:t>
      </w:r>
      <w:r w:rsidR="00F41B9B" w:rsidRPr="008C7DA0">
        <w:t xml:space="preserve"> </w:t>
      </w:r>
      <w:r w:rsidR="00F41B9B" w:rsidRPr="006D471E">
        <w:t xml:space="preserve">gas economy, which requires considerable additional investments compared </w:t>
      </w:r>
      <w:r w:rsidR="002144DA">
        <w:t>with</w:t>
      </w:r>
      <w:r w:rsidR="00F41B9B" w:rsidRPr="006D471E">
        <w:t xml:space="preserve"> the baseline;</w:t>
      </w:r>
    </w:p>
    <w:p w14:paraId="266C93FB" w14:textId="1A265748" w:rsidR="00F41B9B" w:rsidRPr="006D471E" w:rsidRDefault="00A24261" w:rsidP="00F41B9B">
      <w:pPr>
        <w:pStyle w:val="Normal12Hanging"/>
      </w:pPr>
      <w:r>
        <w:t>6</w:t>
      </w:r>
      <w:r w:rsidR="00F41B9B" w:rsidRPr="006D471E">
        <w:t>.</w:t>
      </w:r>
      <w:r w:rsidR="00F41B9B" w:rsidRPr="006D471E">
        <w:tab/>
        <w:t>Recalls the need to align the EU’s financing commitments with the Paris climate goals, including assessing that investments support or are compatible with climate objectives, ramping up climate finance, and mainstreaming climate reporting on financial flows;</w:t>
      </w:r>
    </w:p>
    <w:p w14:paraId="765B5152" w14:textId="0422C570" w:rsidR="00F41B9B" w:rsidRPr="006D471E" w:rsidRDefault="00A24261" w:rsidP="00F41B9B">
      <w:pPr>
        <w:pStyle w:val="Normal12Hanging"/>
      </w:pPr>
      <w:r>
        <w:t>7</w:t>
      </w:r>
      <w:r w:rsidR="00F41B9B" w:rsidRPr="006D471E">
        <w:t>.</w:t>
      </w:r>
      <w:r w:rsidR="00F41B9B" w:rsidRPr="006D471E">
        <w:tab/>
        <w:t xml:space="preserve">Underlines the need to integrate </w:t>
      </w:r>
      <w:r w:rsidR="00EB0C1D" w:rsidRPr="00241F64">
        <w:t>into the European Semester</w:t>
      </w:r>
      <w:r w:rsidR="00EB0C1D" w:rsidRPr="00EB0C1D">
        <w:t xml:space="preserve"> </w:t>
      </w:r>
      <w:r w:rsidR="00F41B9B" w:rsidRPr="006D471E">
        <w:t xml:space="preserve">the climate and energy goals set by Member States under </w:t>
      </w:r>
      <w:r w:rsidR="00EB0C1D">
        <w:t>the r</w:t>
      </w:r>
      <w:r w:rsidR="00EB0C1D" w:rsidRPr="00EB0C1D">
        <w:t xml:space="preserve">egulation on the </w:t>
      </w:r>
      <w:r w:rsidR="00EB0C1D">
        <w:t>g</w:t>
      </w:r>
      <w:r w:rsidR="00EB0C1D" w:rsidRPr="00EB0C1D">
        <w:t xml:space="preserve">overnance of the Energy Union and </w:t>
      </w:r>
      <w:r w:rsidR="00EB0C1D">
        <w:t>c</w:t>
      </w:r>
      <w:r w:rsidR="00EB0C1D" w:rsidRPr="00EB0C1D">
        <w:t xml:space="preserve">limate </w:t>
      </w:r>
      <w:r w:rsidR="00EB0C1D">
        <w:t>a</w:t>
      </w:r>
      <w:r w:rsidR="00EB0C1D" w:rsidRPr="00EB0C1D">
        <w:t>ction</w:t>
      </w:r>
      <w:r w:rsidR="008C7DA0" w:rsidRPr="008C7DA0">
        <w:rPr>
          <w:vertAlign w:val="superscript"/>
        </w:rPr>
        <w:footnoteReference w:id="1"/>
      </w:r>
      <w:r w:rsidR="00F41B9B" w:rsidRPr="006D471E">
        <w:t>;</w:t>
      </w:r>
      <w:bookmarkStart w:id="0" w:name="_GoBack"/>
      <w:bookmarkEnd w:id="0"/>
    </w:p>
    <w:p w14:paraId="0097069C" w14:textId="09619692" w:rsidR="00F41B9B" w:rsidRDefault="00F41B9B" w:rsidP="008C7DA0">
      <w:pPr>
        <w:pStyle w:val="Normal12Hanging"/>
      </w:pPr>
      <w:r w:rsidDel="00F41B9B">
        <w:t xml:space="preserve"> </w:t>
      </w:r>
      <w:r w:rsidR="00A24261">
        <w:t>8</w:t>
      </w:r>
      <w:r>
        <w:t>.</w:t>
      </w:r>
      <w:r>
        <w:tab/>
        <w:t>Stresses that greening the economy and investing in more efficient healthcare systems will enhance Europe</w:t>
      </w:r>
      <w:r w:rsidR="00AE0A7E">
        <w:t>’</w:t>
      </w:r>
      <w:r>
        <w:t xml:space="preserve">s capacity to improve the well-being of its citizens; notes that short-term fiscal implications of structural reforms and their long-term environmental, economic and social effects </w:t>
      </w:r>
      <w:r w:rsidRPr="006D471E">
        <w:t>should be taken into account</w:t>
      </w:r>
      <w:r w:rsidRPr="00E96130">
        <w:t>;</w:t>
      </w:r>
    </w:p>
    <w:p w14:paraId="32EE1D1E" w14:textId="31D58925" w:rsidR="00955A7E" w:rsidRPr="00E96130" w:rsidRDefault="00E96130" w:rsidP="008C7DA0">
      <w:pPr>
        <w:pStyle w:val="Normal12Hanging"/>
      </w:pPr>
      <w:r w:rsidDel="00E96130">
        <w:t xml:space="preserve"> </w:t>
      </w:r>
      <w:r w:rsidR="00A24261">
        <w:t>9</w:t>
      </w:r>
      <w:r w:rsidR="00955A7E" w:rsidRPr="00E96130">
        <w:t>.</w:t>
      </w:r>
      <w:r w:rsidR="00955A7E" w:rsidRPr="00E96130">
        <w:tab/>
        <w:t>Considers it important to use the European Semester to accelerate the transition towards a resource-efficient</w:t>
      </w:r>
      <w:r w:rsidR="002144DA">
        <w:t>,</w:t>
      </w:r>
      <w:r w:rsidR="00955A7E" w:rsidRPr="00E96130">
        <w:t xml:space="preserve"> circular</w:t>
      </w:r>
      <w:r w:rsidR="005123FA">
        <w:t>,</w:t>
      </w:r>
      <w:r w:rsidR="00955A7E" w:rsidRPr="00E96130">
        <w:t xml:space="preserve"> </w:t>
      </w:r>
      <w:r w:rsidR="005123FA" w:rsidRPr="00254226">
        <w:t>net-zero emission, energy</w:t>
      </w:r>
      <w:r w:rsidR="005123FA">
        <w:t>-</w:t>
      </w:r>
      <w:r w:rsidR="005123FA" w:rsidRPr="00254226">
        <w:t xml:space="preserve">efficient </w:t>
      </w:r>
      <w:r w:rsidR="00955A7E" w:rsidRPr="00E96130">
        <w:t>economy</w:t>
      </w:r>
      <w:r w:rsidR="005123FA">
        <w:t xml:space="preserve"> based on renewable energy and </w:t>
      </w:r>
      <w:r w:rsidR="005123FA" w:rsidRPr="00254226">
        <w:t>contributing to sustainable development and the achievement of the Sustainable Development Goals</w:t>
      </w:r>
      <w:r w:rsidR="00955A7E" w:rsidRPr="00E96130">
        <w:t xml:space="preserve">; </w:t>
      </w:r>
      <w:r w:rsidR="00955A7E" w:rsidRPr="006D471E">
        <w:t xml:space="preserve">reiterates the importance of EU financial support for coal- </w:t>
      </w:r>
      <w:r w:rsidR="00955A7E" w:rsidRPr="006D471E">
        <w:lastRenderedPageBreak/>
        <w:t>and carbon</w:t>
      </w:r>
      <w:r w:rsidR="006C17D7">
        <w:t>-</w:t>
      </w:r>
      <w:r w:rsidR="00955A7E" w:rsidRPr="006D471E">
        <w:t>intensive regions to enable a just energy transition to clean technologies and energy-efficiency solutions, while creating sustainable jobs;</w:t>
      </w:r>
    </w:p>
    <w:p w14:paraId="00792D96" w14:textId="6F1D00BA" w:rsidR="00955A7E" w:rsidRPr="006D471E" w:rsidRDefault="00A24261" w:rsidP="00955A7E">
      <w:pPr>
        <w:pStyle w:val="Normal12Hanging"/>
      </w:pPr>
      <w:r>
        <w:t>1</w:t>
      </w:r>
      <w:r w:rsidR="00D564A9">
        <w:t>0</w:t>
      </w:r>
      <w:r w:rsidR="00955A7E" w:rsidRPr="006D471E">
        <w:t>.</w:t>
      </w:r>
      <w:r w:rsidR="00955A7E" w:rsidRPr="006D471E">
        <w:tab/>
        <w:t xml:space="preserve">Considers the European Semester </w:t>
      </w:r>
      <w:r w:rsidR="005123FA">
        <w:t xml:space="preserve">to be </w:t>
      </w:r>
      <w:r w:rsidR="00955A7E" w:rsidRPr="006D471E">
        <w:t xml:space="preserve">an essential tool without which the EU biodiversity targets, and the </w:t>
      </w:r>
      <w:r w:rsidR="005123FA">
        <w:t>respective</w:t>
      </w:r>
      <w:r w:rsidR="005123FA" w:rsidRPr="006D471E">
        <w:t xml:space="preserve"> </w:t>
      </w:r>
      <w:r w:rsidR="00955A7E" w:rsidRPr="006D471E">
        <w:t>socio-economic benefits, will not be reached;</w:t>
      </w:r>
    </w:p>
    <w:p w14:paraId="2D13804C" w14:textId="655B3F90" w:rsidR="00E96130" w:rsidRDefault="00A24261" w:rsidP="008C7DA0">
      <w:pPr>
        <w:pStyle w:val="Normal12Hanging"/>
      </w:pPr>
      <w:r>
        <w:t>1</w:t>
      </w:r>
      <w:r w:rsidR="00D564A9">
        <w:t>1</w:t>
      </w:r>
      <w:r w:rsidR="00E96130">
        <w:t>.</w:t>
      </w:r>
      <w:r w:rsidR="00E96130">
        <w:tab/>
        <w:t>Welcomes the proposed allocation of EU funding in the next programming period to support Member States in the implementation of recommendations and structural reforms, but stresses that this linkage should not take the form of a conditionality; calls for the adoption of a longer-term perspective in the monitoring and assessment of reform progress;</w:t>
      </w:r>
    </w:p>
    <w:p w14:paraId="54AD2340" w14:textId="6E592E9C" w:rsidR="00955A7E" w:rsidRPr="006D471E" w:rsidRDefault="00A24261" w:rsidP="00955A7E">
      <w:pPr>
        <w:pStyle w:val="Normal12Hanging"/>
      </w:pPr>
      <w:r>
        <w:t>1</w:t>
      </w:r>
      <w:r w:rsidR="00D564A9">
        <w:t>2</w:t>
      </w:r>
      <w:r w:rsidR="00955A7E" w:rsidRPr="006D471E">
        <w:t>.</w:t>
      </w:r>
      <w:r w:rsidR="00955A7E" w:rsidRPr="006D471E">
        <w:tab/>
        <w:t xml:space="preserve">Welcomes the </w:t>
      </w:r>
      <w:r w:rsidR="002144DA">
        <w:t xml:space="preserve">recognition in the </w:t>
      </w:r>
      <w:r w:rsidR="00955A7E" w:rsidRPr="006D471E">
        <w:t xml:space="preserve">European Semester that Member States should pay particular attention to the adaptability of the workforce, to ensure they have the right skills </w:t>
      </w:r>
      <w:r w:rsidR="002144DA">
        <w:t>to</w:t>
      </w:r>
      <w:r w:rsidR="002144DA" w:rsidRPr="006D471E">
        <w:t xml:space="preserve"> </w:t>
      </w:r>
      <w:r w:rsidR="00955A7E" w:rsidRPr="006D471E">
        <w:t>match technological progress; stresses</w:t>
      </w:r>
      <w:r w:rsidR="002144DA">
        <w:t>,</w:t>
      </w:r>
      <w:r w:rsidR="00955A7E" w:rsidRPr="006D471E">
        <w:t xml:space="preserve"> in this context</w:t>
      </w:r>
      <w:r w:rsidR="002144DA">
        <w:t>,</w:t>
      </w:r>
      <w:r w:rsidR="00955A7E" w:rsidRPr="006D471E">
        <w:t xml:space="preserve"> the need to adopt a just transition approach, ensuring inclusion and participation of all those affected, and supporting the workforce and the creation of decent work and quality jobs;</w:t>
      </w:r>
    </w:p>
    <w:p w14:paraId="2C91F50E" w14:textId="7183EB07" w:rsidR="00955A7E" w:rsidRPr="00E96130" w:rsidRDefault="00470335" w:rsidP="008C7DA0">
      <w:pPr>
        <w:pStyle w:val="Normal12Hanging"/>
      </w:pPr>
      <w:r w:rsidDel="00470335">
        <w:t xml:space="preserve"> </w:t>
      </w:r>
      <w:r w:rsidR="00A24261">
        <w:t>1</w:t>
      </w:r>
      <w:r w:rsidR="00D564A9">
        <w:t>3</w:t>
      </w:r>
      <w:r w:rsidR="00955A7E" w:rsidRPr="00E96130">
        <w:t>.</w:t>
      </w:r>
      <w:r w:rsidR="00955A7E" w:rsidRPr="00E96130">
        <w:tab/>
        <w:t xml:space="preserve">Welcomes </w:t>
      </w:r>
      <w:r w:rsidR="002144DA">
        <w:t xml:space="preserve">the fact </w:t>
      </w:r>
      <w:r w:rsidR="00955A7E" w:rsidRPr="00E96130">
        <w:t>that in the area of healthcare the European Semester process shifted the focus from cost-saving to health system performance, recognising the importance of health outcomes and access to high-quality healthcare</w:t>
      </w:r>
      <w:r w:rsidR="002144DA">
        <w:t xml:space="preserve"> that is affordable to all</w:t>
      </w:r>
      <w:r w:rsidR="00955A7E" w:rsidRPr="00E96130">
        <w:t>; calls for the development of common indicators and methodologies to assess the performance of healthcare systems with the aim of reducing health inequalities;</w:t>
      </w:r>
      <w:r w:rsidR="006C17D7">
        <w:t xml:space="preserve"> </w:t>
      </w:r>
      <w:r w:rsidR="00955A7E" w:rsidRPr="006D471E">
        <w:t>support</w:t>
      </w:r>
      <w:r w:rsidR="006C17D7">
        <w:t>s</w:t>
      </w:r>
      <w:r w:rsidR="00955A7E" w:rsidRPr="006D471E">
        <w:t xml:space="preserve"> the efforts to develop common indicators and methodologies to enable the assessment of national healthcare systems</w:t>
      </w:r>
      <w:r w:rsidR="002144DA">
        <w:t>’</w:t>
      </w:r>
      <w:r w:rsidR="00955A7E" w:rsidRPr="006D471E">
        <w:t xml:space="preserve"> performance, including inequalities and gaps in access to healthcare;</w:t>
      </w:r>
    </w:p>
    <w:p w14:paraId="31F0A930" w14:textId="0B39B4FC" w:rsidR="00955A7E" w:rsidRPr="006D471E" w:rsidRDefault="00A24261" w:rsidP="00955A7E">
      <w:pPr>
        <w:pStyle w:val="Normal12Hanging"/>
      </w:pPr>
      <w:r>
        <w:t>1</w:t>
      </w:r>
      <w:r w:rsidR="00D564A9">
        <w:t>4</w:t>
      </w:r>
      <w:r w:rsidR="00955A7E" w:rsidRPr="006D471E">
        <w:t>.</w:t>
      </w:r>
      <w:r w:rsidR="00955A7E" w:rsidRPr="006D471E">
        <w:tab/>
        <w:t>Stresses that effective investment in healthcare, including health research and disease prevention, is essential for providing citizens with equal access to high</w:t>
      </w:r>
      <w:r w:rsidR="002144DA">
        <w:t>-</w:t>
      </w:r>
      <w:r w:rsidR="00955A7E" w:rsidRPr="006D471E">
        <w:t xml:space="preserve">quality healthcare services; </w:t>
      </w:r>
      <w:r w:rsidR="006C17D7">
        <w:t>u</w:t>
      </w:r>
      <w:r w:rsidR="00955A7E" w:rsidRPr="006D471E">
        <w:t>nderlines the importance of the sustainability of the healthcare sector;</w:t>
      </w:r>
    </w:p>
    <w:p w14:paraId="20ADDEB2" w14:textId="7D83CE12" w:rsidR="00955A7E" w:rsidRPr="00E96130" w:rsidRDefault="00470335" w:rsidP="008C7DA0">
      <w:pPr>
        <w:pStyle w:val="Normal12Hanging"/>
      </w:pPr>
      <w:r w:rsidDel="00470335">
        <w:t xml:space="preserve"> </w:t>
      </w:r>
      <w:r w:rsidR="00A24261">
        <w:t>1</w:t>
      </w:r>
      <w:r w:rsidR="00D564A9">
        <w:t>5</w:t>
      </w:r>
      <w:r w:rsidR="00955A7E" w:rsidRPr="00E96130">
        <w:t>.</w:t>
      </w:r>
      <w:r w:rsidR="00955A7E" w:rsidRPr="00E96130">
        <w:tab/>
        <w:t>Underlines the importance of structured and systematic dialogue with civil society at national level with a view to increasing ownership</w:t>
      </w:r>
      <w:r w:rsidR="006C17D7">
        <w:t>;</w:t>
      </w:r>
      <w:r w:rsidR="00955A7E" w:rsidRPr="00E96130">
        <w:t xml:space="preserve"> </w:t>
      </w:r>
      <w:r w:rsidR="006C17D7">
        <w:t>b</w:t>
      </w:r>
      <w:r w:rsidR="00955A7E" w:rsidRPr="006D471E">
        <w:t xml:space="preserve">elieves that the Commission should gather input from a broad range of stakeholders and ensure more publicity around the </w:t>
      </w:r>
      <w:r w:rsidR="002144DA" w:rsidRPr="002144DA">
        <w:t>country-specific recommendations</w:t>
      </w:r>
      <w:r w:rsidR="002144DA">
        <w:t xml:space="preserve"> (</w:t>
      </w:r>
      <w:r w:rsidR="00955A7E" w:rsidRPr="006D471E">
        <w:t>CSRs</w:t>
      </w:r>
      <w:r w:rsidR="002144DA">
        <w:t>)</w:t>
      </w:r>
      <w:r w:rsidR="00955A7E" w:rsidRPr="006D471E">
        <w:t xml:space="preserve"> and country reports, including through more discussions at </w:t>
      </w:r>
      <w:r w:rsidR="002144DA">
        <w:t xml:space="preserve">a </w:t>
      </w:r>
      <w:r w:rsidR="00955A7E" w:rsidRPr="006D471E">
        <w:t>higher political level</w:t>
      </w:r>
      <w:r w:rsidR="006C17D7">
        <w:t>;</w:t>
      </w:r>
    </w:p>
    <w:p w14:paraId="7B64DE14" w14:textId="36025A12" w:rsidR="00955A7E" w:rsidRPr="006D471E" w:rsidRDefault="00A24261" w:rsidP="00955A7E">
      <w:pPr>
        <w:pStyle w:val="Normal12Hanging"/>
      </w:pPr>
      <w:r>
        <w:t>1</w:t>
      </w:r>
      <w:r w:rsidR="00D564A9">
        <w:t>6</w:t>
      </w:r>
      <w:r w:rsidR="00955A7E" w:rsidRPr="006D471E">
        <w:t>.</w:t>
      </w:r>
      <w:r w:rsidR="00955A7E" w:rsidRPr="006D471E">
        <w:tab/>
        <w:t xml:space="preserve">Calls on the Commission to give a territorial dimension to the European </w:t>
      </w:r>
      <w:r w:rsidR="002144DA">
        <w:t>S</w:t>
      </w:r>
      <w:r w:rsidR="00955A7E" w:rsidRPr="006D471E">
        <w:t>emester at both analytic</w:t>
      </w:r>
      <w:r w:rsidR="002144DA">
        <w:t>al</w:t>
      </w:r>
      <w:r w:rsidR="00955A7E" w:rsidRPr="006D471E">
        <w:t xml:space="preserve"> and operational level; considers, furthermore, that in order to ensure the effective management of structural policies, regional and local authorities must be involved in drawing up and taking decisions on these policies </w:t>
      </w:r>
      <w:r w:rsidR="002144DA">
        <w:t>by means of</w:t>
      </w:r>
      <w:r w:rsidR="002144DA" w:rsidRPr="006D471E">
        <w:t xml:space="preserve"> </w:t>
      </w:r>
      <w:r w:rsidR="00955A7E" w:rsidRPr="006D471E">
        <w:t>a top-down mixed planning process and vice versa;</w:t>
      </w:r>
    </w:p>
    <w:p w14:paraId="4B2026EE" w14:textId="32B55EC9" w:rsidR="00955A7E" w:rsidRDefault="00A24261" w:rsidP="00955A7E">
      <w:pPr>
        <w:pStyle w:val="Normal12Hanging"/>
      </w:pPr>
      <w:r>
        <w:t>1</w:t>
      </w:r>
      <w:r w:rsidR="00D564A9">
        <w:t>7</w:t>
      </w:r>
      <w:r w:rsidR="00955A7E" w:rsidRPr="006D471E">
        <w:t>.</w:t>
      </w:r>
      <w:r w:rsidR="00955A7E" w:rsidRPr="006D471E">
        <w:tab/>
        <w:t>Calls for structured involvement of civil society and environmental organisations within the European Semester process, and for greater involvement of environment ministers within the European Semester process at Council level</w:t>
      </w:r>
      <w:r w:rsidR="006C17D7">
        <w:t>;</w:t>
      </w:r>
    </w:p>
    <w:p w14:paraId="42AD395C" w14:textId="337ACEB1" w:rsidR="00E96130" w:rsidRPr="006D471E" w:rsidRDefault="00A24261" w:rsidP="00E96130">
      <w:pPr>
        <w:pStyle w:val="Normal12Hanging"/>
      </w:pPr>
      <w:r>
        <w:t>1</w:t>
      </w:r>
      <w:r w:rsidR="00D564A9">
        <w:t>8</w:t>
      </w:r>
      <w:r w:rsidR="00E96130" w:rsidRPr="006D471E">
        <w:t>.</w:t>
      </w:r>
      <w:r w:rsidR="00E96130" w:rsidRPr="006D471E">
        <w:tab/>
        <w:t>Calls for greater coherence with other EU polices, such as those related to climate change and unsustainable exploitation of natural resources;</w:t>
      </w:r>
    </w:p>
    <w:p w14:paraId="2ACDC25E" w14:textId="389C3B3A" w:rsidR="00E96130" w:rsidRPr="006D471E" w:rsidRDefault="00D564A9" w:rsidP="00E96130">
      <w:pPr>
        <w:pStyle w:val="Normal12Hanging"/>
      </w:pPr>
      <w:r>
        <w:t>19</w:t>
      </w:r>
      <w:r w:rsidR="00E96130" w:rsidRPr="006D471E">
        <w:t>.</w:t>
      </w:r>
      <w:r w:rsidR="00E96130" w:rsidRPr="006D471E">
        <w:tab/>
        <w:t xml:space="preserve">Stresses the need to strengthen the European common response capacity to disasters such as drought in southern European countries, catastrophic floods, forest fires and earthquakes; stresses the need to encourage greater cooperation on the advanced planning of European disaster-response operations by, among other measures, mapping Member States’ assets, drawing up contingency plans and improving risk-management </w:t>
      </w:r>
      <w:r w:rsidR="00E96130" w:rsidRPr="006D471E">
        <w:lastRenderedPageBreak/>
        <w:t>planning.</w:t>
      </w:r>
    </w:p>
    <w:p w14:paraId="32A6669E" w14:textId="77777777" w:rsidR="00A72213" w:rsidRPr="00A72213" w:rsidRDefault="00A72213" w:rsidP="008C7DA0">
      <w:pPr>
        <w:pStyle w:val="Normal12Hanging"/>
      </w:pPr>
      <w:r w:rsidRPr="00A72213">
        <w:br w:type="page"/>
      </w:r>
    </w:p>
    <w:p w14:paraId="34BB8667" w14:textId="77777777" w:rsidR="00E96130" w:rsidRDefault="00E96130" w:rsidP="006D471E">
      <w:pPr>
        <w:pStyle w:val="PageHeadingNotTOC"/>
      </w:pPr>
      <w:r>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96130" w14:paraId="0A97606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1FF071" w14:textId="77777777" w:rsidR="00E96130" w:rsidRDefault="00E96130">
            <w:pPr>
              <w:widowControl w:val="0"/>
              <w:autoSpaceDE w:val="0"/>
              <w:autoSpaceDN w:val="0"/>
              <w:adjustRightInd w:val="0"/>
              <w:rPr>
                <w:b/>
                <w:bCs/>
                <w:color w:val="000000"/>
                <w:sz w:val="20"/>
                <w:szCs w:val="20"/>
              </w:rPr>
            </w:pPr>
            <w:r>
              <w:rPr>
                <w:b/>
                <w:bCs/>
                <w:color w:val="000000"/>
                <w:sz w:val="20"/>
                <w:szCs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57DC6A" w14:textId="77777777" w:rsidR="00E96130" w:rsidRDefault="00E96130">
            <w:pPr>
              <w:widowControl w:val="0"/>
              <w:autoSpaceDE w:val="0"/>
              <w:autoSpaceDN w:val="0"/>
              <w:adjustRightInd w:val="0"/>
              <w:rPr>
                <w:color w:val="000000"/>
                <w:sz w:val="20"/>
                <w:szCs w:val="20"/>
              </w:rPr>
            </w:pPr>
            <w:r>
              <w:rPr>
                <w:color w:val="000000"/>
                <w:sz w:val="20"/>
                <w:szCs w:val="20"/>
              </w:rPr>
              <w:t>29.1.2019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AFC5A5" w14:textId="77777777" w:rsidR="00E96130" w:rsidRDefault="00E9613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3E1D97" w14:textId="77777777" w:rsidR="00E96130" w:rsidRDefault="00E96130">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01EABE" w14:textId="77777777" w:rsidR="00E96130" w:rsidRDefault="00E96130">
            <w:pPr>
              <w:widowControl w:val="0"/>
              <w:autoSpaceDE w:val="0"/>
              <w:autoSpaceDN w:val="0"/>
              <w:adjustRightInd w:val="0"/>
              <w:rPr>
                <w:rFonts w:ascii="sans-serif" w:hAnsi="sans-serif" w:cs="sans-serif"/>
                <w:color w:val="000000"/>
              </w:rPr>
            </w:pPr>
          </w:p>
        </w:tc>
      </w:tr>
      <w:tr w:rsidR="00E96130" w14:paraId="7AEF1B2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5A200A" w14:textId="77777777" w:rsidR="00E96130" w:rsidRDefault="00E96130">
            <w:pPr>
              <w:widowControl w:val="0"/>
              <w:autoSpaceDE w:val="0"/>
              <w:autoSpaceDN w:val="0"/>
              <w:adjustRightInd w:val="0"/>
              <w:rPr>
                <w:b/>
                <w:bCs/>
                <w:color w:val="000000"/>
                <w:sz w:val="20"/>
                <w:szCs w:val="20"/>
              </w:rPr>
            </w:pPr>
            <w:r>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8C0A8E" w14:textId="77777777" w:rsidR="00E96130" w:rsidRDefault="00E96130">
            <w:pPr>
              <w:widowControl w:val="0"/>
              <w:autoSpaceDE w:val="0"/>
              <w:autoSpaceDN w:val="0"/>
              <w:adjustRightInd w:val="0"/>
              <w:rPr>
                <w:color w:val="000000"/>
                <w:sz w:val="20"/>
                <w:szCs w:val="20"/>
              </w:rPr>
            </w:pPr>
            <w:r>
              <w:rPr>
                <w:color w:val="000000"/>
                <w:sz w:val="20"/>
                <w:szCs w:val="20"/>
              </w:rPr>
              <w:t>+:</w:t>
            </w:r>
          </w:p>
          <w:p w14:paraId="0F7DCB39" w14:textId="77777777" w:rsidR="00E96130" w:rsidRDefault="00E96130">
            <w:pPr>
              <w:widowControl w:val="0"/>
              <w:autoSpaceDE w:val="0"/>
              <w:autoSpaceDN w:val="0"/>
              <w:adjustRightInd w:val="0"/>
              <w:rPr>
                <w:color w:val="000000"/>
                <w:sz w:val="20"/>
                <w:szCs w:val="20"/>
              </w:rPr>
            </w:pPr>
            <w:r>
              <w:rPr>
                <w:color w:val="000000"/>
                <w:sz w:val="20"/>
                <w:szCs w:val="20"/>
              </w:rPr>
              <w:t>–:</w:t>
            </w:r>
          </w:p>
          <w:p w14:paraId="67E9F0D1" w14:textId="77777777" w:rsidR="00E96130" w:rsidRDefault="00E96130">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C87B16" w14:textId="77777777" w:rsidR="00E96130" w:rsidRDefault="00E96130">
            <w:pPr>
              <w:widowControl w:val="0"/>
              <w:autoSpaceDE w:val="0"/>
              <w:autoSpaceDN w:val="0"/>
              <w:adjustRightInd w:val="0"/>
              <w:rPr>
                <w:color w:val="000000"/>
                <w:sz w:val="20"/>
                <w:szCs w:val="20"/>
              </w:rPr>
            </w:pPr>
            <w:r>
              <w:rPr>
                <w:color w:val="000000"/>
                <w:sz w:val="20"/>
                <w:szCs w:val="20"/>
              </w:rPr>
              <w:t>43</w:t>
            </w:r>
          </w:p>
          <w:p w14:paraId="6A26C9D1" w14:textId="77777777" w:rsidR="00E96130" w:rsidRDefault="00E96130">
            <w:pPr>
              <w:widowControl w:val="0"/>
              <w:autoSpaceDE w:val="0"/>
              <w:autoSpaceDN w:val="0"/>
              <w:adjustRightInd w:val="0"/>
              <w:rPr>
                <w:color w:val="000000"/>
                <w:sz w:val="20"/>
                <w:szCs w:val="20"/>
              </w:rPr>
            </w:pPr>
            <w:r>
              <w:rPr>
                <w:color w:val="000000"/>
                <w:sz w:val="20"/>
                <w:szCs w:val="20"/>
              </w:rPr>
              <w:t>8</w:t>
            </w:r>
          </w:p>
          <w:p w14:paraId="6D19340F" w14:textId="77777777" w:rsidR="00E96130" w:rsidRDefault="00E96130">
            <w:pPr>
              <w:widowControl w:val="0"/>
              <w:autoSpaceDE w:val="0"/>
              <w:autoSpaceDN w:val="0"/>
              <w:adjustRightInd w:val="0"/>
              <w:rPr>
                <w:color w:val="000000"/>
                <w:sz w:val="20"/>
                <w:szCs w:val="20"/>
              </w:rPr>
            </w:pPr>
            <w:r>
              <w:rPr>
                <w:color w:val="000000"/>
                <w:sz w:val="20"/>
                <w:szCs w:val="20"/>
              </w:rPr>
              <w:t>2</w:t>
            </w:r>
          </w:p>
        </w:tc>
      </w:tr>
      <w:tr w:rsidR="00E96130" w14:paraId="2F38B2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F2BE1B" w14:textId="77777777" w:rsidR="00E96130" w:rsidRDefault="00E96130">
            <w:pPr>
              <w:widowControl w:val="0"/>
              <w:autoSpaceDE w:val="0"/>
              <w:autoSpaceDN w:val="0"/>
              <w:adjustRightInd w:val="0"/>
              <w:rPr>
                <w:b/>
                <w:bCs/>
                <w:color w:val="000000"/>
                <w:sz w:val="20"/>
                <w:szCs w:val="20"/>
              </w:rPr>
            </w:pPr>
            <w:r>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73D82B" w14:textId="77777777" w:rsidR="00E96130" w:rsidRDefault="00E96130">
            <w:pPr>
              <w:widowControl w:val="0"/>
              <w:autoSpaceDE w:val="0"/>
              <w:autoSpaceDN w:val="0"/>
              <w:adjustRightInd w:val="0"/>
              <w:rPr>
                <w:color w:val="000000"/>
                <w:sz w:val="20"/>
                <w:szCs w:val="20"/>
              </w:rPr>
            </w:pPr>
            <w:r>
              <w:rPr>
                <w:color w:val="000000"/>
                <w:sz w:val="20"/>
                <w:szCs w:val="20"/>
              </w:rPr>
              <w:t>Marco Affronte, Margrete Auken, Pilar Ayuso, Zoltán Balczó, Catherine Bearder, Ivo Belet, Paul Brannen, Soledad Cabezón Ruiz, Nessa Childers, Birgit Collin-Langen, Miriam Dalli, Seb Dance, Mark Demesmaeker, Bas Eickhout, José Inácio Faria, Francesc Gambús, Elisabetta Gardini, Gerben-Jan Gerbrandy, Jens Gieseke, Julie Girling, Sylvie Goddyn, Françoise Grossetête, Andrzej Grzyb, Jytte Guteland, Anneli Jäätteenmäki, Jean-François Jalkh, Benedek Jávor, Karin Kadenbach, Urszula Krupa, Giovanni La Via, Jo Leinen, Peter Liese, Valentinas Mazuronis, Susanne Melior, Miroslav Mikolášik, Rory Palmer, Massimo Paolucci, Bolesław G. Piecha, John Procter, Julia Reid, Michèle Rivasi, Davor Škrlec, Renate Sommer, Ivica Tolić, Adina-Ioana Vălean, Damiano Zoffoli</w:t>
            </w:r>
          </w:p>
        </w:tc>
      </w:tr>
      <w:tr w:rsidR="00E96130" w14:paraId="572CBF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2894A4" w14:textId="77777777" w:rsidR="00E96130" w:rsidRDefault="00E96130">
            <w:pPr>
              <w:widowControl w:val="0"/>
              <w:autoSpaceDE w:val="0"/>
              <w:autoSpaceDN w:val="0"/>
              <w:adjustRightInd w:val="0"/>
              <w:rPr>
                <w:b/>
                <w:bCs/>
                <w:color w:val="000000"/>
                <w:sz w:val="20"/>
                <w:szCs w:val="20"/>
              </w:rPr>
            </w:pPr>
            <w:r>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DB1120" w14:textId="77777777" w:rsidR="00E96130" w:rsidRDefault="00E96130">
            <w:pPr>
              <w:widowControl w:val="0"/>
              <w:autoSpaceDE w:val="0"/>
              <w:autoSpaceDN w:val="0"/>
              <w:adjustRightInd w:val="0"/>
              <w:rPr>
                <w:color w:val="000000"/>
                <w:sz w:val="20"/>
                <w:szCs w:val="20"/>
              </w:rPr>
            </w:pPr>
            <w:r>
              <w:rPr>
                <w:color w:val="000000"/>
                <w:sz w:val="20"/>
                <w:szCs w:val="20"/>
              </w:rPr>
              <w:t>Herbert Dorfmann, Fredrick Federley, Christophe Hansen, Babette Winter, Carlos Zorrinho</w:t>
            </w:r>
          </w:p>
        </w:tc>
      </w:tr>
      <w:tr w:rsidR="00E96130" w14:paraId="4E3F1C0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B31202" w14:textId="77777777" w:rsidR="00E96130" w:rsidRDefault="00E96130">
            <w:pPr>
              <w:widowControl w:val="0"/>
              <w:autoSpaceDE w:val="0"/>
              <w:autoSpaceDN w:val="0"/>
              <w:adjustRightInd w:val="0"/>
              <w:rPr>
                <w:b/>
                <w:bCs/>
                <w:color w:val="000000"/>
                <w:sz w:val="20"/>
                <w:szCs w:val="20"/>
              </w:rPr>
            </w:pPr>
            <w:r>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C6C34B" w14:textId="77777777" w:rsidR="00E96130" w:rsidRDefault="00E96130">
            <w:pPr>
              <w:widowControl w:val="0"/>
              <w:autoSpaceDE w:val="0"/>
              <w:autoSpaceDN w:val="0"/>
              <w:adjustRightInd w:val="0"/>
              <w:rPr>
                <w:color w:val="000000"/>
                <w:sz w:val="20"/>
                <w:szCs w:val="20"/>
              </w:rPr>
            </w:pPr>
            <w:r>
              <w:rPr>
                <w:color w:val="000000"/>
                <w:sz w:val="20"/>
                <w:szCs w:val="20"/>
              </w:rPr>
              <w:t>José Blanco López, Andor Deli</w:t>
            </w:r>
          </w:p>
        </w:tc>
      </w:tr>
    </w:tbl>
    <w:p w14:paraId="6622A463" w14:textId="77777777" w:rsidR="00E96130" w:rsidRDefault="00E96130">
      <w:pPr>
        <w:widowControl w:val="0"/>
        <w:autoSpaceDE w:val="0"/>
        <w:autoSpaceDN w:val="0"/>
        <w:adjustRightInd w:val="0"/>
        <w:rPr>
          <w:rFonts w:ascii="Arial" w:hAnsi="Arial" w:cs="Arial"/>
        </w:rPr>
      </w:pPr>
    </w:p>
    <w:sectPr w:rsidR="00E96130" w:rsidSect="000F503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AD29" w14:textId="77777777" w:rsidR="00791BF7" w:rsidRDefault="003C4422">
      <w:r>
        <w:separator/>
      </w:r>
    </w:p>
  </w:endnote>
  <w:endnote w:type="continuationSeparator" w:id="0">
    <w:p w14:paraId="5663BBCC" w14:textId="77777777" w:rsidR="00791BF7" w:rsidRDefault="003C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453" w14:textId="7D65D54F" w:rsidR="000F5039" w:rsidRPr="00984F26" w:rsidRDefault="000F5039" w:rsidP="000F5039">
    <w:pPr>
      <w:pStyle w:val="Footer"/>
      <w:rPr>
        <w:lang w:val="it-IT"/>
      </w:rPr>
    </w:pPr>
    <w:r w:rsidRPr="00984F26">
      <w:rPr>
        <w:lang w:val="it-IT"/>
      </w:rPr>
      <w:t>PE</w:t>
    </w:r>
    <w:r w:rsidRPr="00984F26">
      <w:rPr>
        <w:rStyle w:val="HideTWBExt"/>
        <w:lang w:val="it-IT"/>
      </w:rPr>
      <w:t>&lt;NoPE&gt;</w:t>
    </w:r>
    <w:r w:rsidRPr="00984F26">
      <w:rPr>
        <w:lang w:val="it-IT"/>
      </w:rPr>
      <w:t>631.843</w:t>
    </w:r>
    <w:r w:rsidRPr="00984F26">
      <w:rPr>
        <w:rStyle w:val="HideTWBExt"/>
        <w:lang w:val="it-IT"/>
      </w:rPr>
      <w:t>&lt;/NoPE&gt;&lt;Version&gt;</w:t>
    </w:r>
    <w:r w:rsidRPr="00984F26">
      <w:rPr>
        <w:lang w:val="it-IT"/>
      </w:rPr>
      <w:t>v02-00</w:t>
    </w:r>
    <w:r w:rsidRPr="00984F26">
      <w:rPr>
        <w:rStyle w:val="HideTWBExt"/>
        <w:lang w:val="it-IT"/>
      </w:rPr>
      <w:t>&lt;/Version&gt;</w:t>
    </w:r>
    <w:r w:rsidRPr="00984F26">
      <w:rPr>
        <w:lang w:val="it-IT"/>
      </w:rPr>
      <w:tab/>
    </w:r>
    <w:r>
      <w:fldChar w:fldCharType="begin"/>
    </w:r>
    <w:r w:rsidRPr="00984F26">
      <w:rPr>
        <w:lang w:val="it-IT"/>
      </w:rPr>
      <w:instrText xml:space="preserve"> PAGE  \* MERGEFORMAT </w:instrText>
    </w:r>
    <w:r>
      <w:fldChar w:fldCharType="separate"/>
    </w:r>
    <w:r w:rsidR="008C7DA0">
      <w:rPr>
        <w:noProof/>
        <w:lang w:val="it-IT"/>
      </w:rPr>
      <w:t>6</w:t>
    </w:r>
    <w:r>
      <w:fldChar w:fldCharType="end"/>
    </w:r>
    <w:r w:rsidRPr="00984F26">
      <w:rPr>
        <w:lang w:val="it-IT"/>
      </w:rPr>
      <w:t>/</w:t>
    </w:r>
    <w:r w:rsidR="007856B3">
      <w:rPr>
        <w:noProof/>
      </w:rPr>
      <w:fldChar w:fldCharType="begin"/>
    </w:r>
    <w:r w:rsidR="007856B3" w:rsidRPr="00984F26">
      <w:rPr>
        <w:noProof/>
        <w:lang w:val="it-IT"/>
      </w:rPr>
      <w:instrText xml:space="preserve"> NUMPAGES  \* MERGEFORMAT </w:instrText>
    </w:r>
    <w:r w:rsidR="007856B3">
      <w:rPr>
        <w:noProof/>
      </w:rPr>
      <w:fldChar w:fldCharType="separate"/>
    </w:r>
    <w:r w:rsidR="008C7DA0">
      <w:rPr>
        <w:noProof/>
        <w:lang w:val="it-IT"/>
      </w:rPr>
      <w:t>6</w:t>
    </w:r>
    <w:r w:rsidR="007856B3">
      <w:rPr>
        <w:noProof/>
      </w:rPr>
      <w:fldChar w:fldCharType="end"/>
    </w:r>
    <w:r w:rsidRPr="00984F26">
      <w:rPr>
        <w:lang w:val="it-IT"/>
      </w:rPr>
      <w:tab/>
    </w:r>
    <w:r w:rsidRPr="00984F26">
      <w:rPr>
        <w:rStyle w:val="HideTWBExt"/>
        <w:lang w:val="it-IT"/>
      </w:rPr>
      <w:t>&lt;PathFdR&gt;</w:t>
    </w:r>
    <w:r w:rsidRPr="00984F26">
      <w:rPr>
        <w:lang w:val="it-IT"/>
      </w:rPr>
      <w:t>AD\1175255</w:t>
    </w:r>
    <w:r w:rsidR="008C7DA0">
      <w:rPr>
        <w:lang w:val="it-IT"/>
      </w:rPr>
      <w:t>EN</w:t>
    </w:r>
    <w:r w:rsidRPr="00984F26">
      <w:rPr>
        <w:lang w:val="it-IT"/>
      </w:rPr>
      <w:t>.docx</w:t>
    </w:r>
    <w:r w:rsidRPr="00984F26">
      <w:rPr>
        <w:rStyle w:val="HideTWBExt"/>
        <w:lang w:val="it-IT"/>
      </w:rPr>
      <w:t>&lt;/PathFdR&gt;</w:t>
    </w:r>
  </w:p>
  <w:p w14:paraId="5F8F11EC" w14:textId="1088A812" w:rsidR="004B1DCD" w:rsidRDefault="008C7DA0" w:rsidP="000F5039">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8637" w14:textId="1DB485C5" w:rsidR="000F5039" w:rsidRPr="00984F26" w:rsidRDefault="000F5039" w:rsidP="000F5039">
    <w:pPr>
      <w:pStyle w:val="Footer"/>
      <w:rPr>
        <w:lang w:val="it-IT"/>
      </w:rPr>
    </w:pPr>
    <w:r w:rsidRPr="00984F26">
      <w:rPr>
        <w:rStyle w:val="HideTWBExt"/>
        <w:lang w:val="it-IT"/>
      </w:rPr>
      <w:t>&lt;PathFdR&gt;</w:t>
    </w:r>
    <w:r w:rsidRPr="00984F26">
      <w:rPr>
        <w:lang w:val="it-IT"/>
      </w:rPr>
      <w:t>AD\1175255</w:t>
    </w:r>
    <w:r w:rsidR="008C7DA0">
      <w:rPr>
        <w:lang w:val="it-IT"/>
      </w:rPr>
      <w:t>EN</w:t>
    </w:r>
    <w:r w:rsidRPr="00984F26">
      <w:rPr>
        <w:lang w:val="it-IT"/>
      </w:rPr>
      <w:t>.docx</w:t>
    </w:r>
    <w:r w:rsidRPr="00984F26">
      <w:rPr>
        <w:rStyle w:val="HideTWBExt"/>
        <w:lang w:val="it-IT"/>
      </w:rPr>
      <w:t>&lt;/PathFdR&gt;</w:t>
    </w:r>
    <w:r w:rsidRPr="00984F26">
      <w:rPr>
        <w:lang w:val="it-IT"/>
      </w:rPr>
      <w:tab/>
    </w:r>
    <w:r>
      <w:fldChar w:fldCharType="begin"/>
    </w:r>
    <w:r w:rsidRPr="00984F26">
      <w:rPr>
        <w:lang w:val="it-IT"/>
      </w:rPr>
      <w:instrText xml:space="preserve"> PAGE  \* MERGEFORMAT </w:instrText>
    </w:r>
    <w:r>
      <w:fldChar w:fldCharType="separate"/>
    </w:r>
    <w:r w:rsidR="008C7DA0">
      <w:rPr>
        <w:noProof/>
        <w:lang w:val="it-IT"/>
      </w:rPr>
      <w:t>5</w:t>
    </w:r>
    <w:r>
      <w:fldChar w:fldCharType="end"/>
    </w:r>
    <w:r w:rsidRPr="00984F26">
      <w:rPr>
        <w:lang w:val="it-IT"/>
      </w:rPr>
      <w:t>/</w:t>
    </w:r>
    <w:r w:rsidR="007856B3">
      <w:rPr>
        <w:noProof/>
      </w:rPr>
      <w:fldChar w:fldCharType="begin"/>
    </w:r>
    <w:r w:rsidR="007856B3" w:rsidRPr="00984F26">
      <w:rPr>
        <w:noProof/>
        <w:lang w:val="it-IT"/>
      </w:rPr>
      <w:instrText xml:space="preserve"> NUMPAGES  \* MERGEFORMAT </w:instrText>
    </w:r>
    <w:r w:rsidR="007856B3">
      <w:rPr>
        <w:noProof/>
      </w:rPr>
      <w:fldChar w:fldCharType="separate"/>
    </w:r>
    <w:r w:rsidR="008C7DA0">
      <w:rPr>
        <w:noProof/>
        <w:lang w:val="it-IT"/>
      </w:rPr>
      <w:t>6</w:t>
    </w:r>
    <w:r w:rsidR="007856B3">
      <w:rPr>
        <w:noProof/>
      </w:rPr>
      <w:fldChar w:fldCharType="end"/>
    </w:r>
    <w:r w:rsidRPr="00984F26">
      <w:rPr>
        <w:lang w:val="it-IT"/>
      </w:rPr>
      <w:tab/>
      <w:t>PE</w:t>
    </w:r>
    <w:r w:rsidRPr="00984F26">
      <w:rPr>
        <w:rStyle w:val="HideTWBExt"/>
        <w:lang w:val="it-IT"/>
      </w:rPr>
      <w:t>&lt;NoPE&gt;</w:t>
    </w:r>
    <w:r w:rsidRPr="00984F26">
      <w:rPr>
        <w:lang w:val="it-IT"/>
      </w:rPr>
      <w:t>631.843</w:t>
    </w:r>
    <w:r w:rsidRPr="00984F26">
      <w:rPr>
        <w:rStyle w:val="HideTWBExt"/>
        <w:lang w:val="it-IT"/>
      </w:rPr>
      <w:t>&lt;/NoPE&gt;&lt;Version&gt;</w:t>
    </w:r>
    <w:r w:rsidRPr="00984F26">
      <w:rPr>
        <w:lang w:val="it-IT"/>
      </w:rPr>
      <w:t>v02-00</w:t>
    </w:r>
    <w:r w:rsidRPr="00984F26">
      <w:rPr>
        <w:rStyle w:val="HideTWBExt"/>
        <w:lang w:val="it-IT"/>
      </w:rPr>
      <w:t>&lt;/Version&gt;</w:t>
    </w:r>
  </w:p>
  <w:p w14:paraId="180BF780" w14:textId="7E082778" w:rsidR="004B1DCD" w:rsidRDefault="000F5039" w:rsidP="000F5039">
    <w:pPr>
      <w:pStyle w:val="Footer2"/>
    </w:pPr>
    <w:r w:rsidRPr="00984F26">
      <w:rPr>
        <w:lang w:val="it-IT"/>
      </w:rPr>
      <w:tab/>
    </w:r>
    <w:r w:rsidR="008C7DA0">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B332" w14:textId="15723463" w:rsidR="000F5039" w:rsidRPr="00984F26" w:rsidRDefault="000F5039" w:rsidP="000F5039">
    <w:pPr>
      <w:pStyle w:val="Footer"/>
      <w:rPr>
        <w:lang w:val="it-IT"/>
      </w:rPr>
    </w:pPr>
    <w:r w:rsidRPr="00984F26">
      <w:rPr>
        <w:rStyle w:val="HideTWBExt"/>
        <w:lang w:val="it-IT"/>
      </w:rPr>
      <w:t>&lt;PathFdR&gt;</w:t>
    </w:r>
    <w:r w:rsidRPr="00984F26">
      <w:rPr>
        <w:lang w:val="it-IT"/>
      </w:rPr>
      <w:t>AD\1175255</w:t>
    </w:r>
    <w:r w:rsidR="008C7DA0">
      <w:rPr>
        <w:lang w:val="it-IT"/>
      </w:rPr>
      <w:t>EN</w:t>
    </w:r>
    <w:r w:rsidRPr="00984F26">
      <w:rPr>
        <w:lang w:val="it-IT"/>
      </w:rPr>
      <w:t>.docx</w:t>
    </w:r>
    <w:r w:rsidRPr="00984F26">
      <w:rPr>
        <w:rStyle w:val="HideTWBExt"/>
        <w:lang w:val="it-IT"/>
      </w:rPr>
      <w:t>&lt;/PathFdR&gt;</w:t>
    </w:r>
    <w:r w:rsidRPr="00984F26">
      <w:rPr>
        <w:lang w:val="it-IT"/>
      </w:rPr>
      <w:tab/>
    </w:r>
    <w:r w:rsidRPr="00984F26">
      <w:rPr>
        <w:lang w:val="it-IT"/>
      </w:rPr>
      <w:tab/>
      <w:t>PE</w:t>
    </w:r>
    <w:r w:rsidRPr="00984F26">
      <w:rPr>
        <w:rStyle w:val="HideTWBExt"/>
        <w:lang w:val="it-IT"/>
      </w:rPr>
      <w:t>&lt;NoPE&gt;</w:t>
    </w:r>
    <w:r w:rsidRPr="00984F26">
      <w:rPr>
        <w:lang w:val="it-IT"/>
      </w:rPr>
      <w:t>631.843</w:t>
    </w:r>
    <w:r w:rsidRPr="00984F26">
      <w:rPr>
        <w:rStyle w:val="HideTWBExt"/>
        <w:lang w:val="it-IT"/>
      </w:rPr>
      <w:t>&lt;/NoPE&gt;&lt;Version&gt;</w:t>
    </w:r>
    <w:r w:rsidRPr="00984F26">
      <w:rPr>
        <w:lang w:val="it-IT"/>
      </w:rPr>
      <w:t>v02-00</w:t>
    </w:r>
    <w:r w:rsidRPr="00984F26">
      <w:rPr>
        <w:rStyle w:val="HideTWBExt"/>
        <w:lang w:val="it-IT"/>
      </w:rPr>
      <w:t>&lt;/Version&gt;</w:t>
    </w:r>
  </w:p>
  <w:p w14:paraId="1A5D4621" w14:textId="5E469D26" w:rsidR="004B1DCD" w:rsidRDefault="008C7DA0" w:rsidP="000F5039">
    <w:pPr>
      <w:pStyle w:val="Footer2"/>
      <w:tabs>
        <w:tab w:val="center" w:pos="4535"/>
      </w:tabs>
    </w:pPr>
    <w:r>
      <w:t>EN</w:t>
    </w:r>
    <w:r w:rsidR="000F5039">
      <w:tab/>
    </w:r>
    <w:r w:rsidR="000F5039" w:rsidRPr="000F5039">
      <w:rPr>
        <w:b w:val="0"/>
        <w:i/>
        <w:color w:val="C0C0C0"/>
        <w:sz w:val="22"/>
      </w:rPr>
      <w:t>United in diversity</w:t>
    </w:r>
    <w:r w:rsidR="000F5039">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CCC0F" w14:textId="77777777" w:rsidR="00791BF7" w:rsidRDefault="003C4422">
      <w:r>
        <w:separator/>
      </w:r>
    </w:p>
  </w:footnote>
  <w:footnote w:type="continuationSeparator" w:id="0">
    <w:p w14:paraId="154F948E" w14:textId="77777777" w:rsidR="00791BF7" w:rsidRDefault="003C4422">
      <w:r>
        <w:continuationSeparator/>
      </w:r>
    </w:p>
  </w:footnote>
  <w:footnote w:id="1">
    <w:p w14:paraId="44FD030C" w14:textId="77777777" w:rsidR="008C7DA0" w:rsidRDefault="008C7DA0" w:rsidP="008C7DA0">
      <w:pPr>
        <w:pStyle w:val="FootnoteText"/>
      </w:pPr>
      <w:r w:rsidRPr="008C7DA0">
        <w:rPr>
          <w:rStyle w:val="FootnoteReference"/>
        </w:rPr>
        <w:footnoteRef/>
      </w:r>
      <w:r w:rsidRPr="008C7DA0">
        <w:rPr>
          <w:rStyle w:val="FootnoteReference"/>
        </w:rPr>
        <w:t xml:space="preserve"> </w:t>
      </w:r>
      <w:r w:rsidRPr="00EB0C1D">
        <w:t>Regulation (EU) 2018/1999 of the European Parliament and of the Council of 11 December 2018 on the Governance of the Energy Union and Climate Action</w:t>
      </w:r>
      <w:r>
        <w:t xml:space="preserve">, </w:t>
      </w:r>
      <w:r w:rsidRPr="00EB0C1D">
        <w:t>OJ L 328, 21.12.2018, p.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822E" w14:textId="77777777" w:rsidR="007856B3" w:rsidRDefault="00785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5CCC" w14:textId="77777777" w:rsidR="007856B3" w:rsidRDefault="00785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E602" w14:textId="77777777" w:rsidR="007856B3" w:rsidRDefault="00785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4A836B6"/>
    <w:lvl w:ilvl="0" w:tplc="F3DCDF16">
      <w:start w:val="1"/>
      <w:numFmt w:val="bullet"/>
      <w:pStyle w:val="Normal12Bullet1"/>
      <w:lvlText w:val=""/>
      <w:lvlJc w:val="left"/>
      <w:pPr>
        <w:ind w:left="720" w:hanging="360"/>
      </w:pPr>
      <w:rPr>
        <w:rFonts w:ascii="Symbol" w:hAnsi="Symbol" w:hint="default"/>
      </w:rPr>
    </w:lvl>
    <w:lvl w:ilvl="1" w:tplc="EA30E596" w:tentative="1">
      <w:start w:val="1"/>
      <w:numFmt w:val="bullet"/>
      <w:lvlText w:val="o"/>
      <w:lvlJc w:val="left"/>
      <w:pPr>
        <w:ind w:left="1440" w:hanging="360"/>
      </w:pPr>
      <w:rPr>
        <w:rFonts w:ascii="Courier New" w:hAnsi="Courier New" w:cs="Courier New" w:hint="default"/>
      </w:rPr>
    </w:lvl>
    <w:lvl w:ilvl="2" w:tplc="3D2299FE" w:tentative="1">
      <w:start w:val="1"/>
      <w:numFmt w:val="bullet"/>
      <w:lvlText w:val=""/>
      <w:lvlJc w:val="left"/>
      <w:pPr>
        <w:ind w:left="2160" w:hanging="360"/>
      </w:pPr>
      <w:rPr>
        <w:rFonts w:ascii="Wingdings" w:hAnsi="Wingdings" w:hint="default"/>
      </w:rPr>
    </w:lvl>
    <w:lvl w:ilvl="3" w:tplc="2FB0C330" w:tentative="1">
      <w:start w:val="1"/>
      <w:numFmt w:val="bullet"/>
      <w:lvlText w:val=""/>
      <w:lvlJc w:val="left"/>
      <w:pPr>
        <w:ind w:left="2880" w:hanging="360"/>
      </w:pPr>
      <w:rPr>
        <w:rFonts w:ascii="Symbol" w:hAnsi="Symbol" w:hint="default"/>
      </w:rPr>
    </w:lvl>
    <w:lvl w:ilvl="4" w:tplc="880A6E84" w:tentative="1">
      <w:start w:val="1"/>
      <w:numFmt w:val="bullet"/>
      <w:lvlText w:val="o"/>
      <w:lvlJc w:val="left"/>
      <w:pPr>
        <w:ind w:left="3600" w:hanging="360"/>
      </w:pPr>
      <w:rPr>
        <w:rFonts w:ascii="Courier New" w:hAnsi="Courier New" w:cs="Courier New" w:hint="default"/>
      </w:rPr>
    </w:lvl>
    <w:lvl w:ilvl="5" w:tplc="547687D8" w:tentative="1">
      <w:start w:val="1"/>
      <w:numFmt w:val="bullet"/>
      <w:lvlText w:val=""/>
      <w:lvlJc w:val="left"/>
      <w:pPr>
        <w:ind w:left="4320" w:hanging="360"/>
      </w:pPr>
      <w:rPr>
        <w:rFonts w:ascii="Wingdings" w:hAnsi="Wingdings" w:hint="default"/>
      </w:rPr>
    </w:lvl>
    <w:lvl w:ilvl="6" w:tplc="137E1B62" w:tentative="1">
      <w:start w:val="1"/>
      <w:numFmt w:val="bullet"/>
      <w:lvlText w:val=""/>
      <w:lvlJc w:val="left"/>
      <w:pPr>
        <w:ind w:left="5040" w:hanging="360"/>
      </w:pPr>
      <w:rPr>
        <w:rFonts w:ascii="Symbol" w:hAnsi="Symbol" w:hint="default"/>
      </w:rPr>
    </w:lvl>
    <w:lvl w:ilvl="7" w:tplc="F0627E4A" w:tentative="1">
      <w:start w:val="1"/>
      <w:numFmt w:val="bullet"/>
      <w:lvlText w:val="o"/>
      <w:lvlJc w:val="left"/>
      <w:pPr>
        <w:ind w:left="5760" w:hanging="360"/>
      </w:pPr>
      <w:rPr>
        <w:rFonts w:ascii="Courier New" w:hAnsi="Courier New" w:cs="Courier New" w:hint="default"/>
      </w:rPr>
    </w:lvl>
    <w:lvl w:ilvl="8" w:tplc="7368BCAC" w:tentative="1">
      <w:start w:val="1"/>
      <w:numFmt w:val="bullet"/>
      <w:lvlText w:val=""/>
      <w:lvlJc w:val="left"/>
      <w:pPr>
        <w:ind w:left="6480" w:hanging="360"/>
      </w:pPr>
      <w:rPr>
        <w:rFonts w:ascii="Wingdings" w:hAnsi="Wingdings" w:hint="default"/>
      </w:rPr>
    </w:lvl>
  </w:abstractNum>
  <w:abstractNum w:abstractNumId="1" w15:restartNumberingAfterBreak="0">
    <w:nsid w:val="2CDC21B3"/>
    <w:multiLevelType w:val="hybridMultilevel"/>
    <w:tmpl w:val="E0B2C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694587"/>
    <w:multiLevelType w:val="hybridMultilevel"/>
    <w:tmpl w:val="CC02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979A4"/>
    <w:multiLevelType w:val="hybridMultilevel"/>
    <w:tmpl w:val="F22E5EA4"/>
    <w:lvl w:ilvl="0" w:tplc="CE78875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B7A24"/>
    <w:multiLevelType w:val="hybridMultilevel"/>
    <w:tmpl w:val="C9F2CC0C"/>
    <w:lvl w:ilvl="0" w:tplc="62CEF0C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LastEditedSection" w:val=" 1"/>
    <w:docVar w:name="strDocTypeID" w:val="PA_NonLeg"/>
    <w:docVar w:name="strSubDir" w:val="1175"/>
    <w:docVar w:name="TXTLANGUE" w:val="EN"/>
    <w:docVar w:name="TXTLANGUEMIN" w:val="en"/>
    <w:docVar w:name="TXTNRPE" w:val="631.843"/>
    <w:docVar w:name="TXTPEorAP" w:val="PE"/>
    <w:docVar w:name="TXTROUTE" w:val="AD\1175255XT.docx"/>
    <w:docVar w:name="TXTVERSION" w:val="02-00"/>
  </w:docVars>
  <w:rsids>
    <w:rsidRoot w:val="004B1DCD"/>
    <w:rsid w:val="000277F6"/>
    <w:rsid w:val="000F5039"/>
    <w:rsid w:val="001202E5"/>
    <w:rsid w:val="00125DE1"/>
    <w:rsid w:val="002144DA"/>
    <w:rsid w:val="002A66D4"/>
    <w:rsid w:val="002D6E94"/>
    <w:rsid w:val="003C193F"/>
    <w:rsid w:val="003C4422"/>
    <w:rsid w:val="00436057"/>
    <w:rsid w:val="00470335"/>
    <w:rsid w:val="004B1DCD"/>
    <w:rsid w:val="0050781D"/>
    <w:rsid w:val="005123FA"/>
    <w:rsid w:val="005504DB"/>
    <w:rsid w:val="005A2724"/>
    <w:rsid w:val="006A4638"/>
    <w:rsid w:val="006C17D7"/>
    <w:rsid w:val="006D471E"/>
    <w:rsid w:val="006D5F92"/>
    <w:rsid w:val="007856B3"/>
    <w:rsid w:val="00791BF7"/>
    <w:rsid w:val="007B69A1"/>
    <w:rsid w:val="008C7DA0"/>
    <w:rsid w:val="00955A7E"/>
    <w:rsid w:val="009767B3"/>
    <w:rsid w:val="00984F26"/>
    <w:rsid w:val="00A24261"/>
    <w:rsid w:val="00A623AC"/>
    <w:rsid w:val="00A72213"/>
    <w:rsid w:val="00AE0A7E"/>
    <w:rsid w:val="00B00B77"/>
    <w:rsid w:val="00C0177F"/>
    <w:rsid w:val="00D564A9"/>
    <w:rsid w:val="00E477DD"/>
    <w:rsid w:val="00E709B9"/>
    <w:rsid w:val="00E96130"/>
    <w:rsid w:val="00EB0C1D"/>
    <w:rsid w:val="00F07D9C"/>
    <w:rsid w:val="00F41B9B"/>
    <w:rsid w:val="00FE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3259"/>
  <w15:docId w15:val="{6F420009-3F27-4BE2-BDEF-F8317DD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qFormat/>
    <w:rsid w:val="006000EA"/>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rial14CentreBold">
    <w:name w:val="Arial14CentreBold"/>
    <w:basedOn w:val="Normal"/>
    <w:qFormat/>
    <w:rsid w:val="00574CE7"/>
    <w:pPr>
      <w:widowControl w:val="0"/>
      <w:jc w:val="center"/>
    </w:pPr>
    <w:rPr>
      <w:rFonts w:ascii="Arial" w:hAnsi="Arial"/>
      <w:b/>
      <w:sz w:val="28"/>
    </w:rPr>
  </w:style>
  <w:style w:type="character" w:customStyle="1" w:styleId="Bold">
    <w:name w:val="Bold"/>
    <w:uiPriority w:val="1"/>
    <w:qFormat/>
    <w:rsid w:val="00BD2A84"/>
    <w:rPr>
      <w:b/>
    </w:rPr>
  </w:style>
  <w:style w:type="character" w:customStyle="1" w:styleId="BoldItalic">
    <w:name w:val="BoldItalic"/>
    <w:uiPriority w:val="1"/>
    <w:qFormat/>
    <w:rsid w:val="00141754"/>
    <w:rPr>
      <w:rFonts w:ascii="Times New Roman" w:hAnsi="Times New Roman"/>
      <w:b/>
      <w:i/>
      <w:sz w:val="24"/>
      <w:u w:val="none"/>
    </w:rPr>
  </w:style>
  <w:style w:type="paragraph" w:customStyle="1" w:styleId="ColumnHeading">
    <w:name w:val="ColumnHeading"/>
    <w:basedOn w:val="Normal"/>
    <w:qFormat/>
    <w:rsid w:val="009B44F6"/>
    <w:pPr>
      <w:widowControl w:val="0"/>
      <w:spacing w:after="240"/>
      <w:jc w:val="center"/>
    </w:pPr>
    <w:rPr>
      <w:i/>
    </w:rPr>
  </w:style>
  <w:style w:type="paragraph" w:customStyle="1" w:styleId="Cover12">
    <w:name w:val="Cover12"/>
    <w:pPr>
      <w:widowControl w:val="0"/>
      <w:spacing w:after="240"/>
      <w:ind w:left="1418"/>
    </w:pPr>
    <w:rPr>
      <w:sz w:val="24"/>
    </w:rPr>
  </w:style>
  <w:style w:type="paragraph" w:customStyle="1" w:styleId="Cover12b48">
    <w:name w:val="Cover12b48"/>
    <w:qFormat/>
    <w:rsid w:val="00BD050A"/>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Leftb48">
    <w:name w:val="CoverLeftb48"/>
    <w:qFormat/>
    <w:rsid w:val="009A66AA"/>
    <w:pPr>
      <w:widowControl w:val="0"/>
      <w:spacing w:before="960"/>
      <w:ind w:left="1418"/>
    </w:pPr>
    <w:rPr>
      <w:sz w:val="24"/>
    </w:rPr>
  </w:style>
  <w:style w:type="paragraph" w:customStyle="1" w:styleId="CoverNormal">
    <w:name w:val="CoverNormal"/>
    <w:basedOn w:val="Normal"/>
    <w:pPr>
      <w:widowControl w:val="0"/>
      <w:ind w:left="1418"/>
    </w:pPr>
  </w:style>
  <w:style w:type="paragraph" w:customStyle="1" w:styleId="CrossRef">
    <w:name w:val="CrossRef"/>
    <w:qFormat/>
    <w:rsid w:val="00F2340A"/>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C0596"/>
    <w:pPr>
      <w:widowControl w:val="0"/>
      <w:jc w:val="right"/>
    </w:pPr>
  </w:style>
  <w:style w:type="paragraph" w:customStyle="1" w:styleId="EPName">
    <w:name w:val="EPName"/>
    <w:basedOn w:val="Normal"/>
    <w:rsid w:val="00DC0596"/>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DC0596"/>
    <w:pPr>
      <w:widowControl w:val="0"/>
      <w:spacing w:after="80"/>
    </w:pPr>
    <w:rPr>
      <w:rFonts w:ascii="Arial" w:hAnsi="Arial" w:cs="Arial"/>
      <w:sz w:val="20"/>
      <w:szCs w:val="22"/>
      <w:lang w:val="fr-FR"/>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rsid w:val="0090262C"/>
    <w:pPr>
      <w:tabs>
        <w:tab w:val="right" w:pos="9921"/>
      </w:tabs>
      <w:spacing w:after="240"/>
      <w:ind w:left="-850" w:right="-850"/>
    </w:pPr>
    <w:rPr>
      <w:rFonts w:ascii="Arial" w:hAnsi="Arial" w:cs="Arial"/>
      <w:b/>
      <w:sz w:val="48"/>
    </w:rPr>
  </w:style>
  <w:style w:type="paragraph" w:customStyle="1" w:styleId="Footer2Landscape">
    <w:name w:val="Footer2Landscape"/>
    <w:qFormat/>
    <w:rsid w:val="00965222"/>
    <w:pPr>
      <w:tabs>
        <w:tab w:val="right" w:pos="6804"/>
        <w:tab w:val="right" w:pos="13608"/>
      </w:tabs>
      <w:spacing w:after="240"/>
      <w:ind w:left="-850" w:right="-850"/>
    </w:pPr>
    <w:rPr>
      <w:rFonts w:ascii="Arial" w:hAnsi="Arial" w:cs="Arial"/>
      <w:sz w:val="48"/>
    </w:rPr>
  </w:style>
  <w:style w:type="character" w:customStyle="1" w:styleId="Footer2Lang">
    <w:name w:val="Footer2Lang"/>
    <w:rsid w:val="0090262C"/>
    <w:rPr>
      <w:rFonts w:ascii="Arial" w:hAnsi="Arial"/>
      <w:b/>
      <w:sz w:val="48"/>
    </w:rPr>
  </w:style>
  <w:style w:type="character" w:customStyle="1" w:styleId="Footer2Middle">
    <w:name w:val="Footer2Middle"/>
    <w:rsid w:val="003F3621"/>
    <w:rPr>
      <w:rFonts w:ascii="Arial" w:hAnsi="Arial"/>
      <w:b w:val="0"/>
      <w:i/>
      <w:color w:val="BFBFBF"/>
      <w:sz w:val="22"/>
    </w:rPr>
  </w:style>
  <w:style w:type="paragraph" w:customStyle="1" w:styleId="FooterLandscape">
    <w:name w:val="FooterLandscape"/>
    <w:qFormat/>
    <w:rsid w:val="00965222"/>
    <w:pPr>
      <w:widowControl w:val="0"/>
      <w:tabs>
        <w:tab w:val="center" w:pos="6804"/>
        <w:tab w:val="right" w:pos="13608"/>
      </w:tabs>
      <w:spacing w:before="240" w:after="240"/>
    </w:pPr>
    <w:rPr>
      <w:sz w:val="22"/>
    </w:rPr>
  </w:style>
  <w:style w:type="character" w:styleId="FootnoteReference">
    <w:name w:val="footnote reference"/>
    <w:basedOn w:val="DefaultParagraphFont"/>
    <w:rsid w:val="002E7FB1"/>
    <w:rPr>
      <w:rFonts w:ascii="Times New Roman" w:hAnsi="Times New Roman"/>
      <w:sz w:val="24"/>
      <w:vertAlign w:val="superscript"/>
    </w:rPr>
  </w:style>
  <w:style w:type="paragraph" w:styleId="FootnoteText">
    <w:name w:val="footnote text"/>
    <w:basedOn w:val="Normal"/>
    <w:link w:val="FootnoteTextChar"/>
    <w:rsid w:val="00D47A73"/>
    <w:pPr>
      <w:keepLines/>
    </w:pPr>
    <w:rPr>
      <w:sz w:val="20"/>
    </w:rPr>
  </w:style>
  <w:style w:type="character" w:customStyle="1" w:styleId="FootnoteTextChar">
    <w:name w:val="Footnote Text Char"/>
    <w:basedOn w:val="DefaultParagraphFont"/>
    <w:link w:val="FootnoteText"/>
    <w:rsid w:val="00D47A73"/>
  </w:style>
  <w:style w:type="character" w:customStyle="1" w:styleId="FootnoteTextChar0">
    <w:name w:val="Footnote Text Char_0"/>
    <w:basedOn w:val="DefaultParagraphFont"/>
    <w:link w:val="FootnoteText0"/>
    <w:rsid w:val="00D47A73"/>
  </w:style>
  <w:style w:type="paragraph" w:customStyle="1" w:styleId="FootnoteText0">
    <w:name w:val="Footnote Text_0"/>
    <w:basedOn w:val="Normal"/>
    <w:link w:val="FootnoteTextChar0"/>
    <w:rsid w:val="00D47A73"/>
    <w:pPr>
      <w:keepLines/>
    </w:pPr>
    <w:rPr>
      <w:sz w:val="20"/>
    </w:rPr>
  </w:style>
  <w:style w:type="paragraph" w:customStyle="1" w:styleId="Hanging12">
    <w:name w:val="Hanging12"/>
    <w:pPr>
      <w:widowControl w:val="0"/>
      <w:tabs>
        <w:tab w:val="left" w:pos="357"/>
      </w:tabs>
      <w:spacing w:after="240"/>
      <w:ind w:left="357" w:hanging="357"/>
    </w:pPr>
    <w:rPr>
      <w:sz w:val="24"/>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141754"/>
    <w:rPr>
      <w:rFonts w:ascii="Times New Roman" w:hAnsi="Times New Roman"/>
      <w:i/>
      <w:sz w:val="24"/>
      <w:u w:val="none"/>
    </w:rPr>
  </w:style>
  <w:style w:type="paragraph" w:customStyle="1" w:styleId="Justification">
    <w:name w:val="Justification"/>
    <w:pPr>
      <w:widowControl w:val="0"/>
      <w:spacing w:after="240"/>
    </w:pPr>
    <w:rPr>
      <w:i/>
      <w:sz w:val="24"/>
    </w:rPr>
  </w:style>
  <w:style w:type="paragraph" w:customStyle="1" w:styleId="JustificationTitle">
    <w:name w:val="JustificationTitle"/>
    <w:basedOn w:val="Normal"/>
    <w:pPr>
      <w:keepNext/>
      <w:widowControl w:val="0"/>
      <w:spacing w:before="240"/>
      <w:jc w:val="center"/>
    </w:pPr>
    <w:rPr>
      <w:i/>
    </w:rPr>
  </w:style>
  <w:style w:type="paragraph" w:customStyle="1" w:styleId="LineBottom">
    <w:name w:val="LineBottom"/>
    <w:basedOn w:val="Normal"/>
    <w:next w:val="Normal"/>
    <w:rsid w:val="00700A24"/>
    <w:pPr>
      <w:widowControl w:val="0"/>
      <w:pBdr>
        <w:bottom w:val="single" w:sz="4" w:space="1" w:color="auto"/>
      </w:pBdr>
      <w:spacing w:after="840"/>
      <w:jc w:val="center"/>
    </w:pPr>
    <w:rPr>
      <w:rFonts w:ascii="Arial" w:hAnsi="Arial"/>
      <w:sz w:val="16"/>
      <w:szCs w:val="16"/>
    </w:rPr>
  </w:style>
  <w:style w:type="paragraph" w:customStyle="1" w:styleId="LineTop">
    <w:name w:val="LineTop"/>
    <w:basedOn w:val="Normal"/>
    <w:rsid w:val="00700A24"/>
    <w:pPr>
      <w:widowControl w:val="0"/>
      <w:pBdr>
        <w:top w:val="single" w:sz="4" w:space="1" w:color="auto"/>
      </w:pBdr>
      <w:jc w:val="center"/>
    </w:pPr>
    <w:rPr>
      <w:rFonts w:ascii="Arial" w:hAnsi="Arial"/>
      <w:sz w:val="16"/>
      <w:szCs w:val="16"/>
      <w:lang w:val="fr-FR"/>
    </w:rPr>
  </w:style>
  <w:style w:type="numbering" w:customStyle="1" w:styleId="NoList0">
    <w:name w:val="No List_0"/>
    <w:next w:val="NoList"/>
    <w:uiPriority w:val="99"/>
    <w:semiHidden/>
    <w:unhideWhenUsed/>
  </w:style>
  <w:style w:type="paragraph" w:customStyle="1" w:styleId="Normal0">
    <w:name w:val="Normal_0"/>
    <w:next w:val="Normal"/>
    <w:qFormat/>
    <w:rsid w:val="004229C2"/>
    <w:pPr>
      <w:widowControl w:val="0"/>
    </w:pPr>
    <w:rPr>
      <w:sz w:val="24"/>
    </w:rPr>
  </w:style>
  <w:style w:type="paragraph" w:customStyle="1" w:styleId="Normal10">
    <w:name w:val="Normal10"/>
    <w:qFormat/>
    <w:rsid w:val="00141754"/>
    <w:rPr>
      <w:szCs w:val="16"/>
    </w:rPr>
  </w:style>
  <w:style w:type="paragraph" w:customStyle="1" w:styleId="Normal10Bold">
    <w:name w:val="Normal10Bold"/>
    <w:qFormat/>
    <w:rsid w:val="00141754"/>
    <w:rPr>
      <w:b/>
      <w:szCs w:val="16"/>
    </w:rPr>
  </w:style>
  <w:style w:type="paragraph" w:customStyle="1" w:styleId="Normal11Centered">
    <w:name w:val="Normal11Centered"/>
    <w:next w:val="Normal"/>
    <w:qFormat/>
    <w:rsid w:val="008273BA"/>
    <w:pPr>
      <w:widowControl w:val="0"/>
      <w:jc w:val="center"/>
    </w:pPr>
    <w:rPr>
      <w:sz w:val="22"/>
    </w:rPr>
  </w:style>
  <w:style w:type="paragraph" w:customStyle="1" w:styleId="Normal12">
    <w:name w:val="Normal12"/>
    <w:basedOn w:val="Normal"/>
    <w:pPr>
      <w:widowControl w:val="0"/>
      <w:spacing w:after="240"/>
    </w:pPr>
  </w:style>
  <w:style w:type="paragraph" w:customStyle="1" w:styleId="Normal12Bold">
    <w:name w:val="Normal12Bold"/>
    <w:basedOn w:val="Normal"/>
    <w:pPr>
      <w:widowControl w:val="0"/>
      <w:spacing w:after="240"/>
    </w:pPr>
    <w:rPr>
      <w:b/>
      <w:noProof/>
    </w:rPr>
  </w:style>
  <w:style w:type="paragraph" w:customStyle="1" w:styleId="Normal12BoldItalic">
    <w:name w:val="Normal12BoldItalic"/>
    <w:qFormat/>
    <w:rsid w:val="00141754"/>
    <w:pPr>
      <w:widowControl w:val="0"/>
      <w:spacing w:after="240"/>
    </w:pPr>
    <w:rPr>
      <w:b/>
      <w:i/>
      <w:noProof/>
      <w:sz w:val="24"/>
    </w:rPr>
  </w:style>
  <w:style w:type="paragraph" w:customStyle="1" w:styleId="Normal12BoldVote">
    <w:name w:val="Normal12BoldVote"/>
    <w:basedOn w:val="Normal"/>
    <w:qFormat/>
    <w:rsid w:val="00574CE7"/>
    <w:pPr>
      <w:widowControl w:val="0"/>
    </w:pPr>
    <w:rPr>
      <w:b/>
    </w:rPr>
  </w:style>
  <w:style w:type="paragraph" w:customStyle="1" w:styleId="Normal12Bullet1">
    <w:name w:val="Normal12Bullet1"/>
    <w:qFormat/>
    <w:rsid w:val="00E4327D"/>
    <w:pPr>
      <w:widowControl w:val="0"/>
      <w:numPr>
        <w:numId w:val="1"/>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basedOn w:val="Normal"/>
    <w:link w:val="Normal12HangingChar"/>
    <w:rsid w:val="008915D9"/>
    <w:pPr>
      <w:widowControl w:val="0"/>
      <w:spacing w:after="240"/>
      <w:ind w:left="567" w:hanging="567"/>
    </w:pPr>
  </w:style>
  <w:style w:type="paragraph" w:customStyle="1" w:styleId="Normal12Hanging0">
    <w:name w:val="Normal12Hanging0"/>
    <w:qFormat/>
    <w:rsid w:val="003F691A"/>
    <w:pPr>
      <w:widowControl w:val="0"/>
      <w:spacing w:after="240"/>
      <w:ind w:left="567" w:hanging="567"/>
    </w:pPr>
    <w:rPr>
      <w:sz w:val="24"/>
    </w:rPr>
  </w:style>
  <w:style w:type="paragraph" w:customStyle="1" w:styleId="Normal12Hanging1">
    <w:name w:val="Normal12Hanging1"/>
    <w:qFormat/>
    <w:rsid w:val="003F691A"/>
    <w:pPr>
      <w:widowControl w:val="0"/>
      <w:spacing w:after="240"/>
      <w:ind w:left="992" w:hanging="425"/>
    </w:pPr>
    <w:rPr>
      <w:sz w:val="24"/>
    </w:rPr>
  </w:style>
  <w:style w:type="paragraph" w:customStyle="1" w:styleId="Normal12Hanging2">
    <w:name w:val="Normal12Hanging2"/>
    <w:qFormat/>
    <w:rsid w:val="003F691A"/>
    <w:pPr>
      <w:widowControl w:val="0"/>
      <w:spacing w:after="240"/>
      <w:ind w:left="1417" w:hanging="425"/>
    </w:pPr>
    <w:rPr>
      <w:sz w:val="24"/>
    </w:rPr>
  </w:style>
  <w:style w:type="paragraph" w:customStyle="1" w:styleId="Normal12Hanging3">
    <w:name w:val="Normal12Hanging3"/>
    <w:qFormat/>
    <w:rsid w:val="003F691A"/>
    <w:pPr>
      <w:widowControl w:val="0"/>
      <w:spacing w:after="240"/>
      <w:ind w:left="1843" w:hanging="425"/>
    </w:pPr>
    <w:rPr>
      <w:sz w:val="24"/>
    </w:rPr>
  </w:style>
  <w:style w:type="paragraph" w:customStyle="1" w:styleId="Normal12Hanging4">
    <w:name w:val="Normal12Hanging4"/>
    <w:qFormat/>
    <w:rsid w:val="003F691A"/>
    <w:pPr>
      <w:widowControl w:val="0"/>
      <w:spacing w:after="240"/>
      <w:ind w:left="2268" w:hanging="425"/>
    </w:pPr>
    <w:rPr>
      <w:sz w:val="24"/>
    </w:rPr>
  </w:style>
  <w:style w:type="paragraph" w:customStyle="1" w:styleId="Normal12Hanging5">
    <w:name w:val="Normal12Hanging5"/>
    <w:qFormat/>
    <w:rsid w:val="003F691A"/>
    <w:pPr>
      <w:widowControl w:val="0"/>
      <w:spacing w:after="240"/>
      <w:ind w:left="2693" w:hanging="425"/>
    </w:pPr>
    <w:rPr>
      <w:sz w:val="24"/>
    </w:rPr>
  </w:style>
  <w:style w:type="paragraph" w:customStyle="1" w:styleId="Normal12Hanging6">
    <w:name w:val="Normal12Hanging6"/>
    <w:qFormat/>
    <w:rsid w:val="003F691A"/>
    <w:pPr>
      <w:widowControl w:val="0"/>
      <w:spacing w:after="240"/>
      <w:ind w:left="3118" w:hanging="425"/>
    </w:pPr>
    <w:rPr>
      <w:sz w:val="24"/>
    </w:rPr>
  </w:style>
  <w:style w:type="paragraph" w:customStyle="1" w:styleId="Normal12Hanging7">
    <w:name w:val="Normal12Hanging7"/>
    <w:qFormat/>
    <w:rsid w:val="003F691A"/>
    <w:pPr>
      <w:widowControl w:val="0"/>
      <w:spacing w:after="240"/>
      <w:ind w:left="3544" w:hanging="425"/>
    </w:pPr>
    <w:rPr>
      <w:sz w:val="24"/>
    </w:rPr>
  </w:style>
  <w:style w:type="paragraph" w:customStyle="1" w:styleId="Normal12Hanging8">
    <w:name w:val="Normal12Hanging8"/>
    <w:qFormat/>
    <w:rsid w:val="003F691A"/>
    <w:pPr>
      <w:widowControl w:val="0"/>
      <w:spacing w:after="240"/>
      <w:ind w:left="3969" w:hanging="425"/>
    </w:pPr>
    <w:rPr>
      <w:sz w:val="24"/>
    </w:rPr>
  </w:style>
  <w:style w:type="paragraph" w:customStyle="1" w:styleId="Normal12HangingJustified">
    <w:name w:val="Normal12HangingJustified"/>
    <w:qFormat/>
    <w:rsid w:val="00FB5372"/>
    <w:pPr>
      <w:widowControl w:val="0"/>
      <w:spacing w:after="240"/>
      <w:ind w:left="714" w:hanging="357"/>
      <w:jc w:val="both"/>
    </w:pPr>
    <w:rPr>
      <w:sz w:val="24"/>
    </w:rPr>
  </w:style>
  <w:style w:type="paragraph" w:customStyle="1" w:styleId="Normal12Italic">
    <w:name w:val="Normal12Italic"/>
    <w:basedOn w:val="Normal"/>
    <w:pPr>
      <w:widowControl w:val="0"/>
      <w:spacing w:before="240"/>
    </w:pPr>
    <w:rPr>
      <w:i/>
    </w:rPr>
  </w:style>
  <w:style w:type="paragraph" w:customStyle="1" w:styleId="Normal12Tab">
    <w:name w:val="Normal12Tab"/>
    <w:rsid w:val="00262065"/>
    <w:pPr>
      <w:widowControl w:val="0"/>
      <w:tabs>
        <w:tab w:val="left" w:pos="567"/>
      </w:tabs>
      <w:spacing w:after="240"/>
    </w:pPr>
    <w:rPr>
      <w:sz w:val="24"/>
    </w:rPr>
  </w:style>
  <w:style w:type="paragraph" w:customStyle="1" w:styleId="Normal12a12b">
    <w:name w:val="Normal12a12b"/>
    <w:basedOn w:val="Normal"/>
    <w:pPr>
      <w:widowControl w:val="0"/>
      <w:spacing w:before="240" w:after="240"/>
    </w:pPr>
  </w:style>
  <w:style w:type="paragraph" w:customStyle="1" w:styleId="Normal24">
    <w:name w:val="Normal24"/>
    <w:basedOn w:val="Normal"/>
    <w:pPr>
      <w:widowControl w:val="0"/>
      <w:spacing w:after="480"/>
    </w:pPr>
  </w:style>
  <w:style w:type="paragraph" w:customStyle="1" w:styleId="Normal6">
    <w:name w:val="Normal6"/>
    <w:basedOn w:val="Normal"/>
    <w:pPr>
      <w:widowControl w:val="0"/>
      <w:spacing w:after="120"/>
    </w:pPr>
  </w:style>
  <w:style w:type="paragraph" w:customStyle="1" w:styleId="Normal6Center">
    <w:name w:val="Normal6 + Center"/>
    <w:qFormat/>
    <w:rsid w:val="00737FA8"/>
    <w:pPr>
      <w:spacing w:after="120"/>
      <w:jc w:val="center"/>
    </w:pPr>
    <w:rPr>
      <w:b/>
      <w:i/>
      <w:sz w:val="24"/>
    </w:rPr>
  </w:style>
  <w:style w:type="paragraph" w:customStyle="1" w:styleId="Normal6Italic">
    <w:name w:val="Normal6Italic"/>
    <w:basedOn w:val="Normal"/>
    <w:qFormat/>
    <w:rsid w:val="000B55A6"/>
    <w:pPr>
      <w:widowControl w:val="0"/>
      <w:spacing w:after="120"/>
    </w:pPr>
    <w:rPr>
      <w:i/>
    </w:rPr>
  </w:style>
  <w:style w:type="character" w:customStyle="1" w:styleId="Normal6RomanBI">
    <w:name w:val="Normal6RomanBI"/>
    <w:uiPriority w:val="1"/>
    <w:qFormat/>
    <w:rsid w:val="009504D4"/>
    <w:rPr>
      <w:rFonts w:ascii="Times New Roman" w:hAnsi="Times New Roman"/>
      <w:b/>
      <w:i/>
      <w:sz w:val="24"/>
    </w:rPr>
  </w:style>
  <w:style w:type="paragraph" w:customStyle="1" w:styleId="NormalBold">
    <w:name w:val="NormalBold"/>
    <w:basedOn w:val="Normal"/>
    <w:pPr>
      <w:widowControl w:val="0"/>
    </w:pPr>
    <w:rPr>
      <w:b/>
    </w:rPr>
  </w:style>
  <w:style w:type="paragraph" w:customStyle="1" w:styleId="NormalBold12b">
    <w:name w:val="NormalBold12b"/>
    <w:basedOn w:val="Normal"/>
    <w:qFormat/>
    <w:rsid w:val="0024476E"/>
    <w:pPr>
      <w:widowControl w:val="0"/>
      <w:spacing w:before="240"/>
    </w:pPr>
    <w:rPr>
      <w:b/>
    </w:rPr>
  </w:style>
  <w:style w:type="paragraph" w:customStyle="1" w:styleId="NormalBoldCentre">
    <w:name w:val="NormalBoldCentre"/>
    <w:basedOn w:val="Normal"/>
    <w:pPr>
      <w:widowControl w:val="0"/>
      <w:jc w:val="center"/>
    </w:pPr>
    <w:rPr>
      <w:b/>
    </w:rPr>
  </w:style>
  <w:style w:type="paragraph" w:customStyle="1" w:styleId="NormalBoldItalicCentre">
    <w:name w:val="NormalBoldItalic_Centre"/>
    <w:basedOn w:val="Normal"/>
    <w:qFormat/>
    <w:rsid w:val="007B4DAE"/>
    <w:pPr>
      <w:widowControl w:val="0"/>
      <w:jc w:val="center"/>
    </w:pPr>
    <w:rPr>
      <w:b/>
      <w:i/>
    </w:rPr>
  </w:style>
  <w:style w:type="paragraph" w:customStyle="1" w:styleId="NormalCentreKeep">
    <w:name w:val="NormalCentreKeep"/>
    <w:basedOn w:val="Normal"/>
    <w:pPr>
      <w:keepNext/>
      <w:widowControl w:val="0"/>
      <w:jc w:val="center"/>
    </w:pPr>
    <w:rPr>
      <w:noProof/>
    </w:rPr>
  </w:style>
  <w:style w:type="paragraph" w:customStyle="1" w:styleId="Olang">
    <w:name w:val="Olang"/>
    <w:basedOn w:val="Normal"/>
    <w:pPr>
      <w:widowControl w:val="0"/>
      <w:spacing w:before="240" w:after="240"/>
      <w:jc w:val="right"/>
    </w:pPr>
    <w:rPr>
      <w:noProof/>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pPr>
      <w:keepNext/>
      <w:widowControl w:val="0"/>
      <w:spacing w:before="240" w:after="240"/>
      <w:jc w:val="center"/>
    </w:pPr>
    <w:rPr>
      <w:rFonts w:ascii="Arial" w:hAnsi="Arial"/>
      <w:b/>
      <w:sz w:val="24"/>
    </w:rPr>
  </w:style>
  <w:style w:type="paragraph" w:customStyle="1" w:styleId="RefProc">
    <w:name w:val="RefProc"/>
    <w:basedOn w:val="Normal"/>
    <w:rsid w:val="00453D27"/>
    <w:pPr>
      <w:widowControl w:val="0"/>
      <w:spacing w:before="240" w:after="240"/>
      <w:jc w:val="right"/>
    </w:pPr>
    <w:rPr>
      <w:rFonts w:ascii="Arial Bold" w:hAnsi="Arial Bold"/>
      <w:b/>
    </w:rPr>
  </w:style>
  <w:style w:type="character" w:customStyle="1" w:styleId="Sub">
    <w:name w:val="Sub"/>
    <w:uiPriority w:val="1"/>
    <w:qFormat/>
    <w:rsid w:val="00A11882"/>
    <w:rPr>
      <w:vertAlign w:val="subscript"/>
    </w:rPr>
  </w:style>
  <w:style w:type="character" w:customStyle="1" w:styleId="SubBold">
    <w:name w:val="SubBold"/>
    <w:uiPriority w:val="1"/>
    <w:qFormat/>
    <w:rsid w:val="00D51C2B"/>
    <w:rPr>
      <w:b/>
      <w:vertAlign w:val="subscript"/>
    </w:rPr>
  </w:style>
  <w:style w:type="character" w:customStyle="1" w:styleId="SubBoldItalic">
    <w:name w:val="SubBoldItalic"/>
    <w:uiPriority w:val="1"/>
    <w:qFormat/>
    <w:rsid w:val="00D51C2B"/>
    <w:rPr>
      <w:b/>
      <w:i/>
      <w:vertAlign w:val="subscript"/>
    </w:rPr>
  </w:style>
  <w:style w:type="character" w:customStyle="1" w:styleId="SubItalic">
    <w:name w:val="SubItalic"/>
    <w:uiPriority w:val="1"/>
    <w:qFormat/>
    <w:rsid w:val="00D51C2B"/>
    <w:rPr>
      <w:i/>
      <w:vertAlign w:val="subscript"/>
    </w:rPr>
  </w:style>
  <w:style w:type="character" w:customStyle="1" w:styleId="Sup">
    <w:name w:val="Sup"/>
    <w:uiPriority w:val="1"/>
    <w:qFormat/>
    <w:rsid w:val="00CA2EC6"/>
    <w:rPr>
      <w:vertAlign w:val="superscript"/>
    </w:rPr>
  </w:style>
  <w:style w:type="character" w:customStyle="1" w:styleId="SupBoldItalic">
    <w:name w:val="SupBoldItalic"/>
    <w:uiPriority w:val="1"/>
    <w:qFormat/>
    <w:rsid w:val="00344E6F"/>
    <w:rPr>
      <w:b/>
      <w:i/>
      <w:sz w:val="24"/>
      <w:vertAlign w:val="superscript"/>
    </w:rPr>
  </w:style>
  <w:style w:type="paragraph" w:styleId="TOC1">
    <w:name w:val="toc 1"/>
    <w:autoRedefine/>
    <w:semiHidden/>
    <w:pPr>
      <w:widowControl w:val="0"/>
      <w:spacing w:after="240"/>
    </w:pPr>
    <w:rPr>
      <w:sz w:val="24"/>
    </w:rPr>
  </w:style>
  <w:style w:type="paragraph" w:styleId="TOCHeading">
    <w:name w:val="TOC Heading"/>
    <w:qFormat/>
    <w:pPr>
      <w:keepNext/>
      <w:widowControl w:val="0"/>
      <w:spacing w:before="240" w:after="240"/>
      <w:jc w:val="center"/>
    </w:pPr>
    <w:rPr>
      <w:rFonts w:ascii="Arial" w:hAnsi="Arial"/>
      <w:b/>
      <w:sz w:val="24"/>
    </w:rPr>
  </w:style>
  <w:style w:type="paragraph" w:customStyle="1" w:styleId="TOCPage">
    <w:name w:val="TOC Page"/>
    <w:pPr>
      <w:keepNext/>
      <w:widowControl w:val="0"/>
      <w:spacing w:after="240"/>
      <w:jc w:val="right"/>
    </w:pPr>
    <w:rPr>
      <w:rFonts w:ascii="Arial" w:hAnsi="Arial"/>
      <w:b/>
      <w:sz w:val="24"/>
    </w:rPr>
  </w:style>
  <w:style w:type="table" w:styleId="TableGrid">
    <w:name w:val="Table Grid"/>
    <w:basedOn w:val="TableNormal"/>
    <w:rsid w:val="0070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pPr>
      <w:tabs>
        <w:tab w:val="right" w:leader="dot" w:pos="9072"/>
      </w:tabs>
      <w:spacing w:after="240"/>
      <w:jc w:val="both"/>
    </w:pPr>
    <w:rPr>
      <w:sz w:val="24"/>
    </w:r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basedOn w:val="DefaultParagraphFont"/>
    <w:uiPriority w:val="1"/>
    <w:qFormat/>
    <w:rsid w:val="00141754"/>
    <w:rPr>
      <w:rFonts w:ascii="Times New Roman" w:hAnsi="Times New Roman"/>
      <w:sz w:val="24"/>
      <w:u w:val="single"/>
    </w:rPr>
  </w:style>
  <w:style w:type="paragraph" w:customStyle="1" w:styleId="ZCommittee">
    <w:name w:val="ZCommittee"/>
    <w:basedOn w:val="Normal"/>
    <w:next w:val="Normal"/>
    <w:rsid w:val="00700A24"/>
    <w:pPr>
      <w:widowControl w:val="0"/>
      <w:jc w:val="center"/>
    </w:pPr>
    <w:rPr>
      <w:rFonts w:ascii="Arial" w:hAnsi="Arial" w:cs="Arial"/>
      <w:i/>
      <w:sz w:val="22"/>
      <w:szCs w:val="22"/>
      <w:lang w:val="fr-FR"/>
    </w:rPr>
  </w:style>
  <w:style w:type="paragraph" w:customStyle="1" w:styleId="ZDate">
    <w:name w:val="ZDate"/>
    <w:basedOn w:val="Normal"/>
    <w:pPr>
      <w:widowControl w:val="0"/>
      <w:spacing w:after="1200"/>
    </w:pPr>
  </w:style>
  <w:style w:type="paragraph" w:styleId="BalloonText">
    <w:name w:val="Balloon Text"/>
    <w:basedOn w:val="Normal"/>
    <w:link w:val="BalloonTextChar"/>
    <w:semiHidden/>
    <w:unhideWhenUsed/>
    <w:rsid w:val="007856B3"/>
    <w:rPr>
      <w:rFonts w:ascii="Segoe UI" w:hAnsi="Segoe UI" w:cs="Segoe UI"/>
      <w:sz w:val="18"/>
      <w:szCs w:val="18"/>
    </w:rPr>
  </w:style>
  <w:style w:type="character" w:customStyle="1" w:styleId="BalloonTextChar">
    <w:name w:val="Balloon Text Char"/>
    <w:basedOn w:val="DefaultParagraphFont"/>
    <w:link w:val="BalloonText"/>
    <w:semiHidden/>
    <w:rsid w:val="007856B3"/>
    <w:rPr>
      <w:rFonts w:ascii="Segoe UI" w:hAnsi="Segoe UI" w:cs="Segoe UI"/>
      <w:sz w:val="18"/>
      <w:szCs w:val="18"/>
    </w:rPr>
  </w:style>
  <w:style w:type="character" w:customStyle="1" w:styleId="Normal12HangingChar">
    <w:name w:val="Normal12Hanging Char"/>
    <w:basedOn w:val="DefaultParagraphFont"/>
    <w:link w:val="Normal12Hanging"/>
    <w:rsid w:val="00F41B9B"/>
    <w:rPr>
      <w:sz w:val="24"/>
      <w:szCs w:val="24"/>
    </w:rPr>
  </w:style>
  <w:style w:type="character" w:styleId="CommentReference">
    <w:name w:val="annotation reference"/>
    <w:basedOn w:val="DefaultParagraphFont"/>
    <w:semiHidden/>
    <w:unhideWhenUsed/>
    <w:rsid w:val="005123FA"/>
    <w:rPr>
      <w:sz w:val="16"/>
      <w:szCs w:val="16"/>
    </w:rPr>
  </w:style>
  <w:style w:type="paragraph" w:styleId="CommentText">
    <w:name w:val="annotation text"/>
    <w:basedOn w:val="Normal"/>
    <w:link w:val="CommentTextChar"/>
    <w:semiHidden/>
    <w:unhideWhenUsed/>
    <w:rsid w:val="005123FA"/>
    <w:rPr>
      <w:sz w:val="20"/>
      <w:szCs w:val="20"/>
    </w:rPr>
  </w:style>
  <w:style w:type="character" w:customStyle="1" w:styleId="CommentTextChar">
    <w:name w:val="Comment Text Char"/>
    <w:basedOn w:val="DefaultParagraphFont"/>
    <w:link w:val="CommentText"/>
    <w:semiHidden/>
    <w:rsid w:val="005123FA"/>
  </w:style>
  <w:style w:type="paragraph" w:styleId="CommentSubject">
    <w:name w:val="annotation subject"/>
    <w:basedOn w:val="CommentText"/>
    <w:next w:val="CommentText"/>
    <w:link w:val="CommentSubjectChar"/>
    <w:semiHidden/>
    <w:unhideWhenUsed/>
    <w:rsid w:val="005123FA"/>
    <w:rPr>
      <w:b/>
      <w:bCs/>
    </w:rPr>
  </w:style>
  <w:style w:type="character" w:customStyle="1" w:styleId="CommentSubjectChar">
    <w:name w:val="Comment Subject Char"/>
    <w:basedOn w:val="CommentTextChar"/>
    <w:link w:val="CommentSubject"/>
    <w:semiHidden/>
    <w:rsid w:val="005123FA"/>
    <w:rPr>
      <w:b/>
      <w:bCs/>
    </w:rPr>
  </w:style>
  <w:style w:type="paragraph" w:styleId="Revision">
    <w:name w:val="Revision"/>
    <w:hidden/>
    <w:uiPriority w:val="99"/>
    <w:semiHidden/>
    <w:rsid w:val="006D4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5748-ED5B-4621-B5F2-9F5FD965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creator>e-Parliament@europarl.europa.eu</dc:creator>
  <cp:lastModifiedBy>DREGGS Steve</cp:lastModifiedBy>
  <cp:revision>2</cp:revision>
  <cp:lastPrinted>2019-02-01T11:02:00Z</cp:lastPrinted>
  <dcterms:created xsi:type="dcterms:W3CDTF">2019-02-04T12:54:00Z</dcterms:created>
  <dcterms:modified xsi:type="dcterms:W3CDTF">2019-02-04T12:54:00Z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lt;FdR&gt;">
    <vt:lpwstr>1175255</vt:lpwstr>
  </property>
  <property fmtid="{D5CDD505-2E9C-101B-9397-08002B2CF9AE}" pid="4" name="&lt;Model&gt;">
    <vt:lpwstr>PA_NonLeg</vt:lpwstr>
  </property>
  <property fmtid="{D5CDD505-2E9C-101B-9397-08002B2CF9AE}" pid="5" name="&lt;Type&gt;">
    <vt:lpwstr>AD</vt:lpwstr>
  </property>
  <property fmtid="{D5CDD505-2E9C-101B-9397-08002B2CF9AE}" pid="6" name="DMXMLUID">
    <vt:lpwstr>20181205-120716-055645-830998</vt:lpwstr>
  </property>
  <property fmtid="{D5CDD505-2E9C-101B-9397-08002B2CF9AE}" pid="7" name="FooterPath">
    <vt:lpwstr>AD\1175255XT.docx</vt:lpwstr>
  </property>
  <property fmtid="{D5CDD505-2E9C-101B-9397-08002B2CF9AE}" pid="8" name="PE Number">
    <vt:lpwstr>631.843</vt:lpwstr>
  </property>
  <property fmtid="{D5CDD505-2E9C-101B-9397-08002B2CF9AE}" pid="9" name="UID">
    <vt:lpwstr>eu.europa.europarl-DIN1-2018-0000143636_01.01-en-01.04_text-xml</vt:lpwstr>
  </property>
  <property fmtid="{D5CDD505-2E9C-101B-9397-08002B2CF9AE}" pid="10" name="LastEdited with">
    <vt:lpwstr>9.5.1 Build [20181201]</vt:lpwstr>
  </property>
  <property fmtid="{D5CDD505-2E9C-101B-9397-08002B2CF9AE}" pid="11" name="SubscribeElise">
    <vt:lpwstr/>
  </property>
  <property fmtid="{D5CDD505-2E9C-101B-9397-08002B2CF9AE}" pid="12" name="SendToEpades">
    <vt:lpwstr>OK - 2019/01/31 14:58</vt:lpwstr>
  </property>
</Properties>
</file>