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14.1.0.0 -->
  <w:body>
    <w:tbl>
      <w:tblPr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04"/>
        <w:gridCol w:w="2268"/>
      </w:tblGrid>
      <w:tr>
        <w:tblPrEx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exact" w:val="1417"/>
          <w:jc w:val="center"/>
        </w:trPr>
        <w:tc>
          <w:tcPr>
            <w:vAlign w:val="center"/>
          </w:tcPr>
          <w:p w:rsidR="00A77B3E">
            <w:pPr>
              <w:pStyle w:val="EPName"/>
            </w:pPr>
            <w:r>
              <w:t>Evropský parlament</w:t>
            </w:r>
          </w:p>
          <w:p>
            <w:pPr>
              <w:pStyle w:val="EPTerm"/>
            </w:pPr>
            <w:r>
              <w:t>2014-2019</w:t>
            </w:r>
          </w:p>
        </w:tc>
        <w:tc>
          <w:tcPr/>
          <w:p>
            <w:pPr>
              <w:pStyle w:val="EPLogo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height:51.02pt;width:91.56pt">
                  <v:imagedata r:id="rId4" o:title=""/>
                </v:shape>
              </w:pict>
            </w:r>
          </w:p>
        </w:tc>
      </w:tr>
    </w:tbl>
    <w:p w:rsidR="00A77B3E">
      <w:pPr>
        <w:pStyle w:val="LineTop"/>
      </w:pPr>
    </w:p>
    <w:p>
      <w:pPr>
        <w:pStyle w:val="ZCommittee"/>
      </w:pPr>
      <w:r>
        <w:rPr>
          <w:rStyle w:val="HideTWBExt"/>
        </w:rPr>
        <w:t>&lt;</w:t>
      </w:r>
      <w:r>
        <w:rPr>
          <w:rStyle w:val="HideTWBExt"/>
        </w:rPr>
        <w:t>Commission</w:t>
      </w:r>
      <w:r>
        <w:rPr>
          <w:rStyle w:val="HideTWBExt"/>
        </w:rPr>
        <w:t>&gt;</w:t>
      </w:r>
      <w:r>
        <w:rPr>
          <w:rStyle w:val="HideTWBInt"/>
        </w:rPr>
        <w:t>{ENVI}</w:t>
      </w:r>
      <w:r>
        <w:t>Výbor pro životní prostředí, veřejné zdraví a bezpečnost potravin</w:t>
      </w:r>
      <w:r>
        <w:rPr>
          <w:rStyle w:val="HideTWBExt"/>
        </w:rPr>
        <w:t>&lt;/</w:t>
      </w:r>
      <w:r>
        <w:rPr>
          <w:rStyle w:val="HideTWBExt"/>
        </w:rPr>
        <w:t>Commission</w:t>
      </w:r>
      <w:r>
        <w:rPr>
          <w:rStyle w:val="HideTWBExt"/>
        </w:rPr>
        <w:t>&gt;</w:t>
      </w:r>
    </w:p>
    <w:p>
      <w:pPr>
        <w:pStyle w:val="LineBottom"/>
      </w:pPr>
    </w:p>
    <w:p>
      <w:pPr>
        <w:pStyle w:val="RefProc"/>
      </w:pPr>
      <w:r>
        <w:rPr>
          <w:rStyle w:val="HideTWBExt"/>
        </w:rPr>
        <w:t>&lt;</w:t>
      </w:r>
      <w:r>
        <w:rPr>
          <w:rStyle w:val="HideTWBExt"/>
        </w:rPr>
        <w:t>RefProc</w:t>
      </w:r>
      <w:r>
        <w:rPr>
          <w:rStyle w:val="HideTWBExt"/>
        </w:rPr>
        <w:t>&gt;</w:t>
      </w:r>
      <w:r>
        <w:t>2016/2175</w:t>
      </w:r>
      <w:r>
        <w:rPr>
          <w:rStyle w:val="HideTWBExt"/>
        </w:rPr>
        <w:t>&lt;/</w:t>
      </w:r>
      <w:r>
        <w:rPr>
          <w:rStyle w:val="HideTWBExt"/>
        </w:rPr>
        <w:t>RefProc</w:t>
      </w:r>
      <w:r>
        <w:rPr>
          <w:rStyle w:val="HideTWBExt"/>
        </w:rPr>
        <w:t>&gt;</w:t>
      </w:r>
      <w:r>
        <w:rPr>
          <w:rStyle w:val="HideTWBExt"/>
        </w:rPr>
        <w:t>&lt;</w:t>
      </w:r>
      <w:r>
        <w:rPr>
          <w:rStyle w:val="HideTWBExt"/>
        </w:rPr>
        <w:t>RefTypeProc</w:t>
      </w:r>
      <w:r>
        <w:rPr>
          <w:rStyle w:val="HideTWBExt"/>
        </w:rPr>
        <w:t>&gt;</w:t>
      </w:r>
      <w:r>
        <w:t>(DEC)</w:t>
      </w:r>
      <w:r>
        <w:rPr>
          <w:rStyle w:val="HideTWBExt"/>
        </w:rPr>
        <w:t>&lt;/</w:t>
      </w:r>
      <w:r>
        <w:rPr>
          <w:rStyle w:val="HideTWBExt"/>
        </w:rPr>
        <w:t>RefTypeProc</w:t>
      </w:r>
      <w:r>
        <w:rPr>
          <w:rStyle w:val="HideTWBExt"/>
        </w:rPr>
        <w:t>&gt;</w:t>
      </w:r>
    </w:p>
    <w:p>
      <w:pPr>
        <w:pStyle w:val="ZDate"/>
      </w:pPr>
      <w:r>
        <w:rPr>
          <w:rStyle w:val="HideTWBExt"/>
        </w:rPr>
        <w:t>&lt;</w:t>
      </w:r>
      <w:r>
        <w:rPr>
          <w:rStyle w:val="HideTWBExt"/>
        </w:rPr>
        <w:t>Date</w:t>
      </w:r>
      <w:r>
        <w:rPr>
          <w:rStyle w:val="HideTWBExt"/>
        </w:rPr>
        <w:t>&gt;</w:t>
      </w:r>
      <w:r>
        <w:rPr>
          <w:rStyle w:val="HideTWBInt"/>
        </w:rPr>
        <w:t>{</w:t>
      </w:r>
      <w:r>
        <w:rPr>
          <w:rStyle w:val="HideTWBInt"/>
        </w:rPr>
        <w:t>14/12/2016</w:t>
      </w:r>
      <w:r>
        <w:rPr>
          <w:rStyle w:val="HideTWBInt"/>
        </w:rPr>
        <w:t>}</w:t>
      </w:r>
      <w:r>
        <w:t>14. 12. 2016</w:t>
      </w:r>
      <w:r>
        <w:rPr>
          <w:rStyle w:val="HideTWBExt"/>
        </w:rPr>
        <w:t>&lt;/</w:t>
      </w:r>
      <w:r>
        <w:rPr>
          <w:rStyle w:val="HideTWBExt"/>
        </w:rPr>
        <w:t>Date</w:t>
      </w:r>
      <w:r>
        <w:rPr>
          <w:rStyle w:val="HideTWBExt"/>
        </w:rPr>
        <w:t>&gt;</w:t>
      </w:r>
    </w:p>
    <w:p>
      <w:pPr>
        <w:pStyle w:val="TypeDocAM"/>
      </w:pPr>
      <w:r>
        <w:rPr>
          <w:rStyle w:val="HideTWBExt"/>
        </w:rPr>
        <w:t>&lt;</w:t>
      </w:r>
      <w:r>
        <w:rPr>
          <w:rStyle w:val="HideTWBExt"/>
        </w:rPr>
        <w:t>TypeAM</w:t>
      </w:r>
      <w:r>
        <w:rPr>
          <w:rStyle w:val="HideTWBExt"/>
        </w:rPr>
        <w:t>&gt;</w:t>
      </w:r>
      <w:r>
        <w:t>POZMĚŇOVACÍ NÁVRHY</w:t>
      </w:r>
      <w:r>
        <w:rPr>
          <w:rStyle w:val="HideTWBExt"/>
        </w:rPr>
        <w:t>&lt;/</w:t>
      </w:r>
      <w:r>
        <w:rPr>
          <w:rStyle w:val="HideTWBExt"/>
        </w:rPr>
        <w:t>TypeAM</w:t>
      </w:r>
      <w:r>
        <w:rPr>
          <w:rStyle w:val="HideTWBExt"/>
        </w:rPr>
        <w:t>&gt;</w:t>
      </w:r>
    </w:p>
    <w:p>
      <w:pPr>
        <w:pStyle w:val="NRAMS"/>
      </w:pPr>
      <w:r>
        <w:rPr>
          <w:rStyle w:val="HideTWBExt"/>
        </w:rPr>
        <w:t>&lt;</w:t>
      </w:r>
      <w:r>
        <w:rPr>
          <w:rStyle w:val="HideTWBExt"/>
        </w:rPr>
        <w:t>RangeAM</w:t>
      </w:r>
      <w:r>
        <w:rPr>
          <w:rStyle w:val="HideTWBExt"/>
        </w:rPr>
        <w:t>&gt;</w:t>
      </w:r>
      <w:r>
        <w:t>1</w:t>
      </w:r>
      <w:r>
        <w:t xml:space="preserve"> - </w:t>
      </w:r>
      <w:r>
        <w:t>12</w:t>
      </w:r>
      <w:r>
        <w:rPr>
          <w:rStyle w:val="HideTWBExt"/>
        </w:rPr>
        <w:t>&lt;/</w:t>
      </w:r>
      <w:r>
        <w:rPr>
          <w:rStyle w:val="HideTWBExt"/>
        </w:rPr>
        <w:t>RangeAM</w:t>
      </w:r>
      <w:r>
        <w:rPr>
          <w:rStyle w:val="HideTWBExt"/>
        </w:rPr>
        <w:t>&gt;</w:t>
      </w:r>
    </w:p>
    <w:p>
      <w:pPr>
        <w:pStyle w:val="CoverBold"/>
      </w:pPr>
      <w:r>
        <w:rPr>
          <w:rStyle w:val="HideTWBExt"/>
        </w:rPr>
        <w:t>&lt;</w:t>
      </w:r>
      <w:r>
        <w:rPr>
          <w:rStyle w:val="HideTWBExt"/>
        </w:rPr>
        <w:t>TitreType</w:t>
      </w:r>
      <w:r>
        <w:rPr>
          <w:rStyle w:val="HideTWBExt"/>
        </w:rPr>
        <w:t>&gt;</w:t>
      </w:r>
      <w:r>
        <w:t>Návrh stanoviska</w:t>
      </w:r>
      <w:r>
        <w:rPr>
          <w:rStyle w:val="HideTWBExt"/>
        </w:rPr>
        <w:t>&lt;/</w:t>
      </w:r>
      <w:r>
        <w:rPr>
          <w:rStyle w:val="HideTWBExt"/>
        </w:rPr>
        <w:t>TitreType</w:t>
      </w:r>
      <w:r>
        <w:rPr>
          <w:rStyle w:val="HideTWBExt"/>
        </w:rPr>
        <w:t>&gt;</w:t>
      </w:r>
    </w:p>
    <w:p>
      <w:pPr>
        <w:pStyle w:val="CoverBold"/>
      </w:pPr>
      <w:r>
        <w:rPr>
          <w:rStyle w:val="HideTWBExt"/>
        </w:rPr>
        <w:t>&lt;</w:t>
      </w:r>
      <w:r>
        <w:rPr>
          <w:rStyle w:val="HideTWBExt"/>
        </w:rPr>
        <w:t>Rapporteur</w:t>
      </w:r>
      <w:r>
        <w:rPr>
          <w:rStyle w:val="HideTWBExt"/>
        </w:rPr>
        <w:t>&gt;</w:t>
      </w:r>
      <w:r>
        <w:t>Giovanni La Via</w:t>
      </w:r>
      <w:r>
        <w:rPr>
          <w:rStyle w:val="HideTWBExt"/>
        </w:rPr>
        <w:t>&lt;/</w:t>
      </w:r>
      <w:r>
        <w:rPr>
          <w:rStyle w:val="HideTWBExt"/>
        </w:rPr>
        <w:t>Rapporteur</w:t>
      </w:r>
      <w:r>
        <w:rPr>
          <w:rStyle w:val="HideTWBExt"/>
        </w:rPr>
        <w:t>&gt;</w:t>
      </w:r>
    </w:p>
    <w:p>
      <w:pPr>
        <w:pStyle w:val="Cover24"/>
      </w:pPr>
      <w:r>
        <w:t>(</w:t>
      </w:r>
      <w:r>
        <w:t>PE592.295v02-00</w:t>
      </w:r>
      <w:r>
        <w:t>)</w:t>
      </w:r>
    </w:p>
    <w:p>
      <w:pPr>
        <w:pStyle w:val="CoverNormal"/>
      </w:pPr>
      <w:r>
        <w:rPr>
          <w:rStyle w:val="HideTWBExt"/>
        </w:rPr>
        <w:t>&lt;</w:t>
      </w:r>
      <w:r>
        <w:rPr>
          <w:rStyle w:val="HideTWBExt"/>
        </w:rPr>
        <w:t>Titre</w:t>
      </w:r>
      <w:r>
        <w:rPr>
          <w:rStyle w:val="HideTWBExt"/>
        </w:rPr>
        <w:t>&gt;</w:t>
      </w:r>
      <w:r>
        <w:t>Absolutorium 2015: Evropské středisko pro prevenci a kontrolu nemocí (ECDC)</w:t>
      </w:r>
      <w:r>
        <w:rPr>
          <w:rStyle w:val="HideTWBExt"/>
        </w:rPr>
        <w:t>&lt;/</w:t>
      </w:r>
      <w:r>
        <w:rPr>
          <w:rStyle w:val="HideTWBExt"/>
        </w:rPr>
        <w:t>Titre</w:t>
      </w:r>
      <w:r>
        <w:rPr>
          <w:rStyle w:val="HideTWBExt"/>
        </w:rPr>
        <w:t>&gt;</w:t>
      </w:r>
    </w:p>
    <w:p>
      <w:pPr>
        <w:pStyle w:val="Cover24"/>
      </w:pPr>
      <w:r>
        <w:rPr>
          <w:rStyle w:val="HideTWBExt"/>
        </w:rPr>
        <w:t>&lt;</w:t>
      </w:r>
      <w:r>
        <w:rPr>
          <w:rStyle w:val="HideTWBExt"/>
        </w:rPr>
        <w:t>DocRef</w:t>
      </w:r>
      <w:r>
        <w:rPr>
          <w:rStyle w:val="HideTWBExt"/>
        </w:rPr>
        <w:t>&gt;</w:t>
      </w:r>
      <w:r>
        <w:t>(</w:t>
      </w:r>
      <w:r>
        <w:t>2016/2175(DEC)</w:t>
      </w:r>
      <w:r>
        <w:t>)</w:t>
      </w:r>
      <w:r>
        <w:rPr>
          <w:rStyle w:val="HideTWBExt"/>
        </w:rPr>
        <w:t>&lt;/</w:t>
      </w:r>
      <w:r>
        <w:rPr>
          <w:rStyle w:val="HideTWBExt"/>
        </w:rPr>
        <w:t>DocRef</w:t>
      </w:r>
      <w:r>
        <w:rPr>
          <w:rStyle w:val="HideTWBExt"/>
        </w:rPr>
        <w:t>&gt;</w:t>
      </w:r>
    </w:p>
    <w:p>
      <w:r>
        <w:br w:type="page"/>
      </w:r>
      <w:r>
        <w:t>AM_Com_NonLegOpinion</w:t>
      </w:r>
    </w:p>
    <w:p>
      <w:pPr>
        <w:pStyle w:val="AMNumberTabs"/>
      </w:pPr>
      <w:r>
        <w:br w:type="page"/>
      </w:r>
      <w:r>
        <w:rPr>
          <w:rStyle w:val="HideTWBExt"/>
        </w:rPr>
        <w:t>&lt;</w:t>
      </w:r>
      <w:r>
        <w:rPr>
          <w:rStyle w:val="HideTWBExt"/>
        </w:rPr>
        <w:t>RepeatBlock-Amend</w:t>
      </w:r>
      <w:r>
        <w:rPr>
          <w:rStyle w:val="HideTWBExt"/>
        </w:rPr>
        <w:t>&gt;</w:t>
      </w:r>
      <w:r>
        <w:rPr>
          <w:rStyle w:val="HideTWBExt"/>
        </w:rPr>
        <w:t>&lt;</w:t>
      </w:r>
      <w:r>
        <w:rPr>
          <w:rStyle w:val="HideTWBExt"/>
        </w:rPr>
        <w:t>Amend</w:t>
      </w:r>
      <w:r>
        <w:rPr>
          <w:rStyle w:val="HideTWBExt"/>
        </w:rPr>
        <w:t>&gt;</w:t>
      </w:r>
      <w:r>
        <w:t>Pozměňovací návrh</w:t>
      </w:r>
      <w:r>
        <w:t xml:space="preserve"> </w:t>
      </w:r>
      <w:r>
        <w:tab/>
      </w:r>
      <w:r>
        <w:tab/>
      </w:r>
      <w:r>
        <w:rPr>
          <w:rStyle w:val="HideTWBExt"/>
        </w:rPr>
        <w:t>&lt;</w:t>
      </w:r>
      <w:r>
        <w:rPr>
          <w:rStyle w:val="HideTWBExt"/>
        </w:rPr>
        <w:t>NumAm</w:t>
      </w:r>
      <w:r>
        <w:rPr>
          <w:rStyle w:val="HideTWBExt"/>
        </w:rPr>
        <w:t>&gt;</w:t>
      </w:r>
      <w:r>
        <w:t>1</w:t>
      </w:r>
      <w:r>
        <w:rPr>
          <w:rStyle w:val="HideTWBExt"/>
        </w:rPr>
        <w:t>&lt;/</w:t>
      </w:r>
      <w:r>
        <w:rPr>
          <w:rStyle w:val="HideTWBExt"/>
        </w:rPr>
        <w:t>NumAm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  <w:r>
        <w:rPr>
          <w:rStyle w:val="HideTWBExt"/>
        </w:rPr>
        <w:t>&lt;</w:t>
      </w:r>
      <w:r>
        <w:rPr>
          <w:rStyle w:val="HideTWBExt"/>
        </w:rPr>
        <w:t>Members</w:t>
      </w:r>
      <w:r>
        <w:rPr>
          <w:rStyle w:val="HideTWBExt"/>
        </w:rPr>
        <w:t>&gt;</w:t>
      </w:r>
      <w:r>
        <w:t>Notis Marias</w:t>
      </w:r>
      <w:r>
        <w:rPr>
          <w:rStyle w:val="HideTWBExt"/>
        </w:rPr>
        <w:t>&lt;/</w:t>
      </w:r>
      <w:r>
        <w:rPr>
          <w:rStyle w:val="HideTWBExt"/>
        </w:rPr>
        <w:t>Members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&lt;/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DocAmend</w:t>
      </w:r>
      <w:r>
        <w:rPr>
          <w:rStyle w:val="HideTWBExt"/>
        </w:rPr>
        <w:t>&gt;</w:t>
      </w:r>
      <w:r>
        <w:t>Návrh stanoviska</w:t>
      </w:r>
      <w:r>
        <w:rPr>
          <w:rStyle w:val="HideTWBExt"/>
        </w:rPr>
        <w:t>&lt;/</w:t>
      </w:r>
      <w:r>
        <w:rPr>
          <w:rStyle w:val="HideTWBExt"/>
        </w:rPr>
        <w:t>DocAmend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Article</w:t>
      </w:r>
      <w:r>
        <w:rPr>
          <w:rStyle w:val="HideTWBExt"/>
        </w:rPr>
        <w:t>&gt;</w:t>
      </w:r>
      <w:r>
        <w:t>Bod 1</w:t>
      </w:r>
      <w:r>
        <w:rPr>
          <w:rStyle w:val="HideTWBExt"/>
        </w:rPr>
        <w:t>&lt;/</w:t>
      </w:r>
      <w:r>
        <w:rPr>
          <w:rStyle w:val="HideTWBExt"/>
        </w:rPr>
        <w:t>Article</w:t>
      </w:r>
      <w:r>
        <w:rPr>
          <w:rStyle w:val="HideTWBExt"/>
        </w:rPr>
        <w:t>&gt;</w:t>
      </w:r>
    </w:p>
    <w:tbl>
      <w:tblPr>
        <w:jc w:val="center"/>
        <w:tblLayout w:type="fixed"/>
        <w:tblCellMar>
          <w:top w:w="0" w:type="dxa"/>
          <w:left w:w="340" w:type="dxa"/>
          <w:bottom w:w="0" w:type="dxa"/>
          <w:right w:w="340" w:type="dxa"/>
        </w:tblCellMar>
      </w:tblPr>
      <w:tblGrid>
        <w:gridCol w:w="4876"/>
        <w:gridCol w:w="4876"/>
      </w:tblGrid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trHeight w:hRule="exact" w:val="240"/>
          <w:jc w:val="center"/>
        </w:trPr>
        <w:tc>
          <w:tcPr>
            <w:gridSpan w:val="2"/>
          </w:tcPr>
          <w:p/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trHeight w:val="240"/>
          <w:jc w:val="center"/>
        </w:trPr>
        <w:tc>
          <w:tcPr/>
          <w:p>
            <w:pPr>
              <w:pStyle w:val="ColumnHeading"/>
            </w:pPr>
            <w:r>
              <w:t>Návrh stanoviska</w:t>
            </w:r>
          </w:p>
        </w:tc>
        <w:tc>
          <w:tcPr/>
          <w:p>
            <w:pPr>
              <w:pStyle w:val="ColumnHeading"/>
            </w:pPr>
            <w:r>
              <w:t>Pozměňovací návrh</w:t>
            </w:r>
          </w:p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trHeight w:hRule="auto" w:val="0"/>
          <w:jc w:val="center"/>
        </w:trPr>
        <w:tc>
          <w:tcPr/>
          <w:p>
            <w:pPr>
              <w:pStyle w:val="Normal6"/>
            </w:pPr>
            <w:r>
              <w:t>1.</w:t>
            </w:r>
            <w:r>
              <w:tab/>
            </w:r>
            <w:r>
              <w:t>bere na vědomí skutečnost, že Evropské středisko pro prevenci a kontrolu nemocí (dále jen „středisko“) je téměř výhradně financováno z rozpočtu Unie; konstatuje také, že členské státy EFTA přispěly do rozpočtu střediska na rok 2015 2,97 %; bere na vědomí, že v roce 2015 činil zůstatek střediska 5 079 604 EUR z celkového rozpočtu ve výši 58 451 950 EUR, jež obdrželo od Komise;</w:t>
            </w:r>
          </w:p>
        </w:tc>
        <w:tc>
          <w:tcPr/>
          <w:p>
            <w:pPr>
              <w:pStyle w:val="Normal6"/>
            </w:pPr>
            <w:r>
              <w:t>1.</w:t>
            </w:r>
            <w:r>
              <w:tab/>
            </w:r>
            <w:r>
              <w:t>bere na vědomí skutečnost, že Evropské středisko pro prevenci a kontrolu nemocí (dále jen „středisko“)</w:t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000000"/>
                <w:sz w:val="24"/>
                <w:highlight w:val="none"/>
                <w:u w:val="none" w:color="auto"/>
              </w:rPr>
              <w:t>, jehož cílem je posilovat ochranu EU před infekčními nemocemi,</w:t>
            </w:r>
            <w:r>
              <w:t xml:space="preserve"> je téměř výhradně financováno z rozpočtu Unie; konstatuje také, že členské státy EFTA přispěly do rozpočtu střediska na rok 2015 2,97 %; bere na vědomí, že v roce 2015 činil zůstatek střediska 5 079 604 EUR z celkového rozpočtu ve výši 58 451 950 EUR, jež obdrželo od Komise;</w:t>
            </w:r>
          </w:p>
        </w:tc>
      </w:tr>
    </w:tbl>
    <w:p>
      <w:pPr>
        <w:pStyle w:val="Olang"/>
      </w:pPr>
      <w:r>
        <w:t>Or.</w:t>
      </w:r>
      <w:r>
        <w:t xml:space="preserve"> </w:t>
      </w:r>
      <w:r>
        <w:rPr>
          <w:rStyle w:val="HideTWBExt"/>
        </w:rPr>
        <w:t>&lt;</w:t>
      </w:r>
      <w:r>
        <w:rPr>
          <w:rStyle w:val="HideTWBExt"/>
        </w:rPr>
        <w:t>Original</w:t>
      </w:r>
      <w:r>
        <w:rPr>
          <w:rStyle w:val="HideTWBExt"/>
        </w:rPr>
        <w:t>&gt;</w:t>
      </w:r>
      <w:r>
        <w:rPr>
          <w:rStyle w:val="HideTWBInt"/>
        </w:rPr>
        <w:t>{</w:t>
      </w:r>
      <w:r>
        <w:rPr>
          <w:rStyle w:val="HideTWBInt"/>
        </w:rPr>
        <w:t>EL</w:t>
      </w:r>
      <w:r>
        <w:rPr>
          <w:rStyle w:val="HideTWBInt"/>
        </w:rPr>
        <w:t>}</w:t>
      </w:r>
      <w:r>
        <w:t>el</w:t>
      </w:r>
      <w:r>
        <w:rPr>
          <w:rStyle w:val="HideTWBExt"/>
        </w:rPr>
        <w:t>&lt;/</w:t>
      </w:r>
      <w:r>
        <w:rPr>
          <w:rStyle w:val="HideTWBExt"/>
        </w:rPr>
        <w:t>Original</w:t>
      </w:r>
      <w:r>
        <w:rPr>
          <w:rStyle w:val="HideTWBExt"/>
        </w:rPr>
        <w:t>&gt;</w:t>
      </w:r>
    </w:p>
    <w:p>
      <w:r>
        <w:rPr>
          <w:rStyle w:val="HideTWBExt"/>
        </w:rPr>
        <w:t>&lt;/</w:t>
      </w:r>
      <w:r>
        <w:rPr>
          <w:rStyle w:val="HideTWBExt"/>
        </w:rPr>
        <w:t>Amend</w:t>
      </w:r>
      <w:r>
        <w:rPr>
          <w:rStyle w:val="HideTWBExt"/>
        </w:rPr>
        <w:t>&gt;</w:t>
      </w:r>
    </w:p>
    <w:p>
      <w:pPr>
        <w:pStyle w:val="AMNumberTabs"/>
      </w:pPr>
      <w:r>
        <w:rPr>
          <w:rStyle w:val="HideTWBExt"/>
        </w:rPr>
        <w:t>&lt;</w:t>
      </w:r>
      <w:r>
        <w:rPr>
          <w:rStyle w:val="HideTWBExt"/>
        </w:rPr>
        <w:t>Amend</w:t>
      </w:r>
      <w:r>
        <w:rPr>
          <w:rStyle w:val="HideTWBExt"/>
        </w:rPr>
        <w:t>&gt;</w:t>
      </w:r>
      <w:r>
        <w:t>Pozměňovací návrh</w:t>
      </w:r>
      <w:r>
        <w:t xml:space="preserve"> </w:t>
      </w:r>
      <w:r>
        <w:tab/>
      </w:r>
      <w:r>
        <w:tab/>
      </w:r>
      <w:r>
        <w:rPr>
          <w:rStyle w:val="HideTWBExt"/>
        </w:rPr>
        <w:t>&lt;</w:t>
      </w:r>
      <w:r>
        <w:rPr>
          <w:rStyle w:val="HideTWBExt"/>
        </w:rPr>
        <w:t>NumAm</w:t>
      </w:r>
      <w:r>
        <w:rPr>
          <w:rStyle w:val="HideTWBExt"/>
        </w:rPr>
        <w:t>&gt;</w:t>
      </w:r>
      <w:r>
        <w:t>2</w:t>
      </w:r>
      <w:r>
        <w:rPr>
          <w:rStyle w:val="HideTWBExt"/>
        </w:rPr>
        <w:t>&lt;/</w:t>
      </w:r>
      <w:r>
        <w:rPr>
          <w:rStyle w:val="HideTWBExt"/>
        </w:rPr>
        <w:t>NumAm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  <w:r>
        <w:rPr>
          <w:rStyle w:val="HideTWBExt"/>
        </w:rPr>
        <w:t>&lt;</w:t>
      </w:r>
      <w:r>
        <w:rPr>
          <w:rStyle w:val="HideTWBExt"/>
        </w:rPr>
        <w:t>Members</w:t>
      </w:r>
      <w:r>
        <w:rPr>
          <w:rStyle w:val="HideTWBExt"/>
        </w:rPr>
        <w:t>&gt;</w:t>
      </w:r>
      <w:r>
        <w:t>Eleftherios Synadinos</w:t>
      </w:r>
      <w:r>
        <w:rPr>
          <w:rStyle w:val="HideTWBExt"/>
        </w:rPr>
        <w:t>&lt;/</w:t>
      </w:r>
      <w:r>
        <w:rPr>
          <w:rStyle w:val="HideTWBExt"/>
        </w:rPr>
        <w:t>Members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&lt;/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DocAmend</w:t>
      </w:r>
      <w:r>
        <w:rPr>
          <w:rStyle w:val="HideTWBExt"/>
        </w:rPr>
        <w:t>&gt;</w:t>
      </w:r>
      <w:r>
        <w:t>Návrh stanoviska</w:t>
      </w:r>
      <w:r>
        <w:rPr>
          <w:rStyle w:val="HideTWBExt"/>
        </w:rPr>
        <w:t>&lt;/</w:t>
      </w:r>
      <w:r>
        <w:rPr>
          <w:rStyle w:val="HideTWBExt"/>
        </w:rPr>
        <w:t>DocAmend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Article</w:t>
      </w:r>
      <w:r>
        <w:rPr>
          <w:rStyle w:val="HideTWBExt"/>
        </w:rPr>
        <w:t>&gt;</w:t>
      </w:r>
      <w:r>
        <w:t>Bod 3</w:t>
      </w:r>
      <w:r>
        <w:rPr>
          <w:rStyle w:val="HideTWBExt"/>
        </w:rPr>
        <w:t>&lt;/</w:t>
      </w:r>
      <w:r>
        <w:rPr>
          <w:rStyle w:val="HideTWBExt"/>
        </w:rPr>
        <w:t>Article</w:t>
      </w:r>
      <w:r>
        <w:rPr>
          <w:rStyle w:val="HideTWBExt"/>
        </w:rPr>
        <w:t>&gt;</w:t>
      </w:r>
    </w:p>
    <w:tbl>
      <w:tblPr>
        <w:jc w:val="center"/>
        <w:tblLayout w:type="fixed"/>
        <w:tblCellMar>
          <w:top w:w="0" w:type="dxa"/>
          <w:left w:w="340" w:type="dxa"/>
          <w:bottom w:w="0" w:type="dxa"/>
          <w:right w:w="340" w:type="dxa"/>
        </w:tblCellMar>
      </w:tblPr>
      <w:tblGrid>
        <w:gridCol w:w="4876"/>
        <w:gridCol w:w="4876"/>
      </w:tblGrid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trHeight w:hRule="exact" w:val="240"/>
          <w:jc w:val="center"/>
        </w:trPr>
        <w:tc>
          <w:tcPr>
            <w:gridSpan w:val="2"/>
          </w:tcPr>
          <w:p/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trHeight w:val="240"/>
          <w:jc w:val="center"/>
        </w:trPr>
        <w:tc>
          <w:tcPr/>
          <w:p>
            <w:pPr>
              <w:pStyle w:val="ColumnHeading"/>
            </w:pPr>
            <w:r>
              <w:t>Návrh stanoviska</w:t>
            </w:r>
          </w:p>
        </w:tc>
        <w:tc>
          <w:tcPr/>
          <w:p>
            <w:pPr>
              <w:pStyle w:val="ColumnHeading"/>
            </w:pPr>
            <w:r>
              <w:t>Pozměňovací návrh</w:t>
            </w:r>
          </w:p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trHeight w:hRule="auto" w:val="0"/>
          <w:jc w:val="center"/>
        </w:trPr>
        <w:tc>
          <w:tcPr/>
          <w:p>
            <w:pPr>
              <w:pStyle w:val="Normal6"/>
            </w:pPr>
            <w:r>
              <w:t>3.</w:t>
            </w:r>
            <w:r>
              <w:tab/>
            </w:r>
            <w:r>
              <w:t xml:space="preserve">zdůrazňuje, že epidemie viru Ebola představovala zkoušku </w:t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000000"/>
                <w:sz w:val="24"/>
                <w:highlight w:val="none"/>
                <w:u w:val="none" w:color="auto"/>
              </w:rPr>
              <w:t>připravenosti Unie</w:t>
            </w:r>
            <w:r>
              <w:t xml:space="preserve"> i jejího právního rámce a že se Výbor pro zdravotní bezpečnost pravidelně scházel k projednávání vhodných opatření na základě rychlého posouzení rizik a pokynů vydaných střediskem;</w:t>
            </w:r>
          </w:p>
        </w:tc>
        <w:tc>
          <w:tcPr/>
          <w:p>
            <w:pPr>
              <w:pStyle w:val="Normal6"/>
            </w:pPr>
            <w:r>
              <w:t>3.</w:t>
            </w:r>
            <w:r>
              <w:tab/>
            </w:r>
            <w:r>
              <w:t xml:space="preserve">zdůrazňuje, že epidemie viru Ebola představovala zkoušku </w:t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000000"/>
                <w:sz w:val="24"/>
                <w:highlight w:val="none"/>
                <w:u w:val="none" w:color="auto"/>
              </w:rPr>
              <w:t>provádění unijních opatření pro připravenost</w:t>
            </w:r>
            <w:r>
              <w:t xml:space="preserve"> i jejího právního rámce a že se Výbor pro zdravotní bezpečnost pravidelně scházel k projednávání vhodných opatření na základě rychlého posouzení rizik a pokynů vydaných střediskem;</w:t>
            </w:r>
          </w:p>
        </w:tc>
      </w:tr>
    </w:tbl>
    <w:p>
      <w:pPr>
        <w:pStyle w:val="Olang"/>
      </w:pPr>
      <w:r>
        <w:t>Or.</w:t>
      </w:r>
      <w:r>
        <w:t xml:space="preserve"> </w:t>
      </w:r>
      <w:r>
        <w:rPr>
          <w:rStyle w:val="HideTWBExt"/>
        </w:rPr>
        <w:t>&lt;</w:t>
      </w:r>
      <w:r>
        <w:rPr>
          <w:rStyle w:val="HideTWBExt"/>
        </w:rPr>
        <w:t>Original</w:t>
      </w:r>
      <w:r>
        <w:rPr>
          <w:rStyle w:val="HideTWBExt"/>
        </w:rPr>
        <w:t>&gt;</w:t>
      </w:r>
      <w:r>
        <w:rPr>
          <w:rStyle w:val="HideTWBInt"/>
        </w:rPr>
        <w:t>{</w:t>
      </w:r>
      <w:r>
        <w:rPr>
          <w:rStyle w:val="HideTWBInt"/>
        </w:rPr>
        <w:t>EL</w:t>
      </w:r>
      <w:r>
        <w:rPr>
          <w:rStyle w:val="HideTWBInt"/>
        </w:rPr>
        <w:t>}</w:t>
      </w:r>
      <w:r>
        <w:t>el</w:t>
      </w:r>
      <w:r>
        <w:rPr>
          <w:rStyle w:val="HideTWBExt"/>
        </w:rPr>
        <w:t>&lt;/</w:t>
      </w:r>
      <w:r>
        <w:rPr>
          <w:rStyle w:val="HideTWBExt"/>
        </w:rPr>
        <w:t>Original</w:t>
      </w:r>
      <w:r>
        <w:rPr>
          <w:rStyle w:val="HideTWBExt"/>
        </w:rPr>
        <w:t>&gt;</w:t>
      </w:r>
    </w:p>
    <w:p>
      <w:r>
        <w:rPr>
          <w:rStyle w:val="HideTWBExt"/>
        </w:rPr>
        <w:t>&lt;/</w:t>
      </w:r>
      <w:r>
        <w:rPr>
          <w:rStyle w:val="HideTWBExt"/>
        </w:rPr>
        <w:t>Amend</w:t>
      </w:r>
      <w:r>
        <w:rPr>
          <w:rStyle w:val="HideTWBExt"/>
        </w:rPr>
        <w:t>&gt;</w:t>
      </w:r>
    </w:p>
    <w:p>
      <w:pPr>
        <w:pStyle w:val="AMNumberTabs"/>
      </w:pPr>
      <w:r>
        <w:rPr>
          <w:rStyle w:val="HideTWBExt"/>
        </w:rPr>
        <w:t>&lt;</w:t>
      </w:r>
      <w:r>
        <w:rPr>
          <w:rStyle w:val="HideTWBExt"/>
        </w:rPr>
        <w:t>Amend</w:t>
      </w:r>
      <w:r>
        <w:rPr>
          <w:rStyle w:val="HideTWBExt"/>
        </w:rPr>
        <w:t>&gt;</w:t>
      </w:r>
      <w:r>
        <w:t>Pozměňovací návrh</w:t>
      </w:r>
      <w:r>
        <w:t xml:space="preserve"> </w:t>
      </w:r>
      <w:r>
        <w:tab/>
      </w:r>
      <w:r>
        <w:tab/>
      </w:r>
      <w:r>
        <w:rPr>
          <w:rStyle w:val="HideTWBExt"/>
        </w:rPr>
        <w:t>&lt;</w:t>
      </w:r>
      <w:r>
        <w:rPr>
          <w:rStyle w:val="HideTWBExt"/>
        </w:rPr>
        <w:t>NumAm</w:t>
      </w:r>
      <w:r>
        <w:rPr>
          <w:rStyle w:val="HideTWBExt"/>
        </w:rPr>
        <w:t>&gt;</w:t>
      </w:r>
      <w:r>
        <w:t>3</w:t>
      </w:r>
      <w:r>
        <w:rPr>
          <w:rStyle w:val="HideTWBExt"/>
        </w:rPr>
        <w:t>&lt;/</w:t>
      </w:r>
      <w:r>
        <w:rPr>
          <w:rStyle w:val="HideTWBExt"/>
        </w:rPr>
        <w:t>NumAm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  <w:r>
        <w:rPr>
          <w:rStyle w:val="HideTWBExt"/>
        </w:rPr>
        <w:t>&lt;</w:t>
      </w:r>
      <w:r>
        <w:rPr>
          <w:rStyle w:val="HideTWBExt"/>
        </w:rPr>
        <w:t>Members</w:t>
      </w:r>
      <w:r>
        <w:rPr>
          <w:rStyle w:val="HideTWBExt"/>
        </w:rPr>
        <w:t>&gt;</w:t>
      </w:r>
      <w:r>
        <w:t>Notis Marias</w:t>
      </w:r>
      <w:r>
        <w:rPr>
          <w:rStyle w:val="HideTWBExt"/>
        </w:rPr>
        <w:t>&lt;/</w:t>
      </w:r>
      <w:r>
        <w:rPr>
          <w:rStyle w:val="HideTWBExt"/>
        </w:rPr>
        <w:t>Members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&lt;/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DocAmend</w:t>
      </w:r>
      <w:r>
        <w:rPr>
          <w:rStyle w:val="HideTWBExt"/>
        </w:rPr>
        <w:t>&gt;</w:t>
      </w:r>
      <w:r>
        <w:t>Návrh stanoviska</w:t>
      </w:r>
      <w:r>
        <w:rPr>
          <w:rStyle w:val="HideTWBExt"/>
        </w:rPr>
        <w:t>&lt;/</w:t>
      </w:r>
      <w:r>
        <w:rPr>
          <w:rStyle w:val="HideTWBExt"/>
        </w:rPr>
        <w:t>DocAmend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Article</w:t>
      </w:r>
      <w:r>
        <w:rPr>
          <w:rStyle w:val="HideTWBExt"/>
        </w:rPr>
        <w:t>&gt;</w:t>
      </w:r>
      <w:r>
        <w:t>Bod 3</w:t>
      </w:r>
      <w:r>
        <w:rPr>
          <w:rStyle w:val="HideTWBExt"/>
        </w:rPr>
        <w:t>&lt;/</w:t>
      </w:r>
      <w:r>
        <w:rPr>
          <w:rStyle w:val="HideTWBExt"/>
        </w:rPr>
        <w:t>Article</w:t>
      </w:r>
      <w:r>
        <w:rPr>
          <w:rStyle w:val="HideTWBExt"/>
        </w:rPr>
        <w:t>&gt;</w:t>
      </w:r>
    </w:p>
    <w:tbl>
      <w:tblPr>
        <w:jc w:val="center"/>
        <w:tblLayout w:type="fixed"/>
        <w:tblCellMar>
          <w:top w:w="0" w:type="dxa"/>
          <w:left w:w="340" w:type="dxa"/>
          <w:bottom w:w="0" w:type="dxa"/>
          <w:right w:w="340" w:type="dxa"/>
        </w:tblCellMar>
      </w:tblPr>
      <w:tblGrid>
        <w:gridCol w:w="4876"/>
        <w:gridCol w:w="4876"/>
      </w:tblGrid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trHeight w:hRule="exact" w:val="240"/>
          <w:jc w:val="center"/>
        </w:trPr>
        <w:tc>
          <w:tcPr>
            <w:gridSpan w:val="2"/>
          </w:tcPr>
          <w:p/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trHeight w:val="240"/>
          <w:jc w:val="center"/>
        </w:trPr>
        <w:tc>
          <w:tcPr/>
          <w:p>
            <w:pPr>
              <w:pStyle w:val="ColumnHeading"/>
            </w:pPr>
            <w:r>
              <w:t>Návrh stanoviska</w:t>
            </w:r>
          </w:p>
        </w:tc>
        <w:tc>
          <w:tcPr/>
          <w:p>
            <w:pPr>
              <w:pStyle w:val="ColumnHeading"/>
            </w:pPr>
            <w:r>
              <w:t>Pozměňovací návrh</w:t>
            </w:r>
          </w:p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trHeight w:hRule="auto" w:val="0"/>
          <w:jc w:val="center"/>
        </w:trPr>
        <w:tc>
          <w:tcPr/>
          <w:p>
            <w:pPr>
              <w:pStyle w:val="Normal6"/>
            </w:pPr>
            <w:r>
              <w:t>3.</w:t>
            </w:r>
            <w:r>
              <w:tab/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000000"/>
                <w:sz w:val="24"/>
                <w:highlight w:val="none"/>
                <w:u w:val="none" w:color="auto"/>
              </w:rPr>
              <w:t>zdůrazňuje</w:t>
            </w:r>
            <w:r>
              <w:t>, že epidemie viru Ebola představovala zkoušku připravenosti Unie i jejího právního rámce a že se Výbor pro zdravotní bezpečnost pravidelně scházel k projednávání vhodných opatření na základě rychlého posouzení rizik a pokynů vydaných střediskem;</w:t>
            </w:r>
          </w:p>
        </w:tc>
        <w:tc>
          <w:tcPr/>
          <w:p>
            <w:pPr>
              <w:pStyle w:val="Normal6"/>
            </w:pPr>
            <w:r>
              <w:t>3.</w:t>
            </w:r>
            <w:r>
              <w:tab/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000000"/>
                <w:sz w:val="24"/>
                <w:highlight w:val="none"/>
                <w:u w:val="none" w:color="auto"/>
              </w:rPr>
              <w:t>konstatuje</w:t>
            </w:r>
            <w:r>
              <w:t>, že epidemie viru Ebola představovala zkoušku připravenosti Unie i jejího právního rámce a že se Výbor pro zdravotní bezpečnost pravidelně scházel k projednávání vhodných opatření na základě rychlého posouzení rizik a pokynů vydaných střediskem;</w:t>
            </w:r>
          </w:p>
        </w:tc>
      </w:tr>
    </w:tbl>
    <w:p>
      <w:pPr>
        <w:pStyle w:val="Olang"/>
      </w:pPr>
      <w:r>
        <w:t>Or.</w:t>
      </w:r>
      <w:r>
        <w:t xml:space="preserve"> </w:t>
      </w:r>
      <w:r>
        <w:rPr>
          <w:rStyle w:val="HideTWBExt"/>
        </w:rPr>
        <w:t>&lt;</w:t>
      </w:r>
      <w:r>
        <w:rPr>
          <w:rStyle w:val="HideTWBExt"/>
        </w:rPr>
        <w:t>Original</w:t>
      </w:r>
      <w:r>
        <w:rPr>
          <w:rStyle w:val="HideTWBExt"/>
        </w:rPr>
        <w:t>&gt;</w:t>
      </w:r>
      <w:r>
        <w:rPr>
          <w:rStyle w:val="HideTWBInt"/>
        </w:rPr>
        <w:t>{</w:t>
      </w:r>
      <w:r>
        <w:rPr>
          <w:rStyle w:val="HideTWBInt"/>
        </w:rPr>
        <w:t>EL</w:t>
      </w:r>
      <w:r>
        <w:rPr>
          <w:rStyle w:val="HideTWBInt"/>
        </w:rPr>
        <w:t>}</w:t>
      </w:r>
      <w:r>
        <w:t>el</w:t>
      </w:r>
      <w:r>
        <w:rPr>
          <w:rStyle w:val="HideTWBExt"/>
        </w:rPr>
        <w:t>&lt;/</w:t>
      </w:r>
      <w:r>
        <w:rPr>
          <w:rStyle w:val="HideTWBExt"/>
        </w:rPr>
        <w:t>Original</w:t>
      </w:r>
      <w:r>
        <w:rPr>
          <w:rStyle w:val="HideTWBExt"/>
        </w:rPr>
        <w:t>&gt;</w:t>
      </w:r>
    </w:p>
    <w:p>
      <w:r>
        <w:rPr>
          <w:rStyle w:val="HideTWBExt"/>
        </w:rPr>
        <w:t>&lt;/</w:t>
      </w:r>
      <w:r>
        <w:rPr>
          <w:rStyle w:val="HideTWBExt"/>
        </w:rPr>
        <w:t>Amend</w:t>
      </w:r>
      <w:r>
        <w:rPr>
          <w:rStyle w:val="HideTWBExt"/>
        </w:rPr>
        <w:t>&gt;</w:t>
      </w:r>
    </w:p>
    <w:p>
      <w:pPr>
        <w:pStyle w:val="AMNumberTabs"/>
      </w:pPr>
      <w:r>
        <w:rPr>
          <w:rStyle w:val="HideTWBExt"/>
        </w:rPr>
        <w:t>&lt;</w:t>
      </w:r>
      <w:r>
        <w:rPr>
          <w:rStyle w:val="HideTWBExt"/>
        </w:rPr>
        <w:t>Amend</w:t>
      </w:r>
      <w:r>
        <w:rPr>
          <w:rStyle w:val="HideTWBExt"/>
        </w:rPr>
        <w:t>&gt;</w:t>
      </w:r>
      <w:r>
        <w:t>Pozměňovací návrh</w:t>
      </w:r>
      <w:r>
        <w:t xml:space="preserve"> </w:t>
      </w:r>
      <w:r>
        <w:tab/>
      </w:r>
      <w:r>
        <w:tab/>
      </w:r>
      <w:r>
        <w:rPr>
          <w:rStyle w:val="HideTWBExt"/>
        </w:rPr>
        <w:t>&lt;</w:t>
      </w:r>
      <w:r>
        <w:rPr>
          <w:rStyle w:val="HideTWBExt"/>
        </w:rPr>
        <w:t>NumAm</w:t>
      </w:r>
      <w:r>
        <w:rPr>
          <w:rStyle w:val="HideTWBExt"/>
        </w:rPr>
        <w:t>&gt;</w:t>
      </w:r>
      <w:r>
        <w:t>4</w:t>
      </w:r>
      <w:r>
        <w:rPr>
          <w:rStyle w:val="HideTWBExt"/>
        </w:rPr>
        <w:t>&lt;/</w:t>
      </w:r>
      <w:r>
        <w:rPr>
          <w:rStyle w:val="HideTWBExt"/>
        </w:rPr>
        <w:t>NumAm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  <w:r>
        <w:rPr>
          <w:rStyle w:val="HideTWBExt"/>
        </w:rPr>
        <w:t>&lt;</w:t>
      </w:r>
      <w:r>
        <w:rPr>
          <w:rStyle w:val="HideTWBExt"/>
        </w:rPr>
        <w:t>Members</w:t>
      </w:r>
      <w:r>
        <w:rPr>
          <w:rStyle w:val="HideTWBExt"/>
        </w:rPr>
        <w:t>&gt;</w:t>
      </w:r>
      <w:r>
        <w:t>Notis Marias</w:t>
      </w:r>
      <w:r>
        <w:rPr>
          <w:rStyle w:val="HideTWBExt"/>
        </w:rPr>
        <w:t>&lt;/</w:t>
      </w:r>
      <w:r>
        <w:rPr>
          <w:rStyle w:val="HideTWBExt"/>
        </w:rPr>
        <w:t>Members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&lt;/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DocAmend</w:t>
      </w:r>
      <w:r>
        <w:rPr>
          <w:rStyle w:val="HideTWBExt"/>
        </w:rPr>
        <w:t>&gt;</w:t>
      </w:r>
      <w:r>
        <w:t>Návrh stanoviska</w:t>
      </w:r>
      <w:r>
        <w:rPr>
          <w:rStyle w:val="HideTWBExt"/>
        </w:rPr>
        <w:t>&lt;/</w:t>
      </w:r>
      <w:r>
        <w:rPr>
          <w:rStyle w:val="HideTWBExt"/>
        </w:rPr>
        <w:t>DocAmend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Article</w:t>
      </w:r>
      <w:r>
        <w:rPr>
          <w:rStyle w:val="HideTWBExt"/>
        </w:rPr>
        <w:t>&gt;</w:t>
      </w:r>
      <w:r>
        <w:t>Bod 5</w:t>
      </w:r>
      <w:r>
        <w:rPr>
          <w:rStyle w:val="HideTWBExt"/>
        </w:rPr>
        <w:t>&lt;/</w:t>
      </w:r>
      <w:r>
        <w:rPr>
          <w:rStyle w:val="HideTWBExt"/>
        </w:rPr>
        <w:t>Article</w:t>
      </w:r>
      <w:r>
        <w:rPr>
          <w:rStyle w:val="HideTWBExt"/>
        </w:rPr>
        <w:t>&gt;</w:t>
      </w:r>
    </w:p>
    <w:tbl>
      <w:tblPr>
        <w:jc w:val="center"/>
        <w:tblLayout w:type="fixed"/>
        <w:tblCellMar>
          <w:top w:w="0" w:type="dxa"/>
          <w:left w:w="340" w:type="dxa"/>
          <w:bottom w:w="0" w:type="dxa"/>
          <w:right w:w="340" w:type="dxa"/>
        </w:tblCellMar>
      </w:tblPr>
      <w:tblGrid>
        <w:gridCol w:w="4876"/>
        <w:gridCol w:w="4876"/>
      </w:tblGrid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trHeight w:hRule="exact" w:val="240"/>
          <w:jc w:val="center"/>
        </w:trPr>
        <w:tc>
          <w:tcPr>
            <w:gridSpan w:val="2"/>
          </w:tcPr>
          <w:p/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trHeight w:val="240"/>
          <w:jc w:val="center"/>
        </w:trPr>
        <w:tc>
          <w:tcPr/>
          <w:p>
            <w:pPr>
              <w:pStyle w:val="ColumnHeading"/>
            </w:pPr>
            <w:r>
              <w:t>Návrh stanoviska</w:t>
            </w:r>
          </w:p>
        </w:tc>
        <w:tc>
          <w:tcPr/>
          <w:p>
            <w:pPr>
              <w:pStyle w:val="ColumnHeading"/>
            </w:pPr>
            <w:r>
              <w:t>Pozměňovací návrh</w:t>
            </w:r>
          </w:p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trHeight w:hRule="auto" w:val="0"/>
          <w:jc w:val="center"/>
        </w:trPr>
        <w:tc>
          <w:tcPr/>
          <w:p>
            <w:pPr>
              <w:pStyle w:val="Normal6"/>
            </w:pPr>
            <w:r>
              <w:t>5.</w:t>
            </w:r>
            <w:r>
              <w:tab/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000000"/>
                <w:sz w:val="24"/>
                <w:highlight w:val="none"/>
                <w:u w:val="none" w:color="auto"/>
              </w:rPr>
              <w:t>bere na vědomí</w:t>
            </w:r>
            <w:r>
              <w:t>, že systém včasného varování a reakce, který byl zřízen rozhodnutím č. 1082/2013/EU k vydávání varování a podávání zpráv o opatřeních přijatých v boji proti závažným přeshraničním zdravotním hrozbám, je neustále monitorován; v roce 2015 bylo vydáno 88 oznámení, jež vedla k 280 zprávám a výměnám informací, a řešilo se 37 různých událostí, např. epidemie viru Ebola, příliv uprchlíků, koronavirus z Blízkého východu způsobující respirační syndrom (MERS-CoV ), dětská obrna, nedostatek lékařských protiopatření, virus Zika a výbuch chemické továrny v Číně; zdůrazňuje, že všechny tyto události byly sledovány v úzké spolupráci se střediskem a s členskými státy;</w:t>
            </w:r>
          </w:p>
        </w:tc>
        <w:tc>
          <w:tcPr/>
          <w:p>
            <w:pPr>
              <w:pStyle w:val="Normal6"/>
            </w:pPr>
            <w:r>
              <w:t>5.</w:t>
            </w:r>
            <w:r>
              <w:tab/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000000"/>
                <w:sz w:val="24"/>
                <w:highlight w:val="none"/>
                <w:u w:val="none" w:color="auto"/>
              </w:rPr>
              <w:t>konstatuje</w:t>
            </w:r>
            <w:r>
              <w:t>, že systém včasného varování a reakce, který byl zřízen rozhodnutím č. 1082/2013/EU k vydávání varování a podávání zpráv o opatřeních přijatých v boji proti závažným přeshraničním zdravotním hrozbám, je neustále monitorován; v roce 2015 bylo vydáno 88 oznámení, jež vedla k 280 zprávám a výměnám informací, a řešilo se 37 různých událostí, např. epidemie viru Ebola, příliv uprchlíků, koronavirus z Blízkého východu způsobující respirační syndrom (MERS-CoV ), dětská obrna, nedostatek lékařských protiopatření, virus Zika a výbuch chemické továrny v Číně; zdůrazňuje, že všechny tyto události byly sledovány v úzké spolupráci se střediskem a s členskými státy;</w:t>
            </w:r>
          </w:p>
        </w:tc>
      </w:tr>
    </w:tbl>
    <w:p>
      <w:pPr>
        <w:pStyle w:val="Olang"/>
      </w:pPr>
      <w:r>
        <w:t>Or.</w:t>
      </w:r>
      <w:r>
        <w:t xml:space="preserve"> </w:t>
      </w:r>
      <w:r>
        <w:rPr>
          <w:rStyle w:val="HideTWBExt"/>
        </w:rPr>
        <w:t>&lt;</w:t>
      </w:r>
      <w:r>
        <w:rPr>
          <w:rStyle w:val="HideTWBExt"/>
        </w:rPr>
        <w:t>Original</w:t>
      </w:r>
      <w:r>
        <w:rPr>
          <w:rStyle w:val="HideTWBExt"/>
        </w:rPr>
        <w:t>&gt;</w:t>
      </w:r>
      <w:r>
        <w:rPr>
          <w:rStyle w:val="HideTWBInt"/>
        </w:rPr>
        <w:t>{</w:t>
      </w:r>
      <w:r>
        <w:rPr>
          <w:rStyle w:val="HideTWBInt"/>
        </w:rPr>
        <w:t>EL</w:t>
      </w:r>
      <w:r>
        <w:rPr>
          <w:rStyle w:val="HideTWBInt"/>
        </w:rPr>
        <w:t>}</w:t>
      </w:r>
      <w:r>
        <w:t>el</w:t>
      </w:r>
      <w:r>
        <w:rPr>
          <w:rStyle w:val="HideTWBExt"/>
        </w:rPr>
        <w:t>&lt;/</w:t>
      </w:r>
      <w:r>
        <w:rPr>
          <w:rStyle w:val="HideTWBExt"/>
        </w:rPr>
        <w:t>Original</w:t>
      </w:r>
      <w:r>
        <w:rPr>
          <w:rStyle w:val="HideTWBExt"/>
        </w:rPr>
        <w:t>&gt;</w:t>
      </w:r>
    </w:p>
    <w:p>
      <w:r>
        <w:rPr>
          <w:rStyle w:val="HideTWBExt"/>
        </w:rPr>
        <w:t>&lt;/</w:t>
      </w:r>
      <w:r>
        <w:rPr>
          <w:rStyle w:val="HideTWBExt"/>
        </w:rPr>
        <w:t>Amend</w:t>
      </w:r>
      <w:r>
        <w:rPr>
          <w:rStyle w:val="HideTWBExt"/>
        </w:rPr>
        <w:t>&gt;</w:t>
      </w:r>
    </w:p>
    <w:p>
      <w:pPr>
        <w:pStyle w:val="AMNumberTabs"/>
      </w:pPr>
      <w:r>
        <w:rPr>
          <w:rStyle w:val="HideTWBExt"/>
        </w:rPr>
        <w:t>&lt;</w:t>
      </w:r>
      <w:r>
        <w:rPr>
          <w:rStyle w:val="HideTWBExt"/>
        </w:rPr>
        <w:t>Amend</w:t>
      </w:r>
      <w:r>
        <w:rPr>
          <w:rStyle w:val="HideTWBExt"/>
        </w:rPr>
        <w:t>&gt;</w:t>
      </w:r>
      <w:r>
        <w:t>Pozměňovací návrh</w:t>
      </w:r>
      <w:r>
        <w:t xml:space="preserve"> </w:t>
      </w:r>
      <w:r>
        <w:tab/>
      </w:r>
      <w:r>
        <w:tab/>
      </w:r>
      <w:r>
        <w:rPr>
          <w:rStyle w:val="HideTWBExt"/>
        </w:rPr>
        <w:t>&lt;</w:t>
      </w:r>
      <w:r>
        <w:rPr>
          <w:rStyle w:val="HideTWBExt"/>
        </w:rPr>
        <w:t>NumAm</w:t>
      </w:r>
      <w:r>
        <w:rPr>
          <w:rStyle w:val="HideTWBExt"/>
        </w:rPr>
        <w:t>&gt;</w:t>
      </w:r>
      <w:r>
        <w:t>5</w:t>
      </w:r>
      <w:r>
        <w:rPr>
          <w:rStyle w:val="HideTWBExt"/>
        </w:rPr>
        <w:t>&lt;/</w:t>
      </w:r>
      <w:r>
        <w:rPr>
          <w:rStyle w:val="HideTWBExt"/>
        </w:rPr>
        <w:t>NumAm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  <w:r>
        <w:rPr>
          <w:rStyle w:val="HideTWBExt"/>
        </w:rPr>
        <w:t>&lt;</w:t>
      </w:r>
      <w:r>
        <w:rPr>
          <w:rStyle w:val="HideTWBExt"/>
        </w:rPr>
        <w:t>Members</w:t>
      </w:r>
      <w:r>
        <w:rPr>
          <w:rStyle w:val="HideTWBExt"/>
        </w:rPr>
        <w:t>&gt;</w:t>
      </w:r>
      <w:r>
        <w:t>Nicola Caputo</w:t>
      </w:r>
      <w:r>
        <w:t xml:space="preserve">, </w:t>
      </w:r>
      <w:r>
        <w:t>Doru-Claudian Frunzulică</w:t>
      </w:r>
      <w:r>
        <w:rPr>
          <w:rStyle w:val="HideTWBExt"/>
        </w:rPr>
        <w:t>&lt;/</w:t>
      </w:r>
      <w:r>
        <w:rPr>
          <w:rStyle w:val="HideTWBExt"/>
        </w:rPr>
        <w:t>Members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&lt;/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DocAmend</w:t>
      </w:r>
      <w:r>
        <w:rPr>
          <w:rStyle w:val="HideTWBExt"/>
        </w:rPr>
        <w:t>&gt;</w:t>
      </w:r>
      <w:r>
        <w:t>Návrh stanoviska</w:t>
      </w:r>
      <w:r>
        <w:rPr>
          <w:rStyle w:val="HideTWBExt"/>
        </w:rPr>
        <w:t>&lt;/</w:t>
      </w:r>
      <w:r>
        <w:rPr>
          <w:rStyle w:val="HideTWBExt"/>
        </w:rPr>
        <w:t>DocAmend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Article</w:t>
      </w:r>
      <w:r>
        <w:rPr>
          <w:rStyle w:val="HideTWBExt"/>
        </w:rPr>
        <w:t>&gt;</w:t>
      </w:r>
      <w:r>
        <w:t>Bod 5 a (nový)</w:t>
      </w:r>
      <w:r>
        <w:rPr>
          <w:rStyle w:val="HideTWBExt"/>
        </w:rPr>
        <w:t>&lt;/</w:t>
      </w:r>
      <w:r>
        <w:rPr>
          <w:rStyle w:val="HideTWBExt"/>
        </w:rPr>
        <w:t>Article</w:t>
      </w:r>
      <w:r>
        <w:rPr>
          <w:rStyle w:val="HideTWBExt"/>
        </w:rPr>
        <w:t>&gt;</w:t>
      </w:r>
    </w:p>
    <w:tbl>
      <w:tblPr>
        <w:jc w:val="center"/>
        <w:tblLayout w:type="fixed"/>
        <w:tblCellMar>
          <w:top w:w="0" w:type="dxa"/>
          <w:left w:w="340" w:type="dxa"/>
          <w:bottom w:w="0" w:type="dxa"/>
          <w:right w:w="340" w:type="dxa"/>
        </w:tblCellMar>
      </w:tblPr>
      <w:tblGrid>
        <w:gridCol w:w="4876"/>
        <w:gridCol w:w="4876"/>
      </w:tblGrid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trHeight w:hRule="exact" w:val="240"/>
          <w:jc w:val="center"/>
        </w:trPr>
        <w:tc>
          <w:tcPr>
            <w:gridSpan w:val="2"/>
          </w:tcPr>
          <w:p/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trHeight w:val="240"/>
          <w:jc w:val="center"/>
        </w:trPr>
        <w:tc>
          <w:tcPr/>
          <w:p>
            <w:pPr>
              <w:pStyle w:val="ColumnHeading"/>
            </w:pPr>
            <w:r>
              <w:t>Návrh stanoviska</w:t>
            </w:r>
          </w:p>
        </w:tc>
        <w:tc>
          <w:tcPr/>
          <w:p>
            <w:pPr>
              <w:pStyle w:val="ColumnHeading"/>
            </w:pPr>
            <w:r>
              <w:t>Pozměňovací návrh</w:t>
            </w:r>
          </w:p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trHeight w:hRule="auto" w:val="0"/>
          <w:jc w:val="center"/>
        </w:trPr>
        <w:tc>
          <w:tcPr/>
          <w:p>
            <w:pPr>
              <w:pStyle w:val="Normal6"/>
            </w:pPr>
          </w:p>
        </w:tc>
        <w:tc>
          <w:tcPr/>
          <w:p>
            <w:pPr>
              <w:pStyle w:val="Normal6"/>
            </w:pP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000000"/>
                <w:sz w:val="24"/>
                <w:highlight w:val="none"/>
                <w:u w:val="none" w:color="auto"/>
              </w:rPr>
              <w:t>5a.</w:t>
            </w:r>
            <w:r>
              <w:tab/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000000"/>
                <w:sz w:val="24"/>
                <w:highlight w:val="none"/>
                <w:u w:val="none" w:color="auto"/>
              </w:rPr>
              <w:t>konstatuje, že pokud jde o zadávací řízení, středisko se specificky zaměřilo na zajištění konzistentnosti ve všech dokumentech k nabídkovému řízení; zdůrazňuje, že nově složený výbor střediska pro veřejné zakázky, smlouvy a granty působí jako další mechanismus kontroly kvality; vyzývá středisko zejména k tomu, aby v zájmu zvýšení transparentnosti pečlivě kontrolovalo, zda v souvislosti s výběrovými řízeními a zadáváním zakázek nedochází ke střetům zájmů;</w:t>
            </w:r>
          </w:p>
        </w:tc>
      </w:tr>
    </w:tbl>
    <w:p>
      <w:pPr>
        <w:pStyle w:val="Olang"/>
      </w:pPr>
      <w:r>
        <w:t>Or.</w:t>
      </w:r>
      <w:r>
        <w:t xml:space="preserve"> </w:t>
      </w:r>
      <w:r>
        <w:rPr>
          <w:rStyle w:val="HideTWBExt"/>
        </w:rPr>
        <w:t>&lt;</w:t>
      </w:r>
      <w:r>
        <w:rPr>
          <w:rStyle w:val="HideTWBExt"/>
        </w:rPr>
        <w:t>Original</w:t>
      </w:r>
      <w:r>
        <w:rPr>
          <w:rStyle w:val="HideTWBExt"/>
        </w:rPr>
        <w:t>&gt;</w:t>
      </w:r>
      <w:r>
        <w:rPr>
          <w:rStyle w:val="HideTWBInt"/>
        </w:rPr>
        <w:t>{</w:t>
      </w:r>
      <w:r>
        <w:rPr>
          <w:rStyle w:val="HideTWBInt"/>
        </w:rPr>
        <w:t>IT</w:t>
      </w:r>
      <w:r>
        <w:rPr>
          <w:rStyle w:val="HideTWBInt"/>
        </w:rPr>
        <w:t>}</w:t>
      </w:r>
      <w:r>
        <w:t>it</w:t>
      </w:r>
      <w:r>
        <w:rPr>
          <w:rStyle w:val="HideTWBExt"/>
        </w:rPr>
        <w:t>&lt;/</w:t>
      </w:r>
      <w:r>
        <w:rPr>
          <w:rStyle w:val="HideTWBExt"/>
        </w:rPr>
        <w:t>Original</w:t>
      </w:r>
      <w:r>
        <w:rPr>
          <w:rStyle w:val="HideTWBExt"/>
        </w:rPr>
        <w:t>&gt;</w:t>
      </w:r>
    </w:p>
    <w:p>
      <w:r>
        <w:rPr>
          <w:rStyle w:val="HideTWBExt"/>
        </w:rPr>
        <w:t>&lt;/</w:t>
      </w:r>
      <w:r>
        <w:rPr>
          <w:rStyle w:val="HideTWBExt"/>
        </w:rPr>
        <w:t>Amend</w:t>
      </w:r>
      <w:r>
        <w:rPr>
          <w:rStyle w:val="HideTWBExt"/>
        </w:rPr>
        <w:t>&gt;</w:t>
      </w:r>
    </w:p>
    <w:p>
      <w:pPr>
        <w:pStyle w:val="AMNumberTabs"/>
      </w:pPr>
      <w:r>
        <w:rPr>
          <w:rStyle w:val="HideTWBExt"/>
        </w:rPr>
        <w:t>&lt;</w:t>
      </w:r>
      <w:r>
        <w:rPr>
          <w:rStyle w:val="HideTWBExt"/>
        </w:rPr>
        <w:t>Amend</w:t>
      </w:r>
      <w:r>
        <w:rPr>
          <w:rStyle w:val="HideTWBExt"/>
        </w:rPr>
        <w:t>&gt;</w:t>
      </w:r>
      <w:r>
        <w:t>Pozměňovací návrh</w:t>
      </w:r>
      <w:r>
        <w:t xml:space="preserve"> </w:t>
      </w:r>
      <w:r>
        <w:tab/>
      </w:r>
      <w:r>
        <w:tab/>
      </w:r>
      <w:r>
        <w:rPr>
          <w:rStyle w:val="HideTWBExt"/>
        </w:rPr>
        <w:t>&lt;</w:t>
      </w:r>
      <w:r>
        <w:rPr>
          <w:rStyle w:val="HideTWBExt"/>
        </w:rPr>
        <w:t>NumAm</w:t>
      </w:r>
      <w:r>
        <w:rPr>
          <w:rStyle w:val="HideTWBExt"/>
        </w:rPr>
        <w:t>&gt;</w:t>
      </w:r>
      <w:r>
        <w:t>6</w:t>
      </w:r>
      <w:r>
        <w:rPr>
          <w:rStyle w:val="HideTWBExt"/>
        </w:rPr>
        <w:t>&lt;/</w:t>
      </w:r>
      <w:r>
        <w:rPr>
          <w:rStyle w:val="HideTWBExt"/>
        </w:rPr>
        <w:t>NumAm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  <w:r>
        <w:rPr>
          <w:rStyle w:val="HideTWBExt"/>
        </w:rPr>
        <w:t>&lt;</w:t>
      </w:r>
      <w:r>
        <w:rPr>
          <w:rStyle w:val="HideTWBExt"/>
        </w:rPr>
        <w:t>Members</w:t>
      </w:r>
      <w:r>
        <w:rPr>
          <w:rStyle w:val="HideTWBExt"/>
        </w:rPr>
        <w:t>&gt;</w:t>
      </w:r>
      <w:r>
        <w:t>Michèle Rivasi</w:t>
      </w:r>
      <w:r>
        <w:rPr>
          <w:rStyle w:val="HideTWBExt"/>
        </w:rPr>
        <w:t>&lt;/</w:t>
      </w:r>
      <w:r>
        <w:rPr>
          <w:rStyle w:val="HideTWBExt"/>
        </w:rPr>
        <w:t>Members</w:t>
      </w:r>
      <w:r>
        <w:rPr>
          <w:rStyle w:val="HideTWBExt"/>
        </w:rPr>
        <w:t>&gt;</w:t>
      </w:r>
    </w:p>
    <w:p>
      <w:r>
        <w:rPr>
          <w:rStyle w:val="HideTWBExt"/>
        </w:rPr>
        <w:t>&lt;</w:t>
      </w:r>
      <w:r>
        <w:rPr>
          <w:rStyle w:val="HideTWBExt"/>
        </w:rPr>
        <w:t>AuNomDe</w:t>
      </w:r>
      <w:r>
        <w:rPr>
          <w:rStyle w:val="HideTWBExt"/>
        </w:rPr>
        <w:t>&gt;</w:t>
      </w:r>
      <w:r>
        <w:rPr>
          <w:rStyle w:val="HideTWBInt"/>
        </w:rPr>
        <w:t>{</w:t>
      </w:r>
      <w:r>
        <w:rPr>
          <w:rStyle w:val="HideTWBInt"/>
        </w:rPr>
        <w:t>Verts/ALE</w:t>
      </w:r>
      <w:r>
        <w:rPr>
          <w:rStyle w:val="HideTWBInt"/>
        </w:rPr>
        <w:t>}</w:t>
      </w:r>
      <w:r>
        <w:t xml:space="preserve">za skupinu </w:t>
      </w:r>
      <w:r>
        <w:t>Verts/ALE</w:t>
      </w:r>
      <w:r>
        <w:rPr>
          <w:rStyle w:val="HideTWBExt"/>
        </w:rPr>
        <w:t>&lt;/</w:t>
      </w:r>
      <w:r>
        <w:rPr>
          <w:rStyle w:val="HideTWBExt"/>
        </w:rPr>
        <w:t>AuNomDe</w:t>
      </w:r>
      <w:r>
        <w:rPr>
          <w:rStyle w:val="HideTWBExt"/>
        </w:rPr>
        <w:t>&gt;</w:t>
      </w:r>
    </w:p>
    <w:p>
      <w:r>
        <w:rPr>
          <w:rStyle w:val="HideTWBExt"/>
        </w:rPr>
        <w:t>&lt;/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DocAmend</w:t>
      </w:r>
      <w:r>
        <w:rPr>
          <w:rStyle w:val="HideTWBExt"/>
        </w:rPr>
        <w:t>&gt;</w:t>
      </w:r>
      <w:r>
        <w:t>Návrh stanoviska</w:t>
      </w:r>
      <w:r>
        <w:rPr>
          <w:rStyle w:val="HideTWBExt"/>
        </w:rPr>
        <w:t>&lt;/</w:t>
      </w:r>
      <w:r>
        <w:rPr>
          <w:rStyle w:val="HideTWBExt"/>
        </w:rPr>
        <w:t>DocAmend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Article</w:t>
      </w:r>
      <w:r>
        <w:rPr>
          <w:rStyle w:val="HideTWBExt"/>
        </w:rPr>
        <w:t>&gt;</w:t>
      </w:r>
      <w:r>
        <w:t>Bod 5 a (nový)</w:t>
      </w:r>
      <w:r>
        <w:rPr>
          <w:rStyle w:val="HideTWBExt"/>
        </w:rPr>
        <w:t>&lt;/</w:t>
      </w:r>
      <w:r>
        <w:rPr>
          <w:rStyle w:val="HideTWBExt"/>
        </w:rPr>
        <w:t>Article</w:t>
      </w:r>
      <w:r>
        <w:rPr>
          <w:rStyle w:val="HideTWBExt"/>
        </w:rPr>
        <w:t>&gt;</w:t>
      </w:r>
    </w:p>
    <w:tbl>
      <w:tblPr>
        <w:jc w:val="center"/>
        <w:tblLayout w:type="fixed"/>
        <w:tblCellMar>
          <w:top w:w="0" w:type="dxa"/>
          <w:left w:w="340" w:type="dxa"/>
          <w:bottom w:w="0" w:type="dxa"/>
          <w:right w:w="340" w:type="dxa"/>
        </w:tblCellMar>
      </w:tblPr>
      <w:tblGrid>
        <w:gridCol w:w="4876"/>
        <w:gridCol w:w="4876"/>
      </w:tblGrid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trHeight w:hRule="exact" w:val="240"/>
          <w:jc w:val="center"/>
        </w:trPr>
        <w:tc>
          <w:tcPr>
            <w:gridSpan w:val="2"/>
          </w:tcPr>
          <w:p/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trHeight w:val="240"/>
          <w:jc w:val="center"/>
        </w:trPr>
        <w:tc>
          <w:tcPr/>
          <w:p>
            <w:pPr>
              <w:pStyle w:val="ColumnHeading"/>
            </w:pPr>
            <w:r>
              <w:t>Návrh stanoviska</w:t>
            </w:r>
          </w:p>
        </w:tc>
        <w:tc>
          <w:tcPr/>
          <w:p>
            <w:pPr>
              <w:pStyle w:val="ColumnHeading"/>
            </w:pPr>
            <w:r>
              <w:t>Pozměňovací návrh</w:t>
            </w:r>
          </w:p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trHeight w:hRule="auto" w:val="0"/>
          <w:jc w:val="center"/>
        </w:trPr>
        <w:tc>
          <w:tcPr/>
          <w:p>
            <w:pPr>
              <w:pStyle w:val="Normal6"/>
            </w:pPr>
          </w:p>
        </w:tc>
        <w:tc>
          <w:tcPr/>
          <w:p>
            <w:pPr>
              <w:pStyle w:val="Normal6"/>
            </w:pP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000000"/>
                <w:sz w:val="24"/>
                <w:highlight w:val="none"/>
                <w:u w:val="none" w:color="auto"/>
              </w:rPr>
              <w:t>5a.</w:t>
            </w:r>
            <w:r>
              <w:tab/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000000"/>
                <w:sz w:val="24"/>
                <w:highlight w:val="none"/>
                <w:u w:val="none" w:color="auto"/>
              </w:rPr>
              <w:t>připomíná, že středisko může udělovat granty institucím a jednotlivcům, a vyzývá ho, aby podporovalo nezávislý výzkum v případě vakcín, jejichž bezpečnost některé členské státy zpochybňují; poznamenává, že k transparentnosti klinických údajů, farmakovigilanci a monitorování vedlejších účinků vakcín by přispěla také spolupráce Evropské agentury pro léčivé přípravky se střediskem;</w:t>
            </w:r>
          </w:p>
        </w:tc>
      </w:tr>
    </w:tbl>
    <w:p>
      <w:pPr>
        <w:pStyle w:val="Olang"/>
      </w:pPr>
      <w:r>
        <w:t>Or.</w:t>
      </w:r>
      <w:r>
        <w:t xml:space="preserve"> </w:t>
      </w:r>
      <w:r>
        <w:rPr>
          <w:rStyle w:val="HideTWBExt"/>
        </w:rPr>
        <w:t>&lt;</w:t>
      </w:r>
      <w:r>
        <w:rPr>
          <w:rStyle w:val="HideTWBExt"/>
        </w:rPr>
        <w:t>Original</w:t>
      </w:r>
      <w:r>
        <w:rPr>
          <w:rStyle w:val="HideTWBExt"/>
        </w:rPr>
        <w:t>&gt;</w:t>
      </w:r>
      <w:r>
        <w:rPr>
          <w:rStyle w:val="HideTWBInt"/>
        </w:rPr>
        <w:t>{</w:t>
      </w:r>
      <w:r>
        <w:rPr>
          <w:rStyle w:val="HideTWBInt"/>
        </w:rPr>
        <w:t>EN</w:t>
      </w:r>
      <w:r>
        <w:rPr>
          <w:rStyle w:val="HideTWBInt"/>
        </w:rPr>
        <w:t>}</w:t>
      </w:r>
      <w:r>
        <w:t>en</w:t>
      </w:r>
      <w:r>
        <w:rPr>
          <w:rStyle w:val="HideTWBExt"/>
        </w:rPr>
        <w:t>&lt;/</w:t>
      </w:r>
      <w:r>
        <w:rPr>
          <w:rStyle w:val="HideTWBExt"/>
        </w:rPr>
        <w:t>Original</w:t>
      </w:r>
      <w:r>
        <w:rPr>
          <w:rStyle w:val="HideTWBExt"/>
        </w:rPr>
        <w:t>&gt;</w:t>
      </w:r>
    </w:p>
    <w:p>
      <w:r>
        <w:rPr>
          <w:rStyle w:val="HideTWBExt"/>
        </w:rPr>
        <w:t>&lt;/</w:t>
      </w:r>
      <w:r>
        <w:rPr>
          <w:rStyle w:val="HideTWBExt"/>
        </w:rPr>
        <w:t>Amend</w:t>
      </w:r>
      <w:r>
        <w:rPr>
          <w:rStyle w:val="HideTWBExt"/>
        </w:rPr>
        <w:t>&gt;</w:t>
      </w:r>
    </w:p>
    <w:p>
      <w:pPr>
        <w:pStyle w:val="AMNumberTabs"/>
      </w:pPr>
      <w:r>
        <w:rPr>
          <w:rStyle w:val="HideTWBExt"/>
        </w:rPr>
        <w:t>&lt;</w:t>
      </w:r>
      <w:r>
        <w:rPr>
          <w:rStyle w:val="HideTWBExt"/>
        </w:rPr>
        <w:t>Amend</w:t>
      </w:r>
      <w:r>
        <w:rPr>
          <w:rStyle w:val="HideTWBExt"/>
        </w:rPr>
        <w:t>&gt;</w:t>
      </w:r>
      <w:r>
        <w:t>Pozměňovací návrh</w:t>
      </w:r>
      <w:r>
        <w:t xml:space="preserve"> </w:t>
      </w:r>
      <w:r>
        <w:tab/>
      </w:r>
      <w:r>
        <w:tab/>
      </w:r>
      <w:r>
        <w:rPr>
          <w:rStyle w:val="HideTWBExt"/>
        </w:rPr>
        <w:t>&lt;</w:t>
      </w:r>
      <w:r>
        <w:rPr>
          <w:rStyle w:val="HideTWBExt"/>
        </w:rPr>
        <w:t>NumAm</w:t>
      </w:r>
      <w:r>
        <w:rPr>
          <w:rStyle w:val="HideTWBExt"/>
        </w:rPr>
        <w:t>&gt;</w:t>
      </w:r>
      <w:r>
        <w:t>7</w:t>
      </w:r>
      <w:r>
        <w:rPr>
          <w:rStyle w:val="HideTWBExt"/>
        </w:rPr>
        <w:t>&lt;/</w:t>
      </w:r>
      <w:r>
        <w:rPr>
          <w:rStyle w:val="HideTWBExt"/>
        </w:rPr>
        <w:t>NumAm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  <w:r>
        <w:rPr>
          <w:rStyle w:val="HideTWBExt"/>
        </w:rPr>
        <w:t>&lt;</w:t>
      </w:r>
      <w:r>
        <w:rPr>
          <w:rStyle w:val="HideTWBExt"/>
        </w:rPr>
        <w:t>Members</w:t>
      </w:r>
      <w:r>
        <w:rPr>
          <w:rStyle w:val="HideTWBExt"/>
        </w:rPr>
        <w:t>&gt;</w:t>
      </w:r>
      <w:r>
        <w:t>Jasenko Selimovic</w:t>
      </w:r>
      <w:r>
        <w:rPr>
          <w:rStyle w:val="HideTWBExt"/>
        </w:rPr>
        <w:t>&lt;/</w:t>
      </w:r>
      <w:r>
        <w:rPr>
          <w:rStyle w:val="HideTWBExt"/>
        </w:rPr>
        <w:t>Members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&lt;/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DocAmend</w:t>
      </w:r>
      <w:r>
        <w:rPr>
          <w:rStyle w:val="HideTWBExt"/>
        </w:rPr>
        <w:t>&gt;</w:t>
      </w:r>
      <w:r>
        <w:t>Návrh stanoviska</w:t>
      </w:r>
      <w:r>
        <w:rPr>
          <w:rStyle w:val="HideTWBExt"/>
        </w:rPr>
        <w:t>&lt;/</w:t>
      </w:r>
      <w:r>
        <w:rPr>
          <w:rStyle w:val="HideTWBExt"/>
        </w:rPr>
        <w:t>DocAmend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Article</w:t>
      </w:r>
      <w:r>
        <w:rPr>
          <w:rStyle w:val="HideTWBExt"/>
        </w:rPr>
        <w:t>&gt;</w:t>
      </w:r>
      <w:r>
        <w:t>Bod 5 a (nový)</w:t>
      </w:r>
      <w:r>
        <w:rPr>
          <w:rStyle w:val="HideTWBExt"/>
        </w:rPr>
        <w:t>&lt;/</w:t>
      </w:r>
      <w:r>
        <w:rPr>
          <w:rStyle w:val="HideTWBExt"/>
        </w:rPr>
        <w:t>Article</w:t>
      </w:r>
      <w:r>
        <w:rPr>
          <w:rStyle w:val="HideTWBExt"/>
        </w:rPr>
        <w:t>&gt;</w:t>
      </w:r>
    </w:p>
    <w:tbl>
      <w:tblPr>
        <w:jc w:val="center"/>
        <w:tblLayout w:type="fixed"/>
        <w:tblCellMar>
          <w:top w:w="0" w:type="dxa"/>
          <w:left w:w="340" w:type="dxa"/>
          <w:bottom w:w="0" w:type="dxa"/>
          <w:right w:w="340" w:type="dxa"/>
        </w:tblCellMar>
      </w:tblPr>
      <w:tblGrid>
        <w:gridCol w:w="4876"/>
        <w:gridCol w:w="4876"/>
      </w:tblGrid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trHeight w:hRule="exact" w:val="240"/>
          <w:jc w:val="center"/>
        </w:trPr>
        <w:tc>
          <w:tcPr>
            <w:gridSpan w:val="2"/>
          </w:tcPr>
          <w:p/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trHeight w:val="240"/>
          <w:jc w:val="center"/>
        </w:trPr>
        <w:tc>
          <w:tcPr/>
          <w:p>
            <w:pPr>
              <w:pStyle w:val="ColumnHeading"/>
            </w:pPr>
            <w:r>
              <w:t>Návrh stanoviska</w:t>
            </w:r>
          </w:p>
        </w:tc>
        <w:tc>
          <w:tcPr/>
          <w:p>
            <w:pPr>
              <w:pStyle w:val="ColumnHeading"/>
            </w:pPr>
            <w:r>
              <w:t>Pozměňovací návrh</w:t>
            </w:r>
          </w:p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trHeight w:hRule="auto" w:val="0"/>
          <w:jc w:val="center"/>
        </w:trPr>
        <w:tc>
          <w:tcPr/>
          <w:p>
            <w:pPr>
              <w:pStyle w:val="Normal6"/>
            </w:pPr>
          </w:p>
        </w:tc>
        <w:tc>
          <w:tcPr/>
          <w:p>
            <w:pPr>
              <w:pStyle w:val="Normal6"/>
            </w:pP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000000"/>
                <w:sz w:val="24"/>
                <w:highlight w:val="none"/>
                <w:u w:val="none" w:color="auto"/>
              </w:rPr>
              <w:t>5a.</w:t>
            </w:r>
            <w:r>
              <w:tab/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000000"/>
                <w:sz w:val="24"/>
                <w:highlight w:val="none"/>
                <w:u w:val="none" w:color="auto"/>
              </w:rPr>
              <w:t>doporučuje, aby středisko po vzoru jiných agentur EU předkládalo společný strategický dokument, který by měl zahrnovat ukazatele pro monitorování rozvoje týmu zaměstnanců a politiky externího zadávání projektů;</w:t>
            </w:r>
          </w:p>
        </w:tc>
      </w:tr>
    </w:tbl>
    <w:p>
      <w:pPr>
        <w:pStyle w:val="Olang"/>
      </w:pPr>
      <w:r>
        <w:t>Or.</w:t>
      </w:r>
      <w:r>
        <w:t xml:space="preserve"> </w:t>
      </w:r>
      <w:r>
        <w:rPr>
          <w:rStyle w:val="HideTWBExt"/>
        </w:rPr>
        <w:t>&lt;</w:t>
      </w:r>
      <w:r>
        <w:rPr>
          <w:rStyle w:val="HideTWBExt"/>
        </w:rPr>
        <w:t>Original</w:t>
      </w:r>
      <w:r>
        <w:rPr>
          <w:rStyle w:val="HideTWBExt"/>
        </w:rPr>
        <w:t>&gt;</w:t>
      </w:r>
      <w:r>
        <w:rPr>
          <w:rStyle w:val="HideTWBInt"/>
        </w:rPr>
        <w:t>{</w:t>
      </w:r>
      <w:r>
        <w:rPr>
          <w:rStyle w:val="HideTWBInt"/>
        </w:rPr>
        <w:t>EN</w:t>
      </w:r>
      <w:r>
        <w:rPr>
          <w:rStyle w:val="HideTWBInt"/>
        </w:rPr>
        <w:t>}</w:t>
      </w:r>
      <w:r>
        <w:t>en</w:t>
      </w:r>
      <w:r>
        <w:rPr>
          <w:rStyle w:val="HideTWBExt"/>
        </w:rPr>
        <w:t>&lt;/</w:t>
      </w:r>
      <w:r>
        <w:rPr>
          <w:rStyle w:val="HideTWBExt"/>
        </w:rPr>
        <w:t>Original</w:t>
      </w:r>
      <w:r>
        <w:rPr>
          <w:rStyle w:val="HideTWBExt"/>
        </w:rPr>
        <w:t>&gt;</w:t>
      </w:r>
    </w:p>
    <w:p>
      <w:r>
        <w:rPr>
          <w:rStyle w:val="HideTWBExt"/>
        </w:rPr>
        <w:t>&lt;/</w:t>
      </w:r>
      <w:r>
        <w:rPr>
          <w:rStyle w:val="HideTWBExt"/>
        </w:rPr>
        <w:t>Amend</w:t>
      </w:r>
      <w:r>
        <w:rPr>
          <w:rStyle w:val="HideTWBExt"/>
        </w:rPr>
        <w:t>&gt;</w:t>
      </w:r>
    </w:p>
    <w:p>
      <w:pPr>
        <w:pStyle w:val="AMNumberTabs"/>
      </w:pPr>
      <w:r>
        <w:rPr>
          <w:rStyle w:val="HideTWBExt"/>
        </w:rPr>
        <w:t>&lt;</w:t>
      </w:r>
      <w:r>
        <w:rPr>
          <w:rStyle w:val="HideTWBExt"/>
        </w:rPr>
        <w:t>Amend</w:t>
      </w:r>
      <w:r>
        <w:rPr>
          <w:rStyle w:val="HideTWBExt"/>
        </w:rPr>
        <w:t>&gt;</w:t>
      </w:r>
      <w:r>
        <w:t>Pozměňovací návrh</w:t>
      </w:r>
      <w:r>
        <w:t xml:space="preserve"> </w:t>
      </w:r>
      <w:r>
        <w:tab/>
      </w:r>
      <w:r>
        <w:tab/>
      </w:r>
      <w:r>
        <w:rPr>
          <w:rStyle w:val="HideTWBExt"/>
        </w:rPr>
        <w:t>&lt;</w:t>
      </w:r>
      <w:r>
        <w:rPr>
          <w:rStyle w:val="HideTWBExt"/>
        </w:rPr>
        <w:t>NumAm</w:t>
      </w:r>
      <w:r>
        <w:rPr>
          <w:rStyle w:val="HideTWBExt"/>
        </w:rPr>
        <w:t>&gt;</w:t>
      </w:r>
      <w:r>
        <w:t>8</w:t>
      </w:r>
      <w:r>
        <w:rPr>
          <w:rStyle w:val="HideTWBExt"/>
        </w:rPr>
        <w:t>&lt;/</w:t>
      </w:r>
      <w:r>
        <w:rPr>
          <w:rStyle w:val="HideTWBExt"/>
        </w:rPr>
        <w:t>NumAm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  <w:r>
        <w:rPr>
          <w:rStyle w:val="HideTWBExt"/>
        </w:rPr>
        <w:t>&lt;</w:t>
      </w:r>
      <w:r>
        <w:rPr>
          <w:rStyle w:val="HideTWBExt"/>
        </w:rPr>
        <w:t>Members</w:t>
      </w:r>
      <w:r>
        <w:rPr>
          <w:rStyle w:val="HideTWBExt"/>
        </w:rPr>
        <w:t>&gt;</w:t>
      </w:r>
      <w:r>
        <w:t>Nicola Caputo</w:t>
      </w:r>
      <w:r>
        <w:t xml:space="preserve">, </w:t>
      </w:r>
      <w:r>
        <w:t>Doru-Claudian Frunzulică</w:t>
      </w:r>
      <w:r>
        <w:rPr>
          <w:rStyle w:val="HideTWBExt"/>
        </w:rPr>
        <w:t>&lt;/</w:t>
      </w:r>
      <w:r>
        <w:rPr>
          <w:rStyle w:val="HideTWBExt"/>
        </w:rPr>
        <w:t>Members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&lt;/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DocAmend</w:t>
      </w:r>
      <w:r>
        <w:rPr>
          <w:rStyle w:val="HideTWBExt"/>
        </w:rPr>
        <w:t>&gt;</w:t>
      </w:r>
      <w:r>
        <w:t>Návrh stanoviska</w:t>
      </w:r>
      <w:r>
        <w:rPr>
          <w:rStyle w:val="HideTWBExt"/>
        </w:rPr>
        <w:t>&lt;/</w:t>
      </w:r>
      <w:r>
        <w:rPr>
          <w:rStyle w:val="HideTWBExt"/>
        </w:rPr>
        <w:t>DocAmend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Article</w:t>
      </w:r>
      <w:r>
        <w:rPr>
          <w:rStyle w:val="HideTWBExt"/>
        </w:rPr>
        <w:t>&gt;</w:t>
      </w:r>
      <w:r>
        <w:t>Bod 5 b (nový)</w:t>
      </w:r>
      <w:r>
        <w:rPr>
          <w:rStyle w:val="HideTWBExt"/>
        </w:rPr>
        <w:t>&lt;/</w:t>
      </w:r>
      <w:r>
        <w:rPr>
          <w:rStyle w:val="HideTWBExt"/>
        </w:rPr>
        <w:t>Article</w:t>
      </w:r>
      <w:r>
        <w:rPr>
          <w:rStyle w:val="HideTWBExt"/>
        </w:rPr>
        <w:t>&gt;</w:t>
      </w:r>
    </w:p>
    <w:tbl>
      <w:tblPr>
        <w:jc w:val="center"/>
        <w:tblLayout w:type="fixed"/>
        <w:tblCellMar>
          <w:top w:w="0" w:type="dxa"/>
          <w:left w:w="340" w:type="dxa"/>
          <w:bottom w:w="0" w:type="dxa"/>
          <w:right w:w="340" w:type="dxa"/>
        </w:tblCellMar>
      </w:tblPr>
      <w:tblGrid>
        <w:gridCol w:w="4876"/>
        <w:gridCol w:w="4876"/>
      </w:tblGrid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trHeight w:hRule="exact" w:val="240"/>
          <w:jc w:val="center"/>
        </w:trPr>
        <w:tc>
          <w:tcPr>
            <w:gridSpan w:val="2"/>
          </w:tcPr>
          <w:p/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trHeight w:val="240"/>
          <w:jc w:val="center"/>
        </w:trPr>
        <w:tc>
          <w:tcPr/>
          <w:p>
            <w:pPr>
              <w:pStyle w:val="ColumnHeading"/>
            </w:pPr>
            <w:r>
              <w:t>Návrh stanoviska</w:t>
            </w:r>
          </w:p>
        </w:tc>
        <w:tc>
          <w:tcPr/>
          <w:p>
            <w:pPr>
              <w:pStyle w:val="ColumnHeading"/>
            </w:pPr>
            <w:r>
              <w:t>Pozměňovací návrh</w:t>
            </w:r>
          </w:p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trHeight w:hRule="auto" w:val="0"/>
          <w:jc w:val="center"/>
        </w:trPr>
        <w:tc>
          <w:tcPr/>
          <w:p>
            <w:pPr>
              <w:pStyle w:val="Normal6"/>
            </w:pPr>
          </w:p>
        </w:tc>
        <w:tc>
          <w:tcPr/>
          <w:p>
            <w:pPr>
              <w:pStyle w:val="Normal6"/>
            </w:pP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000000"/>
                <w:sz w:val="24"/>
                <w:highlight w:val="none"/>
                <w:u w:val="none" w:color="auto"/>
              </w:rPr>
              <w:t>5b.</w:t>
            </w:r>
            <w:r>
              <w:tab/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000000"/>
                <w:sz w:val="24"/>
                <w:highlight w:val="none"/>
                <w:u w:val="none" w:color="auto"/>
              </w:rPr>
              <w:t>žádá středisko, aby důsledně uplatňovalo opatření týkající se diskrétnosti a vyloučení u zadávání veřejných zakázek, přičemž v každém z takových případů musí být prováděny náležité kontroly správnosti daného rozhodnutí, a aby uplatňovalo kritéria vyloučení s cílem vyřadit společnosti, u nichž nastává jakýkoli střet zájmů, což je zásadní v zájmu zachování důvěryhodnosti institucí;</w:t>
            </w:r>
          </w:p>
        </w:tc>
      </w:tr>
    </w:tbl>
    <w:p>
      <w:pPr>
        <w:pStyle w:val="Olang"/>
      </w:pPr>
      <w:r>
        <w:t>Or.</w:t>
      </w:r>
      <w:r>
        <w:t xml:space="preserve"> </w:t>
      </w:r>
      <w:r>
        <w:rPr>
          <w:rStyle w:val="HideTWBExt"/>
        </w:rPr>
        <w:t>&lt;</w:t>
      </w:r>
      <w:r>
        <w:rPr>
          <w:rStyle w:val="HideTWBExt"/>
        </w:rPr>
        <w:t>Original</w:t>
      </w:r>
      <w:r>
        <w:rPr>
          <w:rStyle w:val="HideTWBExt"/>
        </w:rPr>
        <w:t>&gt;</w:t>
      </w:r>
      <w:r>
        <w:rPr>
          <w:rStyle w:val="HideTWBInt"/>
        </w:rPr>
        <w:t>{</w:t>
      </w:r>
      <w:r>
        <w:rPr>
          <w:rStyle w:val="HideTWBInt"/>
        </w:rPr>
        <w:t>IT</w:t>
      </w:r>
      <w:r>
        <w:rPr>
          <w:rStyle w:val="HideTWBInt"/>
        </w:rPr>
        <w:t>}</w:t>
      </w:r>
      <w:r>
        <w:t>it</w:t>
      </w:r>
      <w:r>
        <w:rPr>
          <w:rStyle w:val="HideTWBExt"/>
        </w:rPr>
        <w:t>&lt;/</w:t>
      </w:r>
      <w:r>
        <w:rPr>
          <w:rStyle w:val="HideTWBExt"/>
        </w:rPr>
        <w:t>Original</w:t>
      </w:r>
      <w:r>
        <w:rPr>
          <w:rStyle w:val="HideTWBExt"/>
        </w:rPr>
        <w:t>&gt;</w:t>
      </w:r>
    </w:p>
    <w:p>
      <w:r>
        <w:rPr>
          <w:rStyle w:val="HideTWBExt"/>
        </w:rPr>
        <w:t>&lt;/</w:t>
      </w:r>
      <w:r>
        <w:rPr>
          <w:rStyle w:val="HideTWBExt"/>
        </w:rPr>
        <w:t>Amend</w:t>
      </w:r>
      <w:r>
        <w:rPr>
          <w:rStyle w:val="HideTWBExt"/>
        </w:rPr>
        <w:t>&gt;</w:t>
      </w:r>
    </w:p>
    <w:p>
      <w:pPr>
        <w:pStyle w:val="AMNumberTabs"/>
      </w:pPr>
      <w:r>
        <w:rPr>
          <w:rStyle w:val="HideTWBExt"/>
        </w:rPr>
        <w:t>&lt;</w:t>
      </w:r>
      <w:r>
        <w:rPr>
          <w:rStyle w:val="HideTWBExt"/>
        </w:rPr>
        <w:t>Amend</w:t>
      </w:r>
      <w:r>
        <w:rPr>
          <w:rStyle w:val="HideTWBExt"/>
        </w:rPr>
        <w:t>&gt;</w:t>
      </w:r>
      <w:r>
        <w:t>Pozměňovací návrh</w:t>
      </w:r>
      <w:r>
        <w:t xml:space="preserve"> </w:t>
      </w:r>
      <w:r>
        <w:tab/>
      </w:r>
      <w:r>
        <w:tab/>
      </w:r>
      <w:r>
        <w:rPr>
          <w:rStyle w:val="HideTWBExt"/>
        </w:rPr>
        <w:t>&lt;</w:t>
      </w:r>
      <w:r>
        <w:rPr>
          <w:rStyle w:val="HideTWBExt"/>
        </w:rPr>
        <w:t>NumAm</w:t>
      </w:r>
      <w:r>
        <w:rPr>
          <w:rStyle w:val="HideTWBExt"/>
        </w:rPr>
        <w:t>&gt;</w:t>
      </w:r>
      <w:r>
        <w:t>9</w:t>
      </w:r>
      <w:r>
        <w:rPr>
          <w:rStyle w:val="HideTWBExt"/>
        </w:rPr>
        <w:t>&lt;/</w:t>
      </w:r>
      <w:r>
        <w:rPr>
          <w:rStyle w:val="HideTWBExt"/>
        </w:rPr>
        <w:t>NumAm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  <w:r>
        <w:rPr>
          <w:rStyle w:val="HideTWBExt"/>
        </w:rPr>
        <w:t>&lt;</w:t>
      </w:r>
      <w:r>
        <w:rPr>
          <w:rStyle w:val="HideTWBExt"/>
        </w:rPr>
        <w:t>Members</w:t>
      </w:r>
      <w:r>
        <w:rPr>
          <w:rStyle w:val="HideTWBExt"/>
        </w:rPr>
        <w:t>&gt;</w:t>
      </w:r>
      <w:r>
        <w:t>Jasenko Selimovic</w:t>
      </w:r>
      <w:r>
        <w:rPr>
          <w:rStyle w:val="HideTWBExt"/>
        </w:rPr>
        <w:t>&lt;/</w:t>
      </w:r>
      <w:r>
        <w:rPr>
          <w:rStyle w:val="HideTWBExt"/>
        </w:rPr>
        <w:t>Members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&lt;/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DocAmend</w:t>
      </w:r>
      <w:r>
        <w:rPr>
          <w:rStyle w:val="HideTWBExt"/>
        </w:rPr>
        <w:t>&gt;</w:t>
      </w:r>
      <w:r>
        <w:t>Návrh stanoviska</w:t>
      </w:r>
      <w:r>
        <w:rPr>
          <w:rStyle w:val="HideTWBExt"/>
        </w:rPr>
        <w:t>&lt;/</w:t>
      </w:r>
      <w:r>
        <w:rPr>
          <w:rStyle w:val="HideTWBExt"/>
        </w:rPr>
        <w:t>DocAmend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Article</w:t>
      </w:r>
      <w:r>
        <w:rPr>
          <w:rStyle w:val="HideTWBExt"/>
        </w:rPr>
        <w:t>&gt;</w:t>
      </w:r>
      <w:r>
        <w:t>Bod 5 b (nový)</w:t>
      </w:r>
      <w:r>
        <w:rPr>
          <w:rStyle w:val="HideTWBExt"/>
        </w:rPr>
        <w:t>&lt;/</w:t>
      </w:r>
      <w:r>
        <w:rPr>
          <w:rStyle w:val="HideTWBExt"/>
        </w:rPr>
        <w:t>Article</w:t>
      </w:r>
      <w:r>
        <w:rPr>
          <w:rStyle w:val="HideTWBExt"/>
        </w:rPr>
        <w:t>&gt;</w:t>
      </w:r>
    </w:p>
    <w:tbl>
      <w:tblPr>
        <w:jc w:val="center"/>
        <w:tblLayout w:type="fixed"/>
        <w:tblCellMar>
          <w:top w:w="0" w:type="dxa"/>
          <w:left w:w="340" w:type="dxa"/>
          <w:bottom w:w="0" w:type="dxa"/>
          <w:right w:w="340" w:type="dxa"/>
        </w:tblCellMar>
      </w:tblPr>
      <w:tblGrid>
        <w:gridCol w:w="4876"/>
        <w:gridCol w:w="4876"/>
      </w:tblGrid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trHeight w:hRule="exact" w:val="240"/>
          <w:jc w:val="center"/>
        </w:trPr>
        <w:tc>
          <w:tcPr>
            <w:gridSpan w:val="2"/>
          </w:tcPr>
          <w:p/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trHeight w:val="240"/>
          <w:jc w:val="center"/>
        </w:trPr>
        <w:tc>
          <w:tcPr/>
          <w:p>
            <w:pPr>
              <w:pStyle w:val="ColumnHeading"/>
            </w:pPr>
            <w:r>
              <w:t>Návrh stanoviska</w:t>
            </w:r>
          </w:p>
        </w:tc>
        <w:tc>
          <w:tcPr/>
          <w:p>
            <w:pPr>
              <w:pStyle w:val="ColumnHeading"/>
            </w:pPr>
            <w:r>
              <w:t>Pozměňovací návrh</w:t>
            </w:r>
          </w:p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trHeight w:hRule="auto" w:val="0"/>
          <w:jc w:val="center"/>
        </w:trPr>
        <w:tc>
          <w:tcPr/>
          <w:p>
            <w:pPr>
              <w:pStyle w:val="Normal6"/>
            </w:pPr>
          </w:p>
        </w:tc>
        <w:tc>
          <w:tcPr/>
          <w:p>
            <w:pPr>
              <w:pStyle w:val="Normal6"/>
            </w:pP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000000"/>
                <w:sz w:val="24"/>
                <w:highlight w:val="none"/>
                <w:u w:val="none" w:color="auto"/>
              </w:rPr>
              <w:t>5b.</w:t>
            </w:r>
            <w:r>
              <w:tab/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000000"/>
                <w:sz w:val="24"/>
                <w:highlight w:val="none"/>
                <w:u w:val="none" w:color="auto"/>
              </w:rPr>
              <w:t>zdůrazňuje, že středisko by mělo i nadále podporovat dialog se zúčastněnými stranami a s občany a mělo by ho začlenit mezi priority a činnosti, jež je třeba prosadit;</w:t>
            </w:r>
          </w:p>
        </w:tc>
      </w:tr>
    </w:tbl>
    <w:p>
      <w:pPr>
        <w:pStyle w:val="Olang"/>
      </w:pPr>
      <w:r>
        <w:t>Or.</w:t>
      </w:r>
      <w:r>
        <w:t xml:space="preserve"> </w:t>
      </w:r>
      <w:r>
        <w:rPr>
          <w:rStyle w:val="HideTWBExt"/>
        </w:rPr>
        <w:t>&lt;</w:t>
      </w:r>
      <w:r>
        <w:rPr>
          <w:rStyle w:val="HideTWBExt"/>
        </w:rPr>
        <w:t>Original</w:t>
      </w:r>
      <w:r>
        <w:rPr>
          <w:rStyle w:val="HideTWBExt"/>
        </w:rPr>
        <w:t>&gt;</w:t>
      </w:r>
      <w:r>
        <w:rPr>
          <w:rStyle w:val="HideTWBInt"/>
        </w:rPr>
        <w:t>{</w:t>
      </w:r>
      <w:r>
        <w:rPr>
          <w:rStyle w:val="HideTWBInt"/>
        </w:rPr>
        <w:t>EN</w:t>
      </w:r>
      <w:r>
        <w:rPr>
          <w:rStyle w:val="HideTWBInt"/>
        </w:rPr>
        <w:t>}</w:t>
      </w:r>
      <w:r>
        <w:t>en</w:t>
      </w:r>
      <w:r>
        <w:rPr>
          <w:rStyle w:val="HideTWBExt"/>
        </w:rPr>
        <w:t>&lt;/</w:t>
      </w:r>
      <w:r>
        <w:rPr>
          <w:rStyle w:val="HideTWBExt"/>
        </w:rPr>
        <w:t>Original</w:t>
      </w:r>
      <w:r>
        <w:rPr>
          <w:rStyle w:val="HideTWBExt"/>
        </w:rPr>
        <w:t>&gt;</w:t>
      </w:r>
    </w:p>
    <w:p>
      <w:r>
        <w:rPr>
          <w:rStyle w:val="HideTWBExt"/>
        </w:rPr>
        <w:t>&lt;/</w:t>
      </w:r>
      <w:r>
        <w:rPr>
          <w:rStyle w:val="HideTWBExt"/>
        </w:rPr>
        <w:t>Amend</w:t>
      </w:r>
      <w:r>
        <w:rPr>
          <w:rStyle w:val="HideTWBExt"/>
        </w:rPr>
        <w:t>&gt;</w:t>
      </w:r>
    </w:p>
    <w:p>
      <w:pPr>
        <w:pStyle w:val="AMNumberTabs"/>
      </w:pPr>
      <w:r>
        <w:rPr>
          <w:rStyle w:val="HideTWBExt"/>
        </w:rPr>
        <w:t>&lt;</w:t>
      </w:r>
      <w:r>
        <w:rPr>
          <w:rStyle w:val="HideTWBExt"/>
        </w:rPr>
        <w:t>Amend</w:t>
      </w:r>
      <w:r>
        <w:rPr>
          <w:rStyle w:val="HideTWBExt"/>
        </w:rPr>
        <w:t>&gt;</w:t>
      </w:r>
      <w:r>
        <w:t>Pozměňovací návrh</w:t>
      </w:r>
      <w:r>
        <w:t xml:space="preserve"> </w:t>
      </w:r>
      <w:r>
        <w:tab/>
      </w:r>
      <w:r>
        <w:tab/>
      </w:r>
      <w:r>
        <w:rPr>
          <w:rStyle w:val="HideTWBExt"/>
        </w:rPr>
        <w:t>&lt;</w:t>
      </w:r>
      <w:r>
        <w:rPr>
          <w:rStyle w:val="HideTWBExt"/>
        </w:rPr>
        <w:t>NumAm</w:t>
      </w:r>
      <w:r>
        <w:rPr>
          <w:rStyle w:val="HideTWBExt"/>
        </w:rPr>
        <w:t>&gt;</w:t>
      </w:r>
      <w:r>
        <w:t>10</w:t>
      </w:r>
      <w:r>
        <w:rPr>
          <w:rStyle w:val="HideTWBExt"/>
        </w:rPr>
        <w:t>&lt;/</w:t>
      </w:r>
      <w:r>
        <w:rPr>
          <w:rStyle w:val="HideTWBExt"/>
        </w:rPr>
        <w:t>NumAm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  <w:r>
        <w:rPr>
          <w:rStyle w:val="HideTWBExt"/>
        </w:rPr>
        <w:t>&lt;</w:t>
      </w:r>
      <w:r>
        <w:rPr>
          <w:rStyle w:val="HideTWBExt"/>
        </w:rPr>
        <w:t>Members</w:t>
      </w:r>
      <w:r>
        <w:rPr>
          <w:rStyle w:val="HideTWBExt"/>
        </w:rPr>
        <w:t>&gt;</w:t>
      </w:r>
      <w:r>
        <w:t>Jasenko Selimovic</w:t>
      </w:r>
      <w:r>
        <w:rPr>
          <w:rStyle w:val="HideTWBExt"/>
        </w:rPr>
        <w:t>&lt;/</w:t>
      </w:r>
      <w:r>
        <w:rPr>
          <w:rStyle w:val="HideTWBExt"/>
        </w:rPr>
        <w:t>Members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&lt;/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DocAmend</w:t>
      </w:r>
      <w:r>
        <w:rPr>
          <w:rStyle w:val="HideTWBExt"/>
        </w:rPr>
        <w:t>&gt;</w:t>
      </w:r>
      <w:r>
        <w:t>Návrh stanoviska</w:t>
      </w:r>
      <w:r>
        <w:rPr>
          <w:rStyle w:val="HideTWBExt"/>
        </w:rPr>
        <w:t>&lt;/</w:t>
      </w:r>
      <w:r>
        <w:rPr>
          <w:rStyle w:val="HideTWBExt"/>
        </w:rPr>
        <w:t>DocAmend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Article</w:t>
      </w:r>
      <w:r>
        <w:rPr>
          <w:rStyle w:val="HideTWBExt"/>
        </w:rPr>
        <w:t>&gt;</w:t>
      </w:r>
      <w:r>
        <w:t>Bod 5 c (nový)</w:t>
      </w:r>
      <w:r>
        <w:rPr>
          <w:rStyle w:val="HideTWBExt"/>
        </w:rPr>
        <w:t>&lt;/</w:t>
      </w:r>
      <w:r>
        <w:rPr>
          <w:rStyle w:val="HideTWBExt"/>
        </w:rPr>
        <w:t>Article</w:t>
      </w:r>
      <w:r>
        <w:rPr>
          <w:rStyle w:val="HideTWBExt"/>
        </w:rPr>
        <w:t>&gt;</w:t>
      </w:r>
    </w:p>
    <w:tbl>
      <w:tblPr>
        <w:jc w:val="center"/>
        <w:tblLayout w:type="fixed"/>
        <w:tblCellMar>
          <w:top w:w="0" w:type="dxa"/>
          <w:left w:w="340" w:type="dxa"/>
          <w:bottom w:w="0" w:type="dxa"/>
          <w:right w:w="340" w:type="dxa"/>
        </w:tblCellMar>
      </w:tblPr>
      <w:tblGrid>
        <w:gridCol w:w="4876"/>
        <w:gridCol w:w="4876"/>
      </w:tblGrid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trHeight w:hRule="exact" w:val="240"/>
          <w:jc w:val="center"/>
        </w:trPr>
        <w:tc>
          <w:tcPr>
            <w:gridSpan w:val="2"/>
          </w:tcPr>
          <w:p/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trHeight w:val="240"/>
          <w:jc w:val="center"/>
        </w:trPr>
        <w:tc>
          <w:tcPr/>
          <w:p>
            <w:pPr>
              <w:pStyle w:val="ColumnHeading"/>
            </w:pPr>
            <w:r>
              <w:t>Návrh stanoviska</w:t>
            </w:r>
          </w:p>
        </w:tc>
        <w:tc>
          <w:tcPr/>
          <w:p>
            <w:pPr>
              <w:pStyle w:val="ColumnHeading"/>
            </w:pPr>
            <w:r>
              <w:t>Pozměňovací návrh</w:t>
            </w:r>
          </w:p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trHeight w:hRule="auto" w:val="0"/>
          <w:jc w:val="center"/>
        </w:trPr>
        <w:tc>
          <w:tcPr/>
          <w:p>
            <w:pPr>
              <w:pStyle w:val="Normal6"/>
            </w:pPr>
          </w:p>
        </w:tc>
        <w:tc>
          <w:tcPr/>
          <w:p>
            <w:pPr>
              <w:pStyle w:val="Normal6"/>
            </w:pP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000000"/>
                <w:sz w:val="24"/>
                <w:highlight w:val="none"/>
                <w:u w:val="none" w:color="auto"/>
              </w:rPr>
              <w:t>5c.</w:t>
            </w:r>
            <w:r>
              <w:tab/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000000"/>
                <w:sz w:val="24"/>
                <w:highlight w:val="none"/>
                <w:u w:val="none" w:color="auto"/>
              </w:rPr>
              <w:t>doporučuje, aby středisko definovalo ukazatele dopadu; domnívá se, že tyto ukazatele dopadu jsou klíčovými nástroji pro měření efektivity střediska;</w:t>
            </w:r>
          </w:p>
        </w:tc>
      </w:tr>
    </w:tbl>
    <w:p>
      <w:pPr>
        <w:pStyle w:val="Olang"/>
      </w:pPr>
      <w:r>
        <w:t>Or.</w:t>
      </w:r>
      <w:r>
        <w:t xml:space="preserve"> </w:t>
      </w:r>
      <w:r>
        <w:rPr>
          <w:rStyle w:val="HideTWBExt"/>
        </w:rPr>
        <w:t>&lt;</w:t>
      </w:r>
      <w:r>
        <w:rPr>
          <w:rStyle w:val="HideTWBExt"/>
        </w:rPr>
        <w:t>Original</w:t>
      </w:r>
      <w:r>
        <w:rPr>
          <w:rStyle w:val="HideTWBExt"/>
        </w:rPr>
        <w:t>&gt;</w:t>
      </w:r>
      <w:r>
        <w:rPr>
          <w:rStyle w:val="HideTWBInt"/>
        </w:rPr>
        <w:t>{</w:t>
      </w:r>
      <w:r>
        <w:rPr>
          <w:rStyle w:val="HideTWBInt"/>
        </w:rPr>
        <w:t>EN</w:t>
      </w:r>
      <w:r>
        <w:rPr>
          <w:rStyle w:val="HideTWBInt"/>
        </w:rPr>
        <w:t>}</w:t>
      </w:r>
      <w:r>
        <w:t>en</w:t>
      </w:r>
      <w:r>
        <w:rPr>
          <w:rStyle w:val="HideTWBExt"/>
        </w:rPr>
        <w:t>&lt;/</w:t>
      </w:r>
      <w:r>
        <w:rPr>
          <w:rStyle w:val="HideTWBExt"/>
        </w:rPr>
        <w:t>Original</w:t>
      </w:r>
      <w:r>
        <w:rPr>
          <w:rStyle w:val="HideTWBExt"/>
        </w:rPr>
        <w:t>&gt;</w:t>
      </w:r>
    </w:p>
    <w:p>
      <w:r>
        <w:rPr>
          <w:rStyle w:val="HideTWBExt"/>
        </w:rPr>
        <w:t>&lt;/</w:t>
      </w:r>
      <w:r>
        <w:rPr>
          <w:rStyle w:val="HideTWBExt"/>
        </w:rPr>
        <w:t>Amend</w:t>
      </w:r>
      <w:r>
        <w:rPr>
          <w:rStyle w:val="HideTWBExt"/>
        </w:rPr>
        <w:t>&gt;</w:t>
      </w:r>
    </w:p>
    <w:p>
      <w:pPr>
        <w:pStyle w:val="AMNumberTabs"/>
      </w:pPr>
      <w:r>
        <w:rPr>
          <w:rStyle w:val="HideTWBExt"/>
        </w:rPr>
        <w:t>&lt;</w:t>
      </w:r>
      <w:r>
        <w:rPr>
          <w:rStyle w:val="HideTWBExt"/>
        </w:rPr>
        <w:t>Amend</w:t>
      </w:r>
      <w:r>
        <w:rPr>
          <w:rStyle w:val="HideTWBExt"/>
        </w:rPr>
        <w:t>&gt;</w:t>
      </w:r>
      <w:r>
        <w:t>Pozměňovací návrh</w:t>
      </w:r>
      <w:r>
        <w:t xml:space="preserve"> </w:t>
      </w:r>
      <w:r>
        <w:tab/>
      </w:r>
      <w:r>
        <w:tab/>
      </w:r>
      <w:r>
        <w:rPr>
          <w:rStyle w:val="HideTWBExt"/>
        </w:rPr>
        <w:t>&lt;</w:t>
      </w:r>
      <w:r>
        <w:rPr>
          <w:rStyle w:val="HideTWBExt"/>
        </w:rPr>
        <w:t>NumAm</w:t>
      </w:r>
      <w:r>
        <w:rPr>
          <w:rStyle w:val="HideTWBExt"/>
        </w:rPr>
        <w:t>&gt;</w:t>
      </w:r>
      <w:r>
        <w:t>11</w:t>
      </w:r>
      <w:r>
        <w:rPr>
          <w:rStyle w:val="HideTWBExt"/>
        </w:rPr>
        <w:t>&lt;/</w:t>
      </w:r>
      <w:r>
        <w:rPr>
          <w:rStyle w:val="HideTWBExt"/>
        </w:rPr>
        <w:t>NumAm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  <w:r>
        <w:rPr>
          <w:rStyle w:val="HideTWBExt"/>
        </w:rPr>
        <w:t>&lt;</w:t>
      </w:r>
      <w:r>
        <w:rPr>
          <w:rStyle w:val="HideTWBExt"/>
        </w:rPr>
        <w:t>Members</w:t>
      </w:r>
      <w:r>
        <w:rPr>
          <w:rStyle w:val="HideTWBExt"/>
        </w:rPr>
        <w:t>&gt;</w:t>
      </w:r>
      <w:r>
        <w:t>Eleftherios Synadinos</w:t>
      </w:r>
      <w:r>
        <w:rPr>
          <w:rStyle w:val="HideTWBExt"/>
        </w:rPr>
        <w:t>&lt;/</w:t>
      </w:r>
      <w:r>
        <w:rPr>
          <w:rStyle w:val="HideTWBExt"/>
        </w:rPr>
        <w:t>Members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&lt;/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DocAmend</w:t>
      </w:r>
      <w:r>
        <w:rPr>
          <w:rStyle w:val="HideTWBExt"/>
        </w:rPr>
        <w:t>&gt;</w:t>
      </w:r>
      <w:r>
        <w:t>Návrh stanoviska</w:t>
      </w:r>
      <w:r>
        <w:rPr>
          <w:rStyle w:val="HideTWBExt"/>
        </w:rPr>
        <w:t>&lt;/</w:t>
      </w:r>
      <w:r>
        <w:rPr>
          <w:rStyle w:val="HideTWBExt"/>
        </w:rPr>
        <w:t>DocAmend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Article</w:t>
      </w:r>
      <w:r>
        <w:rPr>
          <w:rStyle w:val="HideTWBExt"/>
        </w:rPr>
        <w:t>&gt;</w:t>
      </w:r>
      <w:r>
        <w:t>Bod 6</w:t>
      </w:r>
      <w:r>
        <w:rPr>
          <w:rStyle w:val="HideTWBExt"/>
        </w:rPr>
        <w:t>&lt;/</w:t>
      </w:r>
      <w:r>
        <w:rPr>
          <w:rStyle w:val="HideTWBExt"/>
        </w:rPr>
        <w:t>Article</w:t>
      </w:r>
      <w:r>
        <w:rPr>
          <w:rStyle w:val="HideTWBExt"/>
        </w:rPr>
        <w:t>&gt;</w:t>
      </w:r>
    </w:p>
    <w:tbl>
      <w:tblPr>
        <w:jc w:val="center"/>
        <w:tblLayout w:type="fixed"/>
        <w:tblCellMar>
          <w:top w:w="0" w:type="dxa"/>
          <w:left w:w="340" w:type="dxa"/>
          <w:bottom w:w="0" w:type="dxa"/>
          <w:right w:w="340" w:type="dxa"/>
        </w:tblCellMar>
      </w:tblPr>
      <w:tblGrid>
        <w:gridCol w:w="4876"/>
        <w:gridCol w:w="4876"/>
      </w:tblGrid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trHeight w:hRule="exact" w:val="240"/>
          <w:jc w:val="center"/>
        </w:trPr>
        <w:tc>
          <w:tcPr>
            <w:gridSpan w:val="2"/>
          </w:tcPr>
          <w:p/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trHeight w:val="240"/>
          <w:jc w:val="center"/>
        </w:trPr>
        <w:tc>
          <w:tcPr/>
          <w:p>
            <w:pPr>
              <w:pStyle w:val="ColumnHeading"/>
            </w:pPr>
            <w:r>
              <w:t>Návrh stanoviska</w:t>
            </w:r>
          </w:p>
        </w:tc>
        <w:tc>
          <w:tcPr/>
          <w:p>
            <w:pPr>
              <w:pStyle w:val="ColumnHeading"/>
            </w:pPr>
            <w:r>
              <w:t>Pozměňovací návrh</w:t>
            </w:r>
          </w:p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trHeight w:hRule="auto" w:val="0"/>
          <w:jc w:val="center"/>
        </w:trPr>
        <w:tc>
          <w:tcPr/>
          <w:p>
            <w:pPr>
              <w:pStyle w:val="Normal6"/>
            </w:pPr>
            <w:r>
              <w:t>6.</w:t>
            </w:r>
            <w:r>
              <w:tab/>
            </w:r>
            <w:r>
              <w:t xml:space="preserve">připomíná, že středisko má jakožto agentura EU rozpočet vyjádřený v eurech; vzhledem k tomu, že je však </w:t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000000"/>
                <w:sz w:val="24"/>
                <w:highlight w:val="none"/>
                <w:u w:val="none" w:color="auto"/>
              </w:rPr>
              <w:t>umístěn</w:t>
            </w:r>
            <w:r>
              <w:t xml:space="preserve"> ve Švédsku a tudíž mimo Eurozónu, k mnoha výdajům dochází ve švédských korunách (SEK); středisko je také vystaveno kolísání směnných kurzů, protože nejenomže nemá bankovní účty ve švédských korunách, ale provádí také některé transakce ještě v dalších měnách;</w:t>
            </w:r>
          </w:p>
        </w:tc>
        <w:tc>
          <w:tcPr/>
          <w:p>
            <w:pPr>
              <w:pStyle w:val="Normal6"/>
            </w:pPr>
            <w:r>
              <w:t>6.</w:t>
            </w:r>
            <w:r>
              <w:tab/>
            </w:r>
            <w:r>
              <w:t xml:space="preserve">připomíná, že středisko má jakožto agentura EU rozpočet vyjádřený v eurech; vzhledem k tomu, že je však </w:t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000000"/>
                <w:sz w:val="24"/>
                <w:highlight w:val="none"/>
                <w:u w:val="none" w:color="auto"/>
              </w:rPr>
              <w:t>umístěno</w:t>
            </w:r>
            <w:r>
              <w:t xml:space="preserve"> ve Švédsku a tudíž mimo Eurozónu, k mnoha výdajům dochází ve švédských korunách (SEK); středisko je také vystaveno</w:t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000000"/>
                <w:sz w:val="24"/>
                <w:highlight w:val="none"/>
                <w:u w:val="none" w:color="auto"/>
              </w:rPr>
              <w:t xml:space="preserve"> výjimečnému, nečekanému a nepředvídatelnému</w:t>
            </w:r>
            <w:r>
              <w:t xml:space="preserve"> kolísání směnných kurzů, protože nejenomže nemá bankovní účty ve švédských korunách, ale provádí také některé transakce ještě v dalších měnách;</w:t>
            </w:r>
          </w:p>
        </w:tc>
      </w:tr>
    </w:tbl>
    <w:p>
      <w:pPr>
        <w:pStyle w:val="Olang"/>
      </w:pPr>
      <w:r>
        <w:t>Or.</w:t>
      </w:r>
      <w:r>
        <w:t xml:space="preserve"> </w:t>
      </w:r>
      <w:r>
        <w:rPr>
          <w:rStyle w:val="HideTWBExt"/>
        </w:rPr>
        <w:t>&lt;</w:t>
      </w:r>
      <w:r>
        <w:rPr>
          <w:rStyle w:val="HideTWBExt"/>
        </w:rPr>
        <w:t>Original</w:t>
      </w:r>
      <w:r>
        <w:rPr>
          <w:rStyle w:val="HideTWBExt"/>
        </w:rPr>
        <w:t>&gt;</w:t>
      </w:r>
      <w:r>
        <w:rPr>
          <w:rStyle w:val="HideTWBInt"/>
        </w:rPr>
        <w:t>{</w:t>
      </w:r>
      <w:r>
        <w:rPr>
          <w:rStyle w:val="HideTWBInt"/>
        </w:rPr>
        <w:t>EL</w:t>
      </w:r>
      <w:r>
        <w:rPr>
          <w:rStyle w:val="HideTWBInt"/>
        </w:rPr>
        <w:t>}</w:t>
      </w:r>
      <w:r>
        <w:t>el</w:t>
      </w:r>
      <w:r>
        <w:rPr>
          <w:rStyle w:val="HideTWBExt"/>
        </w:rPr>
        <w:t>&lt;/</w:t>
      </w:r>
      <w:r>
        <w:rPr>
          <w:rStyle w:val="HideTWBExt"/>
        </w:rPr>
        <w:t>Original</w:t>
      </w:r>
      <w:r>
        <w:rPr>
          <w:rStyle w:val="HideTWBExt"/>
        </w:rPr>
        <w:t>&gt;</w:t>
      </w:r>
    </w:p>
    <w:p>
      <w:r>
        <w:rPr>
          <w:rStyle w:val="HideTWBExt"/>
        </w:rPr>
        <w:t>&lt;/</w:t>
      </w:r>
      <w:r>
        <w:rPr>
          <w:rStyle w:val="HideTWBExt"/>
        </w:rPr>
        <w:t>Amend</w:t>
      </w:r>
      <w:r>
        <w:rPr>
          <w:rStyle w:val="HideTWBExt"/>
        </w:rPr>
        <w:t>&gt;</w:t>
      </w:r>
    </w:p>
    <w:p>
      <w:pPr>
        <w:pStyle w:val="AMNumberTabs"/>
      </w:pPr>
      <w:r>
        <w:rPr>
          <w:rStyle w:val="HideTWBExt"/>
        </w:rPr>
        <w:t>&lt;</w:t>
      </w:r>
      <w:r>
        <w:rPr>
          <w:rStyle w:val="HideTWBExt"/>
        </w:rPr>
        <w:t>Amend</w:t>
      </w:r>
      <w:r>
        <w:rPr>
          <w:rStyle w:val="HideTWBExt"/>
        </w:rPr>
        <w:t>&gt;</w:t>
      </w:r>
      <w:r>
        <w:t>Pozměňovací návrh</w:t>
      </w:r>
      <w:r>
        <w:t xml:space="preserve"> </w:t>
      </w:r>
      <w:r>
        <w:tab/>
      </w:r>
      <w:r>
        <w:tab/>
      </w:r>
      <w:r>
        <w:rPr>
          <w:rStyle w:val="HideTWBExt"/>
        </w:rPr>
        <w:t>&lt;</w:t>
      </w:r>
      <w:r>
        <w:rPr>
          <w:rStyle w:val="HideTWBExt"/>
        </w:rPr>
        <w:t>NumAm</w:t>
      </w:r>
      <w:r>
        <w:rPr>
          <w:rStyle w:val="HideTWBExt"/>
        </w:rPr>
        <w:t>&gt;</w:t>
      </w:r>
      <w:r>
        <w:t>12</w:t>
      </w:r>
      <w:r>
        <w:rPr>
          <w:rStyle w:val="HideTWBExt"/>
        </w:rPr>
        <w:t>&lt;/</w:t>
      </w:r>
      <w:r>
        <w:rPr>
          <w:rStyle w:val="HideTWBExt"/>
        </w:rPr>
        <w:t>NumAm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  <w:r>
        <w:rPr>
          <w:rStyle w:val="HideTWBExt"/>
        </w:rPr>
        <w:t>&lt;</w:t>
      </w:r>
      <w:r>
        <w:rPr>
          <w:rStyle w:val="HideTWBExt"/>
        </w:rPr>
        <w:t>Members</w:t>
      </w:r>
      <w:r>
        <w:rPr>
          <w:rStyle w:val="HideTWBExt"/>
        </w:rPr>
        <w:t>&gt;</w:t>
      </w:r>
      <w:r>
        <w:t>Notis Marias</w:t>
      </w:r>
      <w:r>
        <w:rPr>
          <w:rStyle w:val="HideTWBExt"/>
        </w:rPr>
        <w:t>&lt;/</w:t>
      </w:r>
      <w:r>
        <w:rPr>
          <w:rStyle w:val="HideTWBExt"/>
        </w:rPr>
        <w:t>Members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&lt;/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DocAmend</w:t>
      </w:r>
      <w:r>
        <w:rPr>
          <w:rStyle w:val="HideTWBExt"/>
        </w:rPr>
        <w:t>&gt;</w:t>
      </w:r>
      <w:r>
        <w:t>Návrh stanoviska</w:t>
      </w:r>
      <w:r>
        <w:rPr>
          <w:rStyle w:val="HideTWBExt"/>
        </w:rPr>
        <w:t>&lt;/</w:t>
      </w:r>
      <w:r>
        <w:rPr>
          <w:rStyle w:val="HideTWBExt"/>
        </w:rPr>
        <w:t>DocAmend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Article</w:t>
      </w:r>
      <w:r>
        <w:rPr>
          <w:rStyle w:val="HideTWBExt"/>
        </w:rPr>
        <w:t>&gt;</w:t>
      </w:r>
      <w:r>
        <w:t>Bod 8</w:t>
      </w:r>
      <w:r>
        <w:rPr>
          <w:rStyle w:val="HideTWBExt"/>
        </w:rPr>
        <w:t>&lt;/</w:t>
      </w:r>
      <w:r>
        <w:rPr>
          <w:rStyle w:val="HideTWBExt"/>
        </w:rPr>
        <w:t>Article</w:t>
      </w:r>
      <w:r>
        <w:rPr>
          <w:rStyle w:val="HideTWBExt"/>
        </w:rPr>
        <w:t>&gt;</w:t>
      </w:r>
    </w:p>
    <w:tbl>
      <w:tblPr>
        <w:jc w:val="center"/>
        <w:tblLayout w:type="fixed"/>
        <w:tblCellMar>
          <w:top w:w="0" w:type="dxa"/>
          <w:left w:w="340" w:type="dxa"/>
          <w:bottom w:w="0" w:type="dxa"/>
          <w:right w:w="340" w:type="dxa"/>
        </w:tblCellMar>
      </w:tblPr>
      <w:tblGrid>
        <w:gridCol w:w="4876"/>
        <w:gridCol w:w="4876"/>
      </w:tblGrid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trHeight w:hRule="exact" w:val="240"/>
          <w:jc w:val="center"/>
        </w:trPr>
        <w:tc>
          <w:tcPr>
            <w:gridSpan w:val="2"/>
          </w:tcPr>
          <w:p/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trHeight w:val="240"/>
          <w:jc w:val="center"/>
        </w:trPr>
        <w:tc>
          <w:tcPr/>
          <w:p>
            <w:pPr>
              <w:pStyle w:val="ColumnHeading"/>
            </w:pPr>
            <w:r>
              <w:t>Návrh stanoviska</w:t>
            </w:r>
          </w:p>
        </w:tc>
        <w:tc>
          <w:tcPr/>
          <w:p>
            <w:pPr>
              <w:pStyle w:val="ColumnHeading"/>
            </w:pPr>
            <w:r>
              <w:t>Pozměňovací návrh</w:t>
            </w:r>
          </w:p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trHeight w:hRule="auto" w:val="0"/>
          <w:jc w:val="center"/>
        </w:trPr>
        <w:tc>
          <w:tcPr/>
          <w:p>
            <w:pPr>
              <w:pStyle w:val="Normal6"/>
            </w:pPr>
            <w:r>
              <w:t>8.</w:t>
            </w:r>
            <w:r>
              <w:tab/>
            </w:r>
            <w:r>
              <w:t xml:space="preserve">na základě dostupných skutečností doporučuje, aby bylo řediteli Evropského střediska pro prevenci a kontrolu nemocí </w:t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000000"/>
                <w:sz w:val="24"/>
                <w:highlight w:val="none"/>
                <w:u w:val="none" w:color="auto"/>
              </w:rPr>
              <w:t xml:space="preserve">uděleno absolutorium </w:t>
            </w:r>
            <w:r>
              <w:t>za plnění rozpočtu střediska na rozpočtový rok 2015.</w:t>
            </w:r>
          </w:p>
        </w:tc>
        <w:tc>
          <w:tcPr/>
          <w:p>
            <w:pPr>
              <w:pStyle w:val="Normal6"/>
            </w:pPr>
            <w:r>
              <w:t>8.</w:t>
            </w:r>
            <w:r>
              <w:tab/>
            </w:r>
            <w:r>
              <w:t xml:space="preserve">na základě dostupných skutečností doporučuje, aby bylo </w:t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000000"/>
                <w:sz w:val="24"/>
                <w:highlight w:val="none"/>
                <w:u w:val="none" w:color="auto"/>
              </w:rPr>
              <w:t xml:space="preserve">udělení absolutoria </w:t>
            </w:r>
            <w:r>
              <w:t>řediteli Evropského střediska pro prevenci a kontrolu nemocí za plnění rozpočtu střediska na rozpočtový rok 2015</w:t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000000"/>
                <w:sz w:val="24"/>
                <w:highlight w:val="none"/>
                <w:u w:val="none" w:color="auto"/>
              </w:rPr>
              <w:t xml:space="preserve"> odloženo</w:t>
            </w:r>
            <w:r>
              <w:t>.</w:t>
            </w:r>
          </w:p>
        </w:tc>
      </w:tr>
    </w:tbl>
    <w:p>
      <w:pPr>
        <w:pStyle w:val="Olang"/>
      </w:pPr>
      <w:r>
        <w:t>Or.</w:t>
      </w:r>
      <w:r>
        <w:t xml:space="preserve"> </w:t>
      </w:r>
      <w:r>
        <w:rPr>
          <w:rStyle w:val="HideTWBExt"/>
        </w:rPr>
        <w:t>&lt;</w:t>
      </w:r>
      <w:r>
        <w:rPr>
          <w:rStyle w:val="HideTWBExt"/>
        </w:rPr>
        <w:t>Original</w:t>
      </w:r>
      <w:r>
        <w:rPr>
          <w:rStyle w:val="HideTWBExt"/>
        </w:rPr>
        <w:t>&gt;</w:t>
      </w:r>
      <w:r>
        <w:rPr>
          <w:rStyle w:val="HideTWBInt"/>
        </w:rPr>
        <w:t>{</w:t>
      </w:r>
      <w:r>
        <w:rPr>
          <w:rStyle w:val="HideTWBInt"/>
        </w:rPr>
        <w:t>EL</w:t>
      </w:r>
      <w:r>
        <w:rPr>
          <w:rStyle w:val="HideTWBInt"/>
        </w:rPr>
        <w:t>}</w:t>
      </w:r>
      <w:r>
        <w:t>el</w:t>
      </w:r>
      <w:r>
        <w:rPr>
          <w:rStyle w:val="HideTWBExt"/>
        </w:rPr>
        <w:t>&lt;/</w:t>
      </w:r>
      <w:r>
        <w:rPr>
          <w:rStyle w:val="HideTWBExt"/>
        </w:rPr>
        <w:t>Original</w:t>
      </w:r>
      <w:r>
        <w:rPr>
          <w:rStyle w:val="HideTWBExt"/>
        </w:rPr>
        <w:t>&gt;</w:t>
      </w:r>
    </w:p>
    <w:p>
      <w:r>
        <w:rPr>
          <w:rStyle w:val="HideTWBExt"/>
        </w:rPr>
        <w:t>&lt;/</w:t>
      </w:r>
      <w:r>
        <w:rPr>
          <w:rStyle w:val="HideTWBExt"/>
        </w:rPr>
        <w:t>Amend</w:t>
      </w:r>
      <w:r>
        <w:rPr>
          <w:rStyle w:val="HideTWBExt"/>
        </w:rPr>
        <w:t>&gt;</w:t>
      </w:r>
      <w:r>
        <w:rPr>
          <w:rStyle w:val="HideTWBExt"/>
        </w:rPr>
        <w:t>&lt;/</w:t>
      </w:r>
      <w:r>
        <w:rPr>
          <w:rStyle w:val="HideTWBExt"/>
        </w:rPr>
        <w:t>RepeatBlock-Amend</w:t>
      </w:r>
      <w:r>
        <w:rPr>
          <w:rStyle w:val="HideTWBExt"/>
        </w:rPr>
        <w:t>&gt;</w:t>
      </w:r>
    </w:p>
    <w:sectPr>
      <w:footerReference w:type="even" r:id="rId5"/>
      <w:footerReference w:type="default" r:id="rId6"/>
      <w:footerReference w:type="first" r:id="rId7"/>
      <w:pgSz w:w="11906" w:h="16838"/>
      <w:pgMar w:top="1134" w:right="1417" w:bottom="1417" w:left="1417" w:header="1134" w:footer="567" w:gutter="0"/>
      <w:cols w:num="1"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Footer"/>
    </w:pPr>
    <w:r>
      <w:t>PE</w:t>
    </w:r>
    <w:r>
      <w:rPr>
        <w:rStyle w:val="HideTWBExt"/>
      </w:rPr>
      <w:t>&lt;</w:t>
    </w:r>
    <w:r>
      <w:rPr>
        <w:rStyle w:val="HideTWBExt"/>
      </w:rPr>
      <w:t>NoPE</w:t>
    </w:r>
    <w:r>
      <w:rPr>
        <w:rStyle w:val="HideTWBExt"/>
      </w:rPr>
      <w:t>&gt;</w:t>
    </w:r>
    <w:r>
      <w:t>595.705</w:t>
    </w:r>
    <w:r>
      <w:rPr>
        <w:rStyle w:val="HideTWBExt"/>
      </w:rPr>
      <w:t>&lt;/</w:t>
    </w:r>
    <w:r>
      <w:rPr>
        <w:rStyle w:val="HideTWBExt"/>
      </w:rPr>
      <w:t>NoPE</w:t>
    </w:r>
    <w:r>
      <w:rPr>
        <w:rStyle w:val="HideTWBExt"/>
      </w:rPr>
      <w:t>&gt;</w:t>
    </w:r>
    <w:r>
      <w:rPr>
        <w:rStyle w:val="HideTWBExt"/>
      </w:rPr>
      <w:t>&lt;</w:t>
    </w:r>
    <w:r>
      <w:rPr>
        <w:rStyle w:val="HideTWBExt"/>
      </w:rPr>
      <w:t>Version</w:t>
    </w:r>
    <w:r>
      <w:rPr>
        <w:rStyle w:val="HideTWBExt"/>
      </w:rPr>
      <w:t>&gt;</w:t>
    </w:r>
    <w:r>
      <w:t>v01-00</w:t>
    </w:r>
    <w:r>
      <w:rPr>
        <w:rStyle w:val="HideTWBExt"/>
      </w:rPr>
      <w:t>&lt;/</w:t>
    </w:r>
    <w:r>
      <w:rPr>
        <w:rStyle w:val="HideTWBExt"/>
      </w:rPr>
      <w:t>Version</w:t>
    </w:r>
    <w:r>
      <w:rPr>
        <w:rStyle w:val="HideTWBExt"/>
      </w:rPr>
      <w:t>&gt;</w:t>
    </w:r>
    <w:r>
      <w:tab/>
    </w:r>
    <w:r>
      <w:fldChar w:fldCharType="begin"/>
    </w:r>
    <w:r>
      <w:instrText>PAGE</w:instrText>
    </w:r>
    <w:r>
      <w:fldChar w:fldCharType="separate"/>
    </w:r>
    <w:r>
      <w:fldChar w:fldCharType="end"/>
    </w:r>
    <w:r>
      <w:t>/</w:t>
    </w:r>
    <w:r>
      <w:fldChar w:fldCharType="begin"/>
    </w:r>
    <w:r>
      <w:instrText>NUMPAGES</w:instrText>
    </w:r>
    <w:r>
      <w:fldChar w:fldCharType="separate"/>
    </w:r>
    <w:r>
      <w:fldChar w:fldCharType="end"/>
    </w:r>
    <w:r>
      <w:tab/>
    </w:r>
    <w:r>
      <w:rPr>
        <w:rStyle w:val="HideTWBExt"/>
      </w:rPr>
      <w:t>&lt;</w:t>
    </w:r>
    <w:r>
      <w:rPr>
        <w:rStyle w:val="HideTWBExt"/>
      </w:rPr>
      <w:t>PathFdR</w:t>
    </w:r>
    <w:r>
      <w:rPr>
        <w:rStyle w:val="HideTWBExt"/>
      </w:rPr>
      <w:t>&gt;</w:t>
    </w:r>
    <w:r>
      <w:t>AM\1112676CS.docx</w:t>
    </w:r>
    <w:r>
      <w:rPr>
        <w:rStyle w:val="HideTWBExt"/>
      </w:rPr>
      <w:t>&lt;/</w:t>
    </w:r>
    <w:r>
      <w:rPr>
        <w:rStyle w:val="HideTWBExt"/>
      </w:rPr>
      <w:t>PathFdR</w:t>
    </w:r>
    <w:r>
      <w:rPr>
        <w:rStyle w:val="HideTWBExt"/>
      </w:rPr>
      <w:t>&gt;</w:t>
    </w:r>
  </w:p>
  <w:p>
    <w:pPr>
      <w:pStyle w:val="Footer2"/>
    </w:pPr>
    <w:r>
      <w:t>CS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Footer"/>
    </w:pPr>
    <w:r>
      <w:rPr>
        <w:rStyle w:val="HideTWBExt"/>
      </w:rPr>
      <w:t>&lt;</w:t>
    </w:r>
    <w:r>
      <w:rPr>
        <w:rStyle w:val="HideTWBExt"/>
      </w:rPr>
      <w:t>PathFdR</w:t>
    </w:r>
    <w:r>
      <w:rPr>
        <w:rStyle w:val="HideTWBExt"/>
      </w:rPr>
      <w:t>&gt;</w:t>
    </w:r>
    <w:r>
      <w:t>AM\1112676CS.docx</w:t>
    </w:r>
    <w:r>
      <w:rPr>
        <w:rStyle w:val="HideTWBExt"/>
      </w:rPr>
      <w:t>&lt;/</w:t>
    </w:r>
    <w:r>
      <w:rPr>
        <w:rStyle w:val="HideTWBExt"/>
      </w:rPr>
      <w:t>PathFdR</w:t>
    </w:r>
    <w:r>
      <w:rPr>
        <w:rStyle w:val="HideTWBExt"/>
      </w:rPr>
      <w:t>&gt;</w:t>
    </w:r>
    <w:r>
      <w:tab/>
    </w:r>
    <w:r>
      <w:fldChar w:fldCharType="begin"/>
    </w:r>
    <w:r>
      <w:instrText>PAGE</w:instrText>
    </w:r>
    <w:r>
      <w:fldChar w:fldCharType="separate"/>
    </w:r>
    <w:r>
      <w:fldChar w:fldCharType="end"/>
    </w:r>
    <w:r>
      <w:t>/</w:t>
    </w:r>
    <w:r>
      <w:fldChar w:fldCharType="begin"/>
    </w:r>
    <w:r>
      <w:instrText>NUMPAGES</w:instrText>
    </w:r>
    <w:r>
      <w:fldChar w:fldCharType="separate"/>
    </w:r>
    <w:r>
      <w:fldChar w:fldCharType="end"/>
    </w:r>
    <w:r>
      <w:tab/>
    </w:r>
    <w:r>
      <w:t>PE</w:t>
    </w:r>
    <w:r>
      <w:rPr>
        <w:rStyle w:val="HideTWBExt"/>
      </w:rPr>
      <w:t>&lt;</w:t>
    </w:r>
    <w:r>
      <w:rPr>
        <w:rStyle w:val="HideTWBExt"/>
      </w:rPr>
      <w:t>NoPE</w:t>
    </w:r>
    <w:r>
      <w:rPr>
        <w:rStyle w:val="HideTWBExt"/>
      </w:rPr>
      <w:t>&gt;</w:t>
    </w:r>
    <w:r>
      <w:t>595.705</w:t>
    </w:r>
    <w:r>
      <w:rPr>
        <w:rStyle w:val="HideTWBExt"/>
      </w:rPr>
      <w:t>&lt;/</w:t>
    </w:r>
    <w:r>
      <w:rPr>
        <w:rStyle w:val="HideTWBExt"/>
      </w:rPr>
      <w:t>NoPE</w:t>
    </w:r>
    <w:r>
      <w:rPr>
        <w:rStyle w:val="HideTWBExt"/>
      </w:rPr>
      <w:t>&gt;</w:t>
    </w:r>
    <w:r>
      <w:rPr>
        <w:rStyle w:val="HideTWBExt"/>
      </w:rPr>
      <w:t>&lt;</w:t>
    </w:r>
    <w:r>
      <w:rPr>
        <w:rStyle w:val="HideTWBExt"/>
      </w:rPr>
      <w:t>Version</w:t>
    </w:r>
    <w:r>
      <w:rPr>
        <w:rStyle w:val="HideTWBExt"/>
      </w:rPr>
      <w:t>&gt;</w:t>
    </w:r>
    <w:r>
      <w:t>v01-00</w:t>
    </w:r>
    <w:r>
      <w:rPr>
        <w:rStyle w:val="HideTWBExt"/>
      </w:rPr>
      <w:t>&lt;/</w:t>
    </w:r>
    <w:r>
      <w:rPr>
        <w:rStyle w:val="HideTWBExt"/>
      </w:rPr>
      <w:t>Version</w:t>
    </w:r>
    <w:r>
      <w:rPr>
        <w:rStyle w:val="HideTWBExt"/>
      </w:rPr>
      <w:t>&gt;</w:t>
    </w:r>
  </w:p>
  <w:p>
    <w:pPr>
      <w:pStyle w:val="Footer2"/>
    </w:pPr>
    <w:r>
      <w:tab/>
    </w:r>
    <w:r>
      <w:tab/>
    </w:r>
    <w:r>
      <w:t>CS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Footer"/>
    </w:pPr>
    <w:r>
      <w:rPr>
        <w:rStyle w:val="HideTWBExt"/>
      </w:rPr>
      <w:t>&lt;</w:t>
    </w:r>
    <w:r>
      <w:rPr>
        <w:rStyle w:val="HideTWBExt"/>
      </w:rPr>
      <w:t>PathFdR</w:t>
    </w:r>
    <w:r>
      <w:rPr>
        <w:rStyle w:val="HideTWBExt"/>
      </w:rPr>
      <w:t>&gt;</w:t>
    </w:r>
    <w:r>
      <w:t>AM\1112676CS.docx</w:t>
    </w:r>
    <w:r>
      <w:rPr>
        <w:rStyle w:val="HideTWBExt"/>
      </w:rPr>
      <w:t>&lt;/</w:t>
    </w:r>
    <w:r>
      <w:rPr>
        <w:rStyle w:val="HideTWBExt"/>
      </w:rPr>
      <w:t>PathFdR</w:t>
    </w:r>
    <w:r>
      <w:rPr>
        <w:rStyle w:val="HideTWBExt"/>
      </w:rPr>
      <w:t>&gt;</w:t>
    </w:r>
    <w:r>
      <w:tab/>
    </w:r>
    <w:r>
      <w:tab/>
    </w:r>
    <w:r>
      <w:t>PE</w:t>
    </w:r>
    <w:r>
      <w:rPr>
        <w:rStyle w:val="HideTWBExt"/>
      </w:rPr>
      <w:t>&lt;</w:t>
    </w:r>
    <w:r>
      <w:rPr>
        <w:rStyle w:val="HideTWBExt"/>
      </w:rPr>
      <w:t>NoPE</w:t>
    </w:r>
    <w:r>
      <w:rPr>
        <w:rStyle w:val="HideTWBExt"/>
      </w:rPr>
      <w:t>&gt;</w:t>
    </w:r>
    <w:r>
      <w:t>595.705</w:t>
    </w:r>
    <w:r>
      <w:rPr>
        <w:rStyle w:val="HideTWBExt"/>
      </w:rPr>
      <w:t>&lt;/</w:t>
    </w:r>
    <w:r>
      <w:rPr>
        <w:rStyle w:val="HideTWBExt"/>
      </w:rPr>
      <w:t>NoPE</w:t>
    </w:r>
    <w:r>
      <w:rPr>
        <w:rStyle w:val="HideTWBExt"/>
      </w:rPr>
      <w:t>&gt;</w:t>
    </w:r>
    <w:r>
      <w:rPr>
        <w:rStyle w:val="HideTWBExt"/>
      </w:rPr>
      <w:t>&lt;</w:t>
    </w:r>
    <w:r>
      <w:rPr>
        <w:rStyle w:val="HideTWBExt"/>
      </w:rPr>
      <w:t>Version</w:t>
    </w:r>
    <w:r>
      <w:rPr>
        <w:rStyle w:val="HideTWBExt"/>
      </w:rPr>
      <w:t>&gt;</w:t>
    </w:r>
    <w:r>
      <w:t>v01-00</w:t>
    </w:r>
    <w:r>
      <w:rPr>
        <w:rStyle w:val="HideTWBExt"/>
      </w:rPr>
      <w:t>&lt;/</w:t>
    </w:r>
    <w:r>
      <w:rPr>
        <w:rStyle w:val="HideTWBExt"/>
      </w:rPr>
      <w:t>Version</w:t>
    </w:r>
    <w:r>
      <w:rPr>
        <w:rStyle w:val="HideTWBExt"/>
      </w:rPr>
      <w:t>&gt;</w:t>
    </w:r>
  </w:p>
  <w:p>
    <w:pPr>
      <w:pStyle w:val="Footer2"/>
    </w:pPr>
    <w:r>
      <w:t>CS</w:t>
    </w:r>
    <w:r>
      <w:tab/>
    </w:r>
    <w:r>
      <w:rPr>
        <w:rStyle w:val="Footer2Middle"/>
      </w:rPr>
      <w:t>Jednotná v rozmanitosti</w:t>
    </w:r>
    <w:r>
      <w:tab/>
    </w:r>
    <w:r>
      <w:t>CS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evenAndOddHeaders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gruik" w:val="value of gruik"/>
    <w:docVar w:name="restartBrut" w:val="{\rtf1\adeflang1025\ansi\ansicpg1252\uc1\adeff0\deff0\stshfdbch0\stshfloch0\stshfhich0\stshfbi0\deflang1043\deflangfe1043\themelang1043\themelangfe0\themelangcs0{\fonttbl{\f0\fbidi \froman\fcharset0\fprq2{\*\panose 02020603050405020304}Times New Roman;}{\f1\fbidi \fswiss\fcharset0\fprq2{\*\panose 020b0604020202020204}Arial;}&#13;&#10;{\f34\fbidi \froman\fcharset0\fprq2{\*\panose 02040503050406030204}Cambria Math;}{\flomajor\f31500\fbidi \froman\fcharset0\fprq2{\*\panose 02020603050405020304}Times New Roman;}&#13;&#10;{\fdbmajor\f31501\fbidi \froman\fcharset0\fprq2{\*\panose 02020603050405020304}Times New Roman;}{\fhimajor\f31502\fbidi \froman\fcharset0\fprq2{\*\panose 02040503050406030204}Cambria;}&#13;&#10;{\fbimajor\f31503\fbidi \froman\fcharset0\fprq2{\*\panose 02020603050405020304}Times New Roman;}{\flominor\f31504\fbidi \froman\fcharset0\fprq2{\*\panose 02020603050405020304}Times New Roman;}&#13;&#10;{\fdbminor\f31505\fbidi \froman\fcharset0\fprq2{\*\panose 02020603050405020304}Times New Roman;}{\fhiminor\f31506\fbidi \fswiss\fcharset0\fprq2{\*\panose 020f0502020204030204}Calibri;}&#13;&#10;{\fbiminor\f31507\fbidi \froman\fcharset0\fprq2{\*\panose 02020603050405020304}Times New Roman;}{\f248\fbidi \froman\fcharset238\fprq2 Times New Roman CE;}{\f249\fbidi \froman\fcharset204\fprq2 Times New Roman Cyr;}&#13;&#10;{\f251\fbidi \froman\fcharset161\fprq2 Times New Roman Greek;}{\f252\fbidi \froman\fcharset162\fprq2 Times New Roman Tur;}{\f253\fbidi \froman\fcharset177\fprq2 Times New Roman (Hebrew);}{\f254\fbidi \froman\fcharset178\fprq2 Times New Roman (Arabic);}&#13;&#10;{\f255\fbidi \froman\fcharset186\fprq2 Times New Roman Baltic;}{\f256\fbidi \froman\fcharset163\fprq2 Times New Roman (Vietnamese);}{\f258\fbidi \fswiss\fcharset238\fprq2 Arial CE;}{\f259\fbidi \fswiss\fcharset204\fprq2 Arial Cyr;}&#13;&#10;{\f261\fbidi \fswiss\fcharset161\fprq2 Arial Greek;}{\f262\fbidi \fswiss\fcharset162\fprq2 Arial Tur;}{\f263\fbidi \fswiss\fcharset177\fprq2 Arial (Hebrew);}{\f264\fbidi \fswiss\fcharset178\fprq2 Arial (Arabic);}&#13;&#10;{\f265\fbidi \fswiss\fcharset186\fprq2 Arial Baltic;}{\f266\fbidi \fswiss\fcharset163\fprq2 Arial (Vietnamese);}{\f588\fbidi \froman\fcharset238\fprq2 Cambria Math CE;}{\f589\fbidi \froman\fcharset204\fprq2 Cambria Math Cyr;}&#13;&#10;{\f591\fbidi \froman\fcharset161\fprq2 Cambria Math Greek;}{\f592\fbidi \froman\fcharset162\fprq2 Cambria Math Tur;}{\f595\fbidi \froman\fcharset186\fprq2 Cambria Math Baltic;}{\f596\fbidi \froman\fcharset163\fprq2 Cambria Math (Vietnamese);}&#13;&#10;{\flomajor\f31508\fbidi \froman\fcharset238\fprq2 Times New Roman CE;}{\flomajor\f31509\fbidi \froman\fcharset204\fprq2 Times New Roman Cyr;}{\flomajor\f31511\fbidi \froman\fcharset161\fprq2 Times New Roman Greek;}&#13;&#10;{\flomajor\f31512\fbidi \froman\fcharset162\fprq2 Times New Roman Tur;}{\flomajor\f31513\fbidi \froman\fcharset177\fprq2 Times New Roman (Hebrew);}{\flomajor\f31514\fbidi \froman\fcharset178\fprq2 Times New Roman (Arabic);}&#13;&#10;{\flomajor\f31515\fbidi \froman\fcharset186\fprq2 Times New Roman Baltic;}{\flomajor\f31516\fbidi \froman\fcharset163\fprq2 Times New Roman (Vietnamese);}{\fdbmajor\f31518\fbidi \froman\fcharset238\fprq2 Times New Roman CE;}&#13;&#10;{\fdbmajor\f31519\fbidi \froman\fcharset204\fprq2 Times New Roman Cyr;}{\fdbmajor\f31521\fbidi \froman\fcharset161\fprq2 Times New Roman Greek;}{\fdbmajor\f31522\fbidi \froman\fcharset162\fprq2 Times New Roman Tur;}&#13;&#10;{\fdbmajor\f31523\fbidi \froman\fcharset177\fprq2 Times New Roman (Hebrew);}{\fdbmajor\f31524\fbidi \froman\fcharset178\fprq2 Times New Roman (Arabic);}{\fdbmajor\f31525\fbidi \froman\fcharset186\fprq2 Times New Roman Baltic;}&#13;&#10;{\fdbmajor\f31526\fbidi \froman\fcharset163\fprq2 Times New Roman (Vietnamese);}{\fhimajor\f31528\fbidi \froman\fcharset238\fprq2 Cambria CE;}{\fhimajor\f31529\fbidi \froman\fcharset204\fprq2 Cambria Cyr;}&#13;&#10;{\fhimajor\f31531\fbidi \froman\fcharset161\fprq2 Cambria Greek;}{\fhimajor\f31532\fbidi \froman\fcharset162\fprq2 Cambria Tur;}{\fhimajor\f31535\fbidi \froman\fcharset186\fprq2 Cambria Baltic;}&#13;&#10;{\fhimajor\f31536\fbidi \froman\fcharset163\fprq2 Cambria (Vietnamese);}{\fbimajor\f31538\fbidi \froman\fcharset238\fprq2 Times New Roman CE;}{\fbimajor\f31539\fbidi \froman\fcharset204\fprq2 Times New Roman Cyr;}&#13;&#10;{\fbimajor\f31541\fbidi \froman\fcharset161\fprq2 Times New Roman Greek;}{\fbimajor\f31542\fbidi \froman\fcharset162\fprq2 Times New Roman Tur;}{\fbimajor\f31543\fbidi \froman\fcharset177\fprq2 Times New Roman (Hebrew);}&#13;&#10;{\fbimajor\f31544\fbidi \froman\fcharset178\fprq2 Times New Roman (Arabic);}{\fbimajor\f31545\fbidi \froman\fcharset186\fprq2 Times New Roman Baltic;}{\fbimajor\f31546\fbidi \froman\fcharset163\fprq2 Times New Roman (Vietnamese);}&#13;&#10;{\flominor\f31548\fbidi \froman\fcharset238\fprq2 Times New Roman CE;}{\flominor\f31549\fbidi \froman\fcharset204\fprq2 Times New Roman Cyr;}{\flominor\f31551\fbidi \froman\fcharset161\fprq2 Times New Roman Greek;}&#13;&#10;{\flominor\f31552\fbidi \froman\fcharset162\fprq2 Times New Roman Tur;}{\flominor\f31553\fbidi \froman\fcharset177\fprq2 Times New Roman (Hebrew);}{\flominor\f31554\fbidi \froman\fcharset178\fprq2 Times New Roman (Arabic);}&#13;&#10;{\flominor\f31555\fbidi \froman\fcharset186\fprq2 Times New Roman Baltic;}{\flominor\f31556\fbidi \froman\fcharset163\fprq2 Times New Roman (Vietnamese);}{\fdbminor\f31558\fbidi \froman\fcharset238\fprq2 Times New Roman CE;}&#13;&#10;{\fdbminor\f31559\fbidi \froman\fcharset204\fprq2 Times New Roman Cyr;}{\fdbminor\f31561\fbidi \froman\fcharset161\fprq2 Times New Roman Greek;}{\fdbminor\f31562\fbidi \froman\fcharset162\fprq2 Times New Roman Tur;}&#13;&#10;{\fdbminor\f31563\fbidi \froman\fcharset177\fprq2 Times New Roman (Hebrew);}{\fdbminor\f31564\fbidi \froman\fcharset178\fprq2 Times New Roman (Arabic);}{\fdbminor\f31565\fbidi \froman\fcharset186\fprq2 Times New Roman Baltic;}&#13;&#10;{\fdbminor\f31566\fbidi \froman\fcharset163\fprq2 Times New Roman (Vietnamese);}{\fhiminor\f31568\fbidi \fswiss\fcharset238\fprq2 Calibri CE;}{\fhiminor\f31569\fbidi \fswiss\fcharset204\fprq2 Calibri Cyr;}&#13;&#10;{\fhiminor\f31571\fbidi \fswiss\fcharset161\fprq2 Calibri Greek;}{\fhiminor\f31572\fbidi \fswiss\fcharset162\fprq2 Calibri Tur;}{\fhiminor\f31575\fbidi \fswiss\fcharset186\fprq2 Calibri Baltic;}&#13;&#10;{\fhiminor\f31576\fbidi \fswiss\fcharset163\fprq2 Calibri (Vietnamese);}{\fbiminor\f31578\fbidi \froman\fcharset238\fprq2 Times New Roman CE;}{\fbiminor\f31579\fbidi \froman\fcharset204\fprq2 Times New Roman Cyr;}&#13;&#10;{\fbiminor\f31581\fbidi \froman\fcharset161\fprq2 Times New Roman Greek;}{\fbiminor\f31582\fbidi \froman\fcharset162\fprq2 Times New Roman Tur;}{\fbiminor\f31583\fbidi \froman\fcharset177\fprq2 Times New Roman (Hebrew);}&#13;&#10;{\fbiminor\f31584\fbidi \froman\fcharset178\fprq2 Times New Roman (Arabic);}{\fbiminor\f31585\fbidi \froman\fcharset186\fprq2 Times New Roman Baltic;}{\fbiminor\f31586\fbidi \froman\fcharset163\fprq2 Times New Roman (Vietnamese);}}&#13;&#10;{\colortbl;\red0\green0\blue0;\red0\green0\blue255;\red0\green255\blue255;\red0\green255\blue0;\red255\green0\blue255;\red255\green0\blue0;\red255\green255\blue0;\red255\green255\blue255;\red0\green0\blue128;\red0\green128\blue128;\red0\green128\blue0;&#13;&#10;\red128\green0\blue128;\red128\green0\blue0;\red128\green128\blue0;\red128\green128\blue128;\red192\green192\blue192;}{\*\defchp }{\*\defpap \ql \li0\ri0\widctlpar\wrapdefault\aspalpha\aspnum\faauto\adjustright\rin0\lin0\itap0 }\noqfpromote {\stylesheet{&#13;&#10;\ql \li0\ri0\widctlpar\wrapdefault\aspalpha\aspnum\faauto\adjustright\rin0\lin0\itap0 \rtlch\fcs1 \af0\afs20\alang1025 \ltrch\fcs0 \fs24\lang2057\langfe2057\cgrid\langnp2057\langfenp2057 \snext0 \sqformat \spriority0 Normal;}{\*\cs10 \additive &#13;&#10;\ssemihidden \spriority0 Default Paragraph Font;}{\*\ts11\tsrowd\trftsWidthB3\trpaddl108\trpaddr108\trpaddfl3\trpaddft3\trpaddfb3\trpaddfr3\tblind0\tblindtype3\tsvertalt\tsbrdrt\tsbrdrl\tsbrdrb\tsbrdrr\tsbrdrdgl\tsbrdrdgr\tsbrdrh\tsbrdrv &#13;&#10;\ql \li0\ri0\widctlpar\wrapdefault\aspalpha\aspnum\faauto\adjustright\rin0\lin0\itap0 \rtlch\fcs1 \af0\afs20\alang1025 \ltrch\fcs0 \fs20\lang1043\langfe1043\cgrid\langnp1043\langfenp1043 \snext11 \ssemihidden \spriority0 Normal Table;}{\*\cs15 \additive &#13;&#10;\v\f1\fs20\cf9\lang1024\langfe1024\noproof \spriority0 \styrsid3105041 HideTWBExt;}{\s16\qr \li0\ri0\sb240\sa240\nowidctlpar\wrapdefault\aspalpha\aspnum\faauto\adjustright\rin0\lin0\itap0 \rtlch\fcs1 \af0\afs20\alang1025 \ltrch\fcs0 &#13;&#10;\fs24\lang1024\langfe1024\cgrid\noproof\langnp2057\langfenp2057 \sbasedon0 \snext16 \spriority0 \styrsid3105041 Olang;}{\s17\ql \li0\ri0\sa120\nowidctlpar\wrapdefault\aspalpha\aspnum\faauto\adjustright\rin0\lin0\itap0 \rtlch\fcs1 \af0\afs20\alang1025 &#13;&#10;\ltrch\fcs0 \fs24\lang1024\langfe1024\cgrid\noproof\langnp2057\langfenp2057 \sbasedon0 \snext17 \slink18 \spriority0 \styrsid3105041 Normal6;}{\*\cs18 \additive \fs24\lang1024\langfe1024\noproof\langnp2057\langfenp2057 &#13;&#10;\slink17 \slocked \spriority0 \styrsid3105041 Normal6 Char;}{\s19\ql \li0\ri0\nowidctlpar\wrapdefault\aspalpha\aspnum\faauto\adjustright\rin0\lin0\itap0 \rtlch\fcs1 \af0\afs20\alang1025 \ltrch\fcs0 &#13;&#10;\b\fs24\lang2057\langfe2057\cgrid\langnp2057\langfenp2057 \sbasedon0 \snext19 \slink20 \spriority0 \styrsid3105041 NormalBold;}{\*\cs20 \additive \b\fs24\lang2057\langfe2057\langnp2057\langfenp2057 \slink19 \slocked \spriority0 \styrsid3105041 &#13;&#10;NormalBold Char;}{\s21\qc \li0\ri0\sa240\nowidctlpar\wrapdefault\aspalpha\aspnum\faauto\adjustright\rin0\lin0\itap0 \rtlch\fcs1 \af0\afs20\alang1025 \ltrch\fcs0 \i\fs24\lang2057\langfe2057\cgrid\langnp2057\langfenp2057 &#13;&#10;\sbasedon0 \snext21 \spriority0 \styrsid3105041 ColumnHeading;}{\s22\ql \li0\ri0\sb240\nowidctlpar&#13;&#10;\tx879\tx936\tx1021\tx1077\tx1134\tx1191\tx1247\tx1304\tx1361\tx1418\tx1474\tx1531\tx1588\tx1644\tx1701\tx1758\tx1814\tx1871\tx2070\tx2126\tx3374\tx3430\wrapdefault\aspalpha\aspnum\faauto\adjustright\rin0\lin0\itap0 \rtlch\fcs1 \af0\afs20\alang1025 &#13;&#10;\ltrch\fcs0 \b\fs24\lang2057\langfe2057\cgrid\langnp2057\langfenp2057 \sbasedon0 \snext22 \spriority0 \styrsid3105041 AMNumberTabs;}}{\*\rsidtbl \rsid24658\rsid735077\rsid2892074\rsid3105041\rsid4666813\rsid6641733\rsid9636012\rsid11215221\rsid12154954&#13;&#10;\rsid14424199\rsid15204470\rsid15285974\rsid15950462\rsid15992473\rsid16324206\rsid16662270}{\mmathPr\mmathFont34\mbrkBin0\mbrkBinSub0\msmallFrac0\mdispDef1\mlMargin0\mrMargin0\mdefJc1\mwrapIndent1440\mintLim0\mnaryLim1}{\info{\author FELIX Karina}&#13;&#10;{\operator FELIX Karina}{\creatim\yr2015\mo5\dy8\hr15\min29}{\revtim\yr2015\mo5\dy8\hr15\min29}{\version1}{\edmins0}{\nofpages1}{\nofwords48}{\nofchars268}{\*\company European Parliament}{\nofcharsws315}{\vern49165}}{\*\xmlnstbl {\xmlns1 http://schemas.mi&#13;&#10;crosoft.com/office/word/2003/wordml}}\paperw11906\paperh16838\margl1418\margr1418\margt1134\margb1418\gutter0\ltrsect &#13;&#10;\facingp\widowctrl\ftnbj\aenddoc\ftnrstpg\trackmoves0\trackformatting1\donotembedsysfont1\relyonvml0\donotembedlingdata0\grfdocevents0\validatexml1\showplaceholdtext0\ignoremixedcontent0\saveinvalidxml0&#13;&#10;\showxmlerrors1\margmirror\noxlattoyen\expshrtn\noultrlspc\dntblnsbdb\nospaceforul\formshade\horzdoc\dghspace180\dgvspace180\dghorigin1701\dgvorigin1984\dghshow0\dgvshow0&#13;&#10;\jexpand\viewkind1\viewscale90\pgbrdrhead\pgbrdrfoot\nolnhtadjtbl\nojkernpunct\rsidroot3105041\utinl \fet0{\*\wgrffmtfilter 013f}\ilfomacatclnup0{\*\template C:\\Users\\kfelix\\AppData\\Local\\Temp\\Blank1.dot}{\*\ftnsep \ltrpar \pard\plain \ltrpar&#13;&#10;\ql \li0\ri0\widctlpar\wrapdefault\aspalpha\aspnum\faauto\adjustright\rin0\lin0\itap0 \rtlch\fcs1 \af0\afs20\alang1025 \ltrch\fcs0 \fs24\lang2057\langfe2057\cgrid\langnp2057\langfenp2057 {\rtlch\fcs1 \af0 \ltrch\fcs0 \insrsid15992473 \chftnsep &#13;&#10;\par }}{\*\ftnsepc \ltrpar \pard\plain \ltrpar\ql \li0\ri0\widctlpar\wrapdefault\aspalpha\aspnum\faauto\adjustright\rin0\lin0\itap0 \rtlch\fcs1 \af0\afs20\alang1025 \ltrch\fcs0 \fs24\lang2057\langfe2057\cgrid\langnp2057\langfenp2057 {\rtlch\fcs1 \af0 &#13;&#10;\ltrch\fcs0 \insrsid15992473 \chftnsepc &#13;&#10;\par }}{\*\aftnsep \ltrpar \pard\plain \ltrpar\ql \li0\ri0\widctlpar\wrapdefault\aspalpha\aspnum\faauto\adjustright\rin0\lin0\itap0 \rtlch\fcs1 \af0\afs20\alang1025 \ltrch\fcs0 \fs24\lang2057\langfe2057\cgrid\langnp2057\langfenp2057 {\rtlch\fcs1 \af0 &#13;&#10;\ltrch\fcs0 \insrsid15992473 \chftnsep &#13;&#10;\par }}{\*\aftnsepc \ltrpar \pard\plain \ltrpar\ql \li0\ri0\widctlpar\wrapdefault\aspalpha\aspnum\faauto\adjustright\rin0\lin0\itap0 \rtlch\fcs1 \af0\afs20\alang1025 \ltrch\fcs0 \fs24\lang2057\langfe2057\cgrid\langnp2057\langfenp2057 {\rtlch\fcs1 \af0 &#13;&#10;\ltrch\fcs0 \insrsid15992473 \chftnsepc &#13;&#10;\par }}\ltrpar \sectd \ltrsect\psz9\linex0\headery1134\footery505\endnhere\titlepg\sectdefaultcl\sectrsid14424199\sftnbj\sftnrstpg {\*\pnseclvl1\pnucrm\pnstart1\pnindent720\pnhang {\pntxta .}}{\*\pnseclvl2\pnucltr\pnstart1\pnindent720\pnhang {\pntxta .}}&#13;&#10;{\*\pnseclvl3\pndec\pnstart1\pnindent720\pnhang {\pntxta .}}{\*\pnseclvl4\pnlcltr\pnstart1\pnindent720\pnhang {\pntxta )}}{\*\pnseclvl5\pndec\pnstart1\pnindent720\pnhang {\pntxtb (}{\pntxta )}}{\*\pnseclvl6\pnlcltr\pnstart1\pnindent720\pnhang {\pntxtb (}&#13;&#10;{\pntxta )}}{\*\pnseclvl7\pnlcrm\pnstart1\pnindent720\pnhang {\pntxtb (}{\pntxta )}}{\*\pnseclvl8\pnlcltr\pnstart1\pnindent720\pnhang {\pntxtb (}{\pntxta )}}{\*\pnseclvl9\pnlcrm\pnstart1\pnindent720\pnhang {\pntxtb (}{\pntxta )}}\pard\plain \ltrpar&#13;&#10;\s22\ql \li0\ri0\sb240\keepn\nowidctlpar\tx879\tx936\tx1021\tx1077\tx1134\tx1191\tx1247\tx1304\tx1361\tx1418\tx1474\tx1531\tx1588\tx1644\tx1701\tx1758\tx1814\tx1871\tx2070\tx2126\tx3374\tx3430\wrapdefault\aspalpha\aspnum\faauto\adjustright\rin0&#13;&#10;\lin0\itap0\pararsid13646180 \rtlch\fcs1 \af0\afs20\alang1025 \ltrch\fcs0 \b\fs24\lang2057\langfe2057\cgrid\langnp2057\langfenp2057 {\rtlch\fcs1 \af0 \ltrch\fcs0 \cs15\b0\v\f1\fs20\cf9\lang1024\langfe1024\noproof\insrsid3105041\charrsid4417459 &#13;&#10;{\*\bkmkstart restart}&lt;Amend&gt;}{\rtlch\fcs1 \af0 \ltrch\fcs0 \insrsid3105041\charrsid1799708 [ZAMENDMENT]}{\rtlch\fcs1 \af0 \ltrch\fcs0 \insrsid3105041 \tab \tab }{\rtlch\fcs1 \af0 \ltrch\fcs0 &#13;&#10;\cs15\b0\v\f1\fs20\cf9\lang1024\langfe1024\noproof\insrsid3105041\charrsid4417459 &lt;NumAm&gt;}{\rtlch\fcs1 \af0 \ltrch\fcs0 \insrsid3105041\charrsid1799708 [ZNRAM]}{\rtlch\fcs1 \af0 \ltrch\fcs0 &#13;&#10;\cs15\b0\v\f1\fs20\cf9\lang1024\langfe1024\noproof\insrsid3105041\charrsid4417459 &lt;/NumAm&gt;}{\rtlch\fcs1 \af0 \ltrch\fcs0 \insrsid3105041\charrsid4080556 &#13;&#10;\par }\pard\plain \ltrpar\s19\ql \li0\ri0\nowidctlpar\wrapdefault\aspalpha\aspnum\faauto\adjustright\rin0\lin0\itap0\pararsid3025377 \rtlch\fcs1 \af0\afs20\alang1025 \ltrch\fcs0 \b\fs24\lang2057\langfe2057\cgrid\langnp2057\langfenp2057 {\rtlch\fcs1 \af0 &#13;&#10;\ltrch\fcs0 \cs15\b0\v\f1\fs20\cf9\lang1024\langfe1024\noproof\insrsid3105041\charrsid14699840 &lt;RepeatBlock-By&gt;}{\rtlch\fcs1 \af0 \ltrch\fcs0 \lang1024\langfe1024\noproof\insrsid3105041\charrsid14699840 [RepeatMembers]}{\rtlch\fcs1 \af0 \ltrch\fcs0 &#13;&#10;\cs15\b0\v\f1\fs20\cf9\lang1024\langfe1024\noproof\insrsid3105041\charrsid14699840 &lt;Members&gt;}{\rtlch\fcs1 \af0 \ltrch\fcs0 \insrsid3105041\charrsid14699840 [ZMEMBERS]}{\rtlch\fcs1 \af0 \ltrch\fcs0 &#13;&#10;\cs15\b0\v\f1\fs20\cf9\lang1024\langfe1024\noproof\insrsid3105041\charrsid14699840 &lt;/Members&gt;}{\rtlch\fcs1 \af0 \ltrch\fcs0 \insrsid3105041\charrsid14699840 &#13;&#10;\par }\pard\plain \ltrpar\ql \li0\ri0\widctlpar\wrapdefault\aspalpha\aspnum\faauto\adjustright\rin0\lin0\itap0\pararsid3025377 \rtlch\fcs1 \af0\afs20\alang1025 \ltrch\fcs0 \fs24\lang2057\langfe2057\cgrid\langnp2057\langfenp2057 {\rtlch\fcs1 \af0 \ltrch\fcs0 &#13;&#10;\cs15\v\f1\fs20\cf9\lang1024\langfe1024\noproof\insrsid3105041\charrsid14699840 &lt;AuNomDe&gt;&lt;OptDel&gt;}{\rtlch\fcs1 \af0 \ltrch\fcs0 \insrsid3105041\charrsid14699840 [ZONBEHALF]}{\rtlch\fcs1 \af0 \ltrch\fcs0 &#13;&#10;\cs15\v\f1\fs20\cf9\lang1024\langfe1024\noproof\insrsid3105041\charrsid14699840 &lt;/OptDel&gt;&lt;/AuNomDe&gt;}{\rtlch\fcs1 \af0 \ltrch\fcs0 \insrsid3105041\charrsid14699840 &#13;&#10;\par &lt;&lt;&lt;}{\rtlch\fcs1 \af0 \ltrch\fcs0 \cs15\v\f1\fs20\cf9\lang1024\langfe1024\noproof\insrsid3105041\charrsid14699840 &lt;/RepeatBlock-By&gt;}{\rtlch\fcs1 \af0 \ltrch\fcs0 \insrsid3105041\charrsid14699840 &#13;&#10;\par }\pard\plain \ltrpar\s19\ql \li0\ri0\nowidctlpar\wrapdefault\aspalpha\aspnum\faauto\adjustright\rin0\lin0\itap0\pararsid3025377 \rtlch\fcs1 \af0\afs20\alang1025 \ltrch\fcs0 \b\fs24\lang2057\langfe2057\cgrid\langnp2057\langfenp2057 {\rtlch\fcs1 \af0 &#13;&#10;\ltrch\fcs0 \cs15\b0\v\f1\fs20\cf9\lang1024\langfe1024\noproof\insrsid3105041\charrsid4737239 &lt;DocAmend&gt;}{\rtlch\fcs1 \af0 \ltrch\fcs0 \insrsid3105041\charrsid1799708 [Z}{\rtlch\fcs1 \af0 \ltrch\fcs0 \insrsid3105041 AMDOC}{\rtlch\fcs1 \af0 \ltrch\fcs0 &#13;&#10;\insrsid3105041\charrsid1799708 ]}{\rtlch\fcs1 \af0 \ltrch\fcs0 \cs15\b0\v\f1\fs20\cf9\lang1024\langfe1024\noproof\insrsid3105041\charrsid4737239 &lt;/DocAmend&gt;}{\rtlch\fcs1 \af0 \ltrch\fcs0 \insrsid3105041\charrsid1799708 &#13;&#10;\par }\pard \ltrpar\s19\ql \li0\ri0\nowidctlpar\wrapdefault\aspalpha\aspnum\faauto\adjustright\rin0\lin0\itap0\pararsid14055546 {\rtlch\fcs1 \af0 \ltrch\fcs0 \cs15\b0\v\f1\fs20\cf9\lang1024\langfe1024\noproof\insrsid3105041\charrsid1799708 &lt;Article&gt;}{&#13;&#10;\rtlch\fcs1 \af0 \ltrch\fcs0 \insrsid3105041\charrsid1799708 [ZAMPART]}{\rtlch\fcs1 \af0 \ltrch\fcs0 \cs15\b0\v\f1\fs20\cf9\lang1024\langfe1024\noproof\insrsid3105041\charrsid1799708 &lt;/Article&gt;}{\rtlch\fcs1 \af0 \ltrch\fcs0 &#13;&#10;\insrsid3105041\charrsid1799708 &#13;&#10;\par \ltrrow}\trowd \ltrrow\ts11\trqc\trgaph340\trleft-340\trftsWidth3\trwWidth9752\trftsWidthB3\trftsWidthA3\trpaddl340\trpaddr340\trpaddfl3\trpaddfr3\tblrsid14055546\tblind0\tblindtype3 \clvertalt\clbrdrt\brdrtbl \clbrdrl\brdrtbl \clbrdrb\brdrtbl \clbrdrr&#13;&#10;\brdrtbl \cltxlrtb\clftsWidth3\clwWidth9752\clshdrawnil \cellx9412\pard\plain \ltrpar\ql \li0\ri0\keepn\widctlpar\intbl\wrapdefault\aspalpha\aspnum\faauto\adjustright\rin0\lin0\pararsid10708565 \rtlch\fcs1 \af0\afs20\alang1025 \ltrch\fcs0 &#13;&#10;\fs24\lang2057\langfe2057\cgrid\langnp2057\langfenp2057 {\rtlch\fcs1 \af0 \ltrch\fcs0 \insrsid3105041\charrsid1799708 \cell }\pard \ltrpar\ql \li0\ri0\widctlpar\intbl\wrapdefault\aspalpha\aspnum\faauto\adjustright\rin0\lin0 {\rtlch\fcs1 \af0 \ltrch\fcs0 &#13;&#10;\insrsid3105041\charrsid1799708 \trowd \ltrrow\ts11\trqc\trgaph340\trleft-340\trftsWidth3\trwWidth9752\trftsWidthB3\trftsWidthA3\trpaddl340\trpaddr340\trpaddfl3\trpaddfr3\tblrsid14055546\tblind0\tblindtype3 \clvertalt\clbrdrt\brdrtbl \clbrdrl\brdrtbl &#13;&#10;\clbrdrb\brdrtbl \clbrdrr\brdrtbl \cltxlrtb\clftsWidth3\clwWidth9752\clshdrawnil \cellx9412\row \ltrrow}\trowd \ltrrow&#13;&#10;\ts11\trqc\trgaph340\trleft-340\trftsWidth3\trwWidth9752\trftsWidthB3\trftsWidthA3\trpaddl340\trpaddr340\trpaddfl3\trpaddfr3\tblrsid14055546\tblind0\tblindtype3 \clvertalt\clbrdrt\brdrtbl \clbrdrl\brdrtbl \clbrdrb\brdrtbl \clbrdrr\brdrtbl &#13;&#10;\cltxlrtb\clftsWidth3\clwWidth4876\clshdrawnil \cellx4536\clvertalt\clbrdrt\brdrtbl \clbrdrl\brdrtbl \clbrdrb\brdrtbl \clbrdrr\brdrtbl \cltxlrtb\clftsWidth3\clwWidth4876\clshdrawnil \cellx9412\pard\plain \ltrpar&#13;&#10;\s21\qc \li0\ri0\sa240\keepn\nowidctlpar\intbl\wrapdefault\aspalpha\aspnum\faauto\adjustright\rin0\lin0\pararsid10708565 \rtlch\fcs1 \af0\afs20\alang1025 \ltrch\fcs0 \i\fs24\lang2057\langfe2057\cgrid\langnp2057\langfenp2057 {\rtlch\fcs1 \af0 \ltrch\fcs0 &#13;&#10;\insrsid3105041\charrsid1799708 [ZLEFT]\cell [ZRIGHT]\cell }\pard\plain \ltrpar\ql \li0\ri0\widctlpar\intbl\wrapdefault\aspalpha\aspnum\faauto\adjustright\rin0\lin0 \rtlch\fcs1 \af0\afs20\alang1025 \ltrch\fcs0 &#13;&#10;\fs24\lang2057\langfe2057\cgrid\langnp2057\langfenp2057 {\rtlch\fcs1 \af0 \ltrch\fcs0 \insrsid3105041\charrsid1799708 \trowd \ltrrow&#13;&#10;\ts11\trqc\trgaph340\trleft-340\trftsWidth3\trwWidth9752\trftsWidthB3\trftsWidthA3\trpaddl340\trpaddr340\trpaddfl3\trpaddfr3\tblrsid14055546\tblind0\tblindtype3 \clvertalt\clbrdrt\brdrtbl \clbrdrl\brdrtbl \clbrdrb\brdrtbl \clbrdrr\brdrtbl &#13;&#10;\cltxlrtb\clftsWidth3\clwWidth4876\clshdrawnil \cellx4536\clvertalt\clbrdrt\brdrtbl \clbrdrl\brdrtbl \clbrdrb\brdrtbl \clbrdrr\brdrtbl \cltxlrtb\clftsWidth3\clwWidth4876\clshdrawnil \cellx9412\row \ltrrow}\pard\plain \ltrpar&#13;&#10;\s17\ql \li0\ri0\sa120\nowidctlpar\intbl\wrapdefault\aspalpha\aspnum\faauto\adjustright\rin0\lin0\pararsid14055546 \rtlch\fcs1 \af0\afs20\alang1025 \ltrch\fcs0 \fs24\lang1024\langfe1024\cgrid\noproof\langnp2057\langfenp2057 {\rtlch\fcs1 \af0 \ltrch\fcs0 &#13;&#10;\insrsid3105041\charrsid1799708 [ZTEXTL]\cell [ZTEXTR]}{\rtlch\fcs1 \af0\afs24 \ltrch\fcs0 \insrsid3105041\charrsid1799708 \cell }\pard\plain \ltrpar\ql \li0\ri0\widctlpar\intbl\wrapdefault\aspalpha\aspnum\faauto\adjustright\rin0\lin0 \rtlch\fcs1 &#13;&#10;\af0\afs20\alang1025 \ltrch\fcs0 \fs24\lang2057\langfe2057\cgrid\langnp2057\langfenp2057 {\rtlch\fcs1 \af0 \ltrch\fcs0 \insrsid3105041\charrsid1799708 \trowd \lastrow \ltrrow&#13;&#10;\ts11\trqc\trgaph340\trleft-340\trftsWidth3\trwWidth9752\trftsWidthB3\trftsWidthA3\trpaddl340\trpaddr340\trpaddfl3\trpaddfr3\tblrsid14055546\tblind0\tblindtype3 \clvertalt\clbrdrt\brdrtbl \clbrdrl\brdrtbl \clbrdrb\brdrtbl \clbrdrr\brdrtbl &#13;&#10;\cltxlrtb\clftsWidth3\clwWidth4876\clshdrawnil \cellx4536\clvertalt\clbrdrt\brdrtbl \clbrdrl\brdrtbl \clbrdrb\brdrtbl \clbrdrr\brdrtbl \cltxlrtb\clftsWidth3\clwWidth4876\clshdrawnil \cellx9412\row }\pard\plain \ltrpar&#13;&#10;\s16\qr \li0\ri0\sb240\sa240\nowidctlpar\wrapdefault\aspalpha\aspnum\faauto\adjustright\rin0\lin0\itap0\pararsid14055546 \rtlch\fcs1 \af0\afs20\alang1025 \ltrch\fcs0 \fs24\lang1024\langfe1024\cgrid\noproof\langnp2057\langfenp2057 {\rtlch\fcs1 \af0 &#13;&#10;\ltrch\fcs0 \noproof0\insrsid3105041\charrsid1799708 Or. }{\rtlch\fcs1 \af0 \ltrch\fcs0 \cs15\v\f1\fs20\cf9\noproof0\insrsid3105041\charrsid1799708 &lt;Original&gt;}{\rtlch\fcs1 \af0 \ltrch\fcs0 \noproof0\insrsid3105041\charrsid1799708 [ZORLANG]}{\rtlch\fcs1 &#13;&#10;\af0 \ltrch\fcs0 \cs15\v\f1\fs20\cf9\noproof0\insrsid3105041\charrsid1799708 &lt;/Original&gt;}{\rtlch\fcs1 \af0 \ltrch\fcs0 \noproof0\insrsid3105041\charrsid1799708 &#13;&#10;\par }\pard\plain \ltrpar\ql \li0\ri0\widctlpar\wrapdefault\aspalpha\aspnum\faauto\adjustright\rin0\lin0\itap0\pararsid16324206 \rtlch\fcs1 \af0\afs20\alang1025 \ltrch\fcs0 \fs24\lang2057\langfe2057\cgrid\langnp2057\langfenp2057 {\rtlch\fcs1 \af0 \ltrch\fcs0 &#13;&#10;\cs15\v\f1\fs20\cf9\lang1024\langfe1024\noproof\insrsid3105041\charrsid1799708 &lt;/Amend&gt;}{\rtlch\fcs1 \af0 \ltrch\fcs0 \insrsid24658\charrsid16324206 {\*\bkmkend restart}&#13;&#10;\par }{\*\themedata 504b030414000600080000002100e9de0fbfff0000001c020000130000005b436f6e74656e745f54797065735d2e786d6cac91cb4ec3301045f748fc83e52d4a&#13;&#10;9cb2400825e982c78ec7a27cc0c8992416c9d8b2a755fbf74cd25442a820166c2cd933f79e3be372bd1f07b5c3989ca74aaff2422b24eb1b475da5df374fd9ad&#13;&#10;5689811a183c61a50f98f4babebc2837878049899a52a57be670674cb23d8e90721f90a4d2fa3802cb35762680fd800ecd7551dc18eb899138e3c943d7e503b6&#13;&#10;b01d583deee5f99824e290b4ba3f364eac4a430883b3c092d4eca8f946c916422ecab927f52ea42b89a1cd59c254f919b0e85e6535d135a8de20f20b8c12c3b0&#13;&#10;0c895fcf6720192de6bf3b9e89ecdbd6596cbcdd8eb28e7c365ecc4ec1ff1460f53fe813d3cc7f5b7f020000ffff0300504b030414000600080000002100a5d6&#13;&#10;a7e7c0000000360100000b0000005f72656c732f2e72656c73848fcf6ac3300c87ef85bd83d17d51d2c31825762fa590432fa37d00e1287f68221bdb1bebdb4f&#13;&#10;c7060abb0884a4eff7a93dfeae8bf9e194e720169aaa06c3e2433fcb68e1763dbf7f82c985a4a725085b787086a37bdbb55fbc50d1a33ccd311ba548b6309512&#13;&#10;0f88d94fbc52ae4264d1c910d24a45db3462247fa791715fd71f989e19e0364cd3f51652d73760ae8fa8c9ffb3c330cc9e4fc17faf2ce545046e37944c69e462&#13;&#10;a1a82fe353bd90a865aad41ed0b5b8f9d6fd010000ffff0300504b0304140006000800000021006b799616830000008a0000001c0000007468656d652f746865&#13;&#10;6d652f7468656d654d616e616765722e786d6c0ccc4d0ac3201040e17da17790d93763bb284562b2cbaebbf600439c1a41c7a0d29fdbd7e5e38337cedf14d59b&#13;&#10;4b0d592c9c070d8a65cd2e88b7f07c2ca71ba8da481cc52c6ce1c715e6e97818c9b48d13df49c873517d23d59085adb5dd20d6b52bd521ef2cdd5eb9246a3d8b&#13;&#10;4757e8d3f729e245eb2b260a0238fd010000ffff0300504b03041400060008000000210030dd4329a8060000a41b0000160000007468656d652f7468656d652f&#13;&#10;7468656d65312e786d6cec594f6fdb3614bf0fd87720746f6327761a07758ad8b19b2d4d1bc46e871e698996d850a240d2497d1bdae38001c3ba618715d86d87&#13;&#10;615b8116d8a5fb34d93a6c1dd0afb0475292c5585e9236d88aad3e2412f9e3fbff1e1fa9abd7eec70c1d1221294fda5efd72cd4324f1794093b0eddd1ef62fad&#13;&#10;79482a9c0498f184b4bd2991deb58df7dfbb8ad755446282607d22d771db8b944ad79796a40fc3585ee62949606ecc458c15bc8a702910f808e8c66c69b9565b&#13;&#10;5d8a314d3c94e018c8de1a8fa94fd05093f43672e23d06af89927ac06762a049136785c10607758d9053d965021d62d6f6804fc08f86e4bef210c352c144dbab&#13;&#10;999fb7b4717509af678b985ab0b6b4ae6f7ed9ba6c4170b06c788a705430adf71bad2b5b057d03606a1ed7ebf5babd7a41cf00b0ef83a6569632cd467faddec9&#13;&#10;699640f6719e76b7d6ac355c7c89feca9cccad4ea7d36c65b258a206641f1b73f8b5da6a6373d9c11b90c537e7f08dce66b7bbeae00dc8e257e7f0fd2badd586&#13;&#10;8b37a088d1e4600ead1ddaef67d40bc898b3ed4af81ac0d76a197c86826828a24bb318f3442d8ab518dfe3a20f000d6458d104a9694ac6d88728eee2782428d6&#13;&#10;0cf03ac1a5193be4cbb921cd0b495fd054b5bd0f530c1931a3f7eaf9f7af9e3f45c70f9e1d3ff8e9f8e1c3e3073f5a42ceaa6d9c84e5552fbffdeccfc71fa33f&#13;&#10;9e7ef3f2d117d57859c6fffac327bffcfc793510d26726ce8b2f9ffcf6ecc98baf3efdfdbb4715f04d814765f890c644a29be408edf3181433567125272371be&#13;&#10;15c308d3f28acd249438c19a4b05fd9e8a1cf4cd296699771c393ac4b5e01d01e5a30a787d72cf1178108989a2159c77a2d801ee72ce3a5c545a6147f32a9979&#13;&#10;3849c26ae66252c6ed637c58c5bb8b13c7bfbd490a75330f4b47f16e441c31f7184e140e494214d273fc80900aedee52ead87597fa824b3e56e82e451d4c2b4d&#13;&#10;32a423279a668bb6690c7e9956e90cfe766cb37b077538abd27a8b1cba48c80acc2a841f12e698f13a9e281c57911ce298950d7e03aba84ac8c154f8655c4f2a&#13;&#10;f074481847bd804859b5e696007d4b4edfc150b12addbecba6b18b148a1e54d1bc81392f23b7f84137c2715a851dd0242a633f900710a218ed715505dfe56e86&#13;&#10;e877f0034e16bafb0e258ebb4faf06b769e888340b103d331115bebc4eb813bf83291b63624a0d1475a756c734f9bbc2cd28546ecbe1e20a3794ca175f3fae90&#13;&#10;fb6d2dd99bb07b55e5ccf68942bd0877b23c77b908e8db5f9db7f024d9239010f35bd4bbe2fcae387bfff9e2bc289f2fbe24cfaa301468dd8bd846dbb4ddf1c2&#13;&#10;ae7b4c191ba8292337a469bc25ec3d411f06f53a73e224c5292c8de0516732307070a1c0660d125c7d44553488700a4d7bddd3444299910e254ab984c3a219ae&#13;&#10;a4adf1d0f82b7bd46cea4388ad1c12ab5d1ed8e1153d9c9f350a3246aad01c6873462b9ac05999ad5cc988826eafc3acae853a33b7ba11cd1445875ba1b236b1&#13;&#10;399483c90bd560b0b0263435085a21b0f22a9cf9356b38ec6046026d77eba3dc2dc60b17e92219e180643ed27acffba86e9c94c7ca9c225a0f1b0cfae0788ad5&#13;&#10;4adc5a9aec1b703b8b93caec1a0bd8e5de7b132fe5113cf312503b998e2c2927274bd051db6b35979b1ef271daf6c6704e86c73805af4bdd476216c26593af84&#13;&#10;0dfb5393d964f9cc9bad5c313709ea70f561ed3ea7b053075221d51696910d0d339585004b34272bff7213cc7a510a5454a3b349b1b206c1f0af490176745d4b&#13;&#10;c663e2abb2b34b23da76f6352ba57ca2881844c1111ab189d8c7e07e1daaa04f40255c77988aa05fe06e4e5bdb4cb9c5394bbaf28d98c1d971ccd20867e556a7&#13;&#10;689ec9166e0a522183792b8907ba55ca6e943bbf2a26e52f48957218ffcf54d1fb09dc3eac04da033e5c0d0b8c74a6b43d2e54c4a10aa511f5fb021a07533b20&#13;&#10;5ae07e17a621a8e082dafc17e450ffb739676998b48643a4daa7211214f623150942f6a02c99e83b85583ddbbb2c4996113211551257a656ec1139246ca86be0&#13;&#10;aadedb3d1441a89b6a929501833b197fee7b9641a3503739e57c732a59b1f7da1cf8a73b1f9bcca0945b874d4393dbbf10b1680f66bbaa5d6f96e77b6f59113d&#13;&#10;316bb31a795600b3d256d0cad2fe354538e7566b2bd69cc6cbcd5c38f0e2bcc63058344429dc2121fd07f63f2a7c66bf76e80d75c8f7a1b622f878a18941d840&#13;&#10;545fb28d07d205d20e8ea071b283369834296bdaac75d256cb37eb0bee740bbe278cad253b8bbfcf69eca23973d939b97891c6ce2cecd8da8e2d343578f6648a&#13;&#10;c2d0383fc818c798cf64e52f597c740f1cbd05df0c264c49134cf09d4a60e8a107260f20f92d47b374e32f000000ffff0300504b030414000600080000002100&#13;&#10;0dd1909fb60000001b010000270000007468656d652f7468656d652f5f72656c732f7468656d654d616e616765722e786d6c2e72656c73848f4d0ac2301484f7&#13;&#10;8277086f6fd3ba109126dd88d0add40384e4350d363f2451eced0dae2c082e8761be9969bb979dc9136332de3168aa1a083ae995719ac16db8ec8e4052164e89&#13;&#10;d93b64b060828e6f37ed1567914b284d262452282e3198720e274a939cd08a54f980ae38a38f56e422a3a641c8bbd048f7757da0f19b017cc524bd62107bd500&#13;&#10;1996509affb3fd381a89672f1f165dfe514173d9850528a2c6cce0239baa4c04ca5bbabac4df000000ffff0300504b01022d0014000600080000002100e9de0f&#13;&#10;bfff0000001c0200001300000000000000000000000000000000005b436f6e74656e745f54797065735d2e786d6c504b01022d0014000600080000002100a5d6&#13;&#10;a7e7c0000000360100000b00000000000000000000000000300100005f72656c732f2e72656c73504b01022d00140006000800000021006b799616830000008a&#13;&#10;0000001c00000000000000000000000000190200007468656d652f7468656d652f7468656d654d616e616765722e786d6c504b01022d00140006000800000021&#13;&#10;0030dd4329a8060000a41b00001600000000000000000000000000d60200007468656d652f7468656d652f7468656d65312e786d6c504b01022d001400060008&#13;&#10;00000021000dd1909fb60000001b0100002700000000000000000000000000b20900007468656d652f7468656d652f5f72656c732f7468656d654d616e616765722e786d6c2e72656c73504b050600000000050005005d010000ad0a00000000}&#13;&#10;{\*\colorschememapping 3c3f786d6c2076657273696f6e3d22312e302220656e636f64696e673d225554462d3822207374616e64616c6f6e653d22796573223f3e0d0a3c613a636c724d&#13;&#10;617020786d6c6e733a613d22687474703a2f2f736368656d61732e6f70656e786d6c666f726d6174732e6f72672f64726177696e676d6c2f323030362f6d6169&#13;&#10;6e22206267313d226c743122207478313d22646b3122206267323d226c743222207478323d22646b322220616363656e74313d22616363656e74312220616363&#13;&#10;656e74323d22616363656e74322220616363656e74333d22616363656e74332220616363656e74343d22616363656e74342220616363656e74353d22616363656e74352220616363656e74363d22616363656e74362220686c696e6b3d22686c696e6b2220666f6c486c696e6b3d22666f6c486c696e6b222f3e}&#13;&#10;{\*\latentstyles\lsdstimax267\lsdlockeddef0\lsdsemihiddendef0\lsdunhideuseddef0\lsdqformatdef0\lsdprioritydef0{\lsdlockedexcept \lsdqformat1 \lsdlocked0 Normal;\lsdqformat1 \lsdlocked0 heading 1;&#13;&#10;\lsdsemihidden1 \lsdunhideused1 \lsdqformat1 \lsdlocked0 heading 2;\lsdsemihidden1 \lsdunhideused1 \lsdqformat1 \lsdlocked0 heading 3;\lsdsemihidden1 \lsdunhideused1 \lsdqformat1 \lsdlocked0 heading 4;&#13;&#10;\lsdsemihidden1 \lsdunhideused1 \lsdqformat1 \lsdlocked0 heading 5;\lsdsemihidden1 \lsdunhideused1 \lsdqformat1 \lsdlocked0 heading 6;\lsdsemihidden1 \lsdunhideused1 \lsdqformat1 \lsdlocked0 heading 7;&#13;&#10;\lsdsemihidden1 \lsdunhideused1 \lsdqformat1 \lsdlocked0 heading 8;\lsdsemihidden1 \lsdunhideused1 \lsdqformat1 \lsdlocked0 heading 9;\lsdsemihidden1 \lsdunhideused1 \lsdqformat1 \lsdlocked0 caption;\lsdqformat1 \lsdlocked0 Title;&#13;&#10;\lsdqformat1 \lsdlocked0 Subtitle;\lsdqformat1 \lsdlocked0 Strong;\lsdqformat1 \lsdlocked0 Emphasis;\lsdsemihidden1 \lsdpriority99 \lsdlocked0 Placeholder Text;\lsdqformat1 \lsdpriority1 \lsdlocked0 No Spacing;\lsdpriority60 \lsdlocked0 Light Shading;&#13;&#10;\lsdpriority61 \lsdlocked0 Light List;\lsdpriority62 \lsdlocked0 Light Grid;\lsdpriority63 \lsdlocked0 Medium Shading 1;\lsdpriority64 \lsdlocked0 Medium Shading 2;\lsdpriority65 \lsdlocked0 Medium List 1;\lsdpriority66 \lsdlocked0 Medium List 2;&#13;&#10;\lsdpriority67 \lsdlocked0 Medium Grid 1;\lsdpriority68 \lsdlocked0 Medium Grid 2;\lsdpriority69 \lsdlocked0 Medium Grid 3;\lsdpriority70 \lsdlocked0 Dark List;\lsdpriority71 \lsdlocked0 Colorful Shading;\lsdpriority72 \lsdlocked0 Colorful List;&#13;&#10;\lsdpriority73 \lsdlocked0 Colorful Grid;\lsdpriority60 \lsdlocked0 Light Shading Accent 1;\lsdpriority61 \lsdlocked0 Light List Accent 1;\lsdpriority62 \lsdlocked0 Light Grid Accent 1;\lsdpriority63 \lsdlocked0 Medium Shading 1 Accent 1;&#13;&#10;\lsdpriority64 \lsdlocked0 Medium Shading 2 Accent 1;\lsdpriority65 \lsdlocked0 Medium List 1 Accent 1;\lsdsemihidden1 \lsdpriority99 \lsdlocked0 Revision;\lsdqformat1 \lsdpriority34 \lsdlocked0 List Paragraph;&#13;&#10;\lsdqformat1 \lsdpriority29 \lsdlocked0 Quote;\lsdqformat1 \lsdpriority30 \lsdlocked0 Intense Quote;\lsdpriority66 \lsdlocked0 Medium List 2 Accent 1;\lsdpriority67 \lsdlocked0 Medium Grid 1 Accent 1;\lsdpriority68 \lsdlocked0 Medium Grid 2 Accent 1;&#13;&#10;\lsdpriority69 \lsdlocked0 Medium Grid 3 Accent 1;\lsdpriority70 \lsdlocked0 Dark List Accent 1;\lsdpriority71 \lsdlocked0 Colorful Shading Accent 1;\lsdpriority72 \lsdlocked0 Colorful List Accent 1;\lsdpriority73 \lsdlocked0 Colorful Grid Accent 1;&#13;&#10;\lsdpriority60 \lsdlocked0 Light Shading Accent 2;\lsdpriority61 \lsdlocked0 Light List Accent 2;\lsdpriority62 \lsdlocked0 Light Grid Accent 2;\lsdpriority63 \lsdlocked0 Medium Shading 1 Accent 2;\lsdpriority64 \lsdlocked0 Medium Shading 2 Accent 2;&#13;&#10;\lsdpriority65 \lsdlocked0 Medium List 1 Accent 2;\lsdpriority66 \lsdlocked0 Medium List 2 Accent 2;\lsdpriority67 \lsdlocked0 Medium Grid 1 Accent 2;\lsdpriority68 \lsdlocked0 Medium Grid 2 Accent 2;\lsdpriority69 \lsdlocked0 Medium Grid 3 Accent 2;&#13;&#10;\lsdpriority70 \lsdlocked0 Dark List Accent 2;\lsdpriority71 \lsdlocked0 Colorful Shading Accent 2;\lsdpriority72 \lsdlocked0 Colorful List Accent 2;\lsdpriority73 \lsdlocked0 Colorful Grid Accent 2;\lsdpriority60 \lsdlocked0 Light Shading Accent 3;&#13;&#10;\lsdpriority61 \lsdlocked0 Light List Accent 3;\lsdpriority62 \lsdlocked0 Light Grid Accent 3;\lsdpriority63 \lsdlocked0 Medium Shading 1 Accent 3;\lsdpriority64 \lsdlocked0 Medium Shading 2 Accent 3;\lsdpriority65 \lsdlocked0 Medium List 1 Accent 3;&#13;&#10;\lsdpriority66 \lsdlocked0 Medium List 2 Accent 3;\lsdpriority67 \lsdlocked0 Medium Grid 1 Accent 3;\lsdpriority68 \lsdlocked0 Medium Grid 2 Accent 3;\lsdpriority69 \lsdlocked0 Medium Grid 3 Accent 3;\lsdpriority70 \lsdlocked0 Dark List Accent 3;&#13;&#10;\lsdpriority71 \lsdlocked0 Colorful Shading Accent 3;\lsdpriority72 \lsdlocked0 Colorful List Accent 3;\lsdpriority73 \lsdlocked0 Colorful Grid Accent 3;\lsdpriority60 \lsdlocked0 Light Shading Accent 4;\lsdpriority61 \lsdlocked0 Light List Accent 4;&#13;&#10;\lsdpriority62 \lsdlocked0 Light Grid Accent 4;\lsdpriority63 \lsdlocked0 Medium Shading 1 Accent 4;\lsdpriority64 \lsdlocked0 Medium Shading 2 Accent 4;\lsdpriority65 \lsdlocked0 Medium List 1 Accent 4;\lsdpriority66 \lsdlocked0 Medium List 2 Accent 4;&#13;&#10;\lsdpriority67 \lsdlocked0 Medium Grid 1 Accent 4;\lsdpriority68 \lsdlocked0 Medium Grid 2 Accent 4;\lsdpriority69 \lsdlocked0 Medium Grid 3 Accent 4;\lsdpriority70 \lsdlocked0 Dark List Accent 4;\lsdpriority71 \lsdlocked0 Colorful Shading Accent 4;&#13;&#10;\lsdpriority72 \lsdlocked0 Colorful List Accent 4;\lsdpriority73 \lsdlocked0 Colorful Grid Accent 4;\lsdpriority60 \lsdlocked0 Light Shading Accent 5;\lsdpriority61 \lsdlocked0 Light List Accent 5;\lsdpriority62 \lsdlocked0 Light Grid Accent 5;&#13;&#10;\lsdpriority63 \lsdlocked0 Medium Shading 1 Accent 5;\lsdpriority64 \lsdlocked0 Medium Shading 2 Accent 5;\lsdpriority65 \lsdlocked0 Medium List 1 Accent 5;\lsdpriority66 \lsdlocked0 Medium List 2 Accent 5;&#13;&#10;\lsdpriority67 \lsdlocked0 Medium Grid 1 Accent 5;\lsdpriority68 \lsdlocked0 Medium Grid 2 Accent 5;\lsdpriority69 \lsdlocked0 Medium Grid 3 Accent 5;\lsdpriority70 \lsdlocked0 Dark List Accent 5;\lsdpriority71 \lsdlocked0 Colorful Shading Accent 5;&#13;&#10;\lsdpriority72 \lsdlocked0 Colorful List Accent 5;\lsdpriority73 \lsdlocked0 Colorful Grid Accent 5;\lsdpriority60 \lsdlocked0 Light Shading Accent 6;\lsdpriority61 \lsdlocked0 Light List Accent 6;\lsdpriority62 \lsdlocked0 Light Grid Accent 6;&#13;&#10;\lsdpriority63 \lsdlocked0 Medium Shading 1 Accent 6;\lsdpriority64 \lsdlocked0 Medium Shading 2 Accent 6;\lsdpriority65 \lsdlocked0 Medium List 1 Accent 6;\lsdpriority66 \lsdlocked0 Medium List 2 Accent 6;&#13;&#10;\lsdpriority67 \lsdlocked0 Medium Grid 1 Accent 6;\lsdpriority68 \lsdlocked0 Medium Grid 2 Accent 6;\lsdpriority69 \lsdlocked0 Medium Grid 3 Accent 6;\lsdpriority70 \lsdlocked0 Dark List Accent 6;\lsdpriority71 \lsdlocked0 Colorful Shading Accent 6;&#13;&#10;\lsdpriority72 \lsdlocked0 Colorful List Accent 6;\lsdpriority73 \lsdlocked0 Colorful Grid Accent 6;\lsdqformat1 \lsdpriority19 \lsdlocked0 Subtle Emphasis;\lsdqformat1 \lsdpriority21 \lsdlocked0 Intense Emphasis;&#13;&#10;\lsdqformat1 \lsdpriority31 \lsdlocked0 Subtle Reference;\lsdqformat1 \lsdpriority32 \lsdlocked0 Intense Reference;\lsdqformat1 \lsdpriority33 \lsdlocked0 Book Title;\lsdsemihidden1 \lsdunhideused1 \lsdpriority37 \lsdlocked0 Bibliography;&#13;&#10;\lsdsemihidden1 \lsdunhideused1 \lsdqformat1 \lsdpriority39 \lsdlocked0 TOC Heading;}}{\*\datastore 0105000002000000180000004d73786d6c322e534158584d4c5265616465722e362e3000000000000000000000060000&#13;&#10;d0cf11e0a1b11ae1000000000000000000000000000000003e000300feff090006000000000000000000000001000000010000000000000000100000feffffff00000000feffffff0000000000000000ffffffffffffffffffffffffffffffffffffffffffffffffffffffffffffffffffffffffffffffffffffffffffff&#13;&#10;ffffffffffffffffffffffffffffffffffffffffffffffffffffffffffffffffffffffffffffffffffffffffffffffffffffffffffffffffffffffffffffffffffffffffffffffffffffffffffffffffffffffffffffffffffffffffffffffffffffffffffffffffffffffffffffffffffffffffffffffffffffffffffff&#13;&#10;ffffffffffffffffffffffffffffffffffffffffffffffffffffffffffffffffffffffffffffffffffffffffffffffffffffffffffffffffffffffffffffffffffffffffffffffffffffffffffffffffffffffffffffffffffffffffffffffffffffffffffffffffffffffffffffffffffffffffffffffffffffffffffff&#13;&#10;ffffffffffffffffffffffffffffffffffffffffffffffffffffffffffffffffffffffffffffffffffffffffffffffffffffffffffffffffffffffffffffffffffffffffffffffffffffffffffffffffffffffffffffffffffffffffffffffffffffffffffffffffffffffffffffffffffffffffffffffffffffffffffff&#13;&#10;fffffffffffffffffdfffffffeffffffffffffffffffffffffffffffffffffffffffffffffffffffffffffffffffffffffffffffffffffffffffffffffffffffffffffffffffffffffffffffffffffffffffffffffffffffffffffffffffffffffffffffffffffffffffffffffffffffffffffffffffffffffffffffffff&#13;&#10;ffffffffffffffffffffffffffffffffffffffffffffffffffffffffffffffffffffffffffffffffffffffffffffffffffffffffffffffffffffffffffffffffffffffffffffffffffffffffffffffffffffffffffffffffffffffffffffffffffffffffffffffffffffffffffffffffffffffffffffffffffffffffffff&#13;&#10;ffffffffffffffffffffffffffffffffffffffffffffffffffffffffffffffffffffffffffffffffffffffffffffffffffffffffffffffffffffffffffffffffffffffffffffffffffffffffffffffffffffffffffffffffffffffffffffffffffffffffffffffffffffffffffffffffffffffffffffffffffffffffffff&#13;&#10;ffffffffffffffffffffffffffffffffffffffffffffffffffffffffffffffffffffffffffffffffffffffffffffffffffffffffffffffffffffffffffffffffffffffffffffffffffffffffffffffffffffffffffffffffffffffffffffffffffffffffffffffffffffffffffffffffffffffffffffffffffffffffffff&#13;&#10;ffffffffffffffffffffffffffffffff52006f006f007400200045006e00740072007900000000000000000000000000000000000000000000000000000000000000000000000000000000000000000016000500ffffffffffffffffffffffff0c6ad98892f1d411a65f0040963251e500000000000000000000000040b8&#13;&#10;88089389d001feffffff00000000000000000000000000000000000000000000000000000000000000000000000000000000000000000000000000000000000000000000000000000000000000000000000000000000ffffffffffffffffffffffff00000000000000000000000000000000000000000000000000000000&#13;&#10;00000000000000000000000000000000000000000000000000000000000000000000000000000000000000000000000000000000000000000000000000000000000000000000000000000000000000000000000000000000ffffffffffffffffffffffff0000000000000000000000000000000000000000000000000000&#13;&#10;000000000000000000000000000000000000000000000000000000000000000000000000000000000000000000000000000000000000000000000000000000000000000000000000000000000000000000000000000000000000ffffffffffffffffffffffff000000000000000000000000000000000000000000000000&#13;&#10;0000000000000000000000000000000000000000000000000105000000000000}}"/>
  </w:docVar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AMNumberTabs">
    <w:name w:val="AMNumberTabs"/>
    <w:basedOn w:val="Normal"/>
    <w:pPr>
      <w:tabs>
        <w:tab w:val="left" w:pos="879"/>
        <w:tab w:val="left" w:pos="936"/>
        <w:tab w:val="left" w:pos="1021"/>
        <w:tab w:val="left" w:pos="1077"/>
        <w:tab w:val="left" w:pos="1134"/>
        <w:tab w:val="left" w:pos="1191"/>
        <w:tab w:val="left" w:pos="1247"/>
        <w:tab w:val="left" w:pos="1304"/>
        <w:tab w:val="left" w:pos="1361"/>
        <w:tab w:val="left" w:pos="1418"/>
        <w:tab w:val="left" w:pos="1474"/>
        <w:tab w:val="left" w:pos="1531"/>
        <w:tab w:val="left" w:pos="1588"/>
        <w:tab w:val="left" w:pos="1644"/>
        <w:tab w:val="left" w:pos="1701"/>
        <w:tab w:val="left" w:pos="1758"/>
        <w:tab w:val="left" w:pos="1814"/>
        <w:tab w:val="left" w:pos="1871"/>
        <w:tab w:val="left" w:pos="2070"/>
        <w:tab w:val="left" w:pos="2126"/>
        <w:tab w:val="left" w:pos="3374"/>
        <w:tab w:val="left" w:pos="3430"/>
      </w:tabs>
      <w:spacing w:before="240"/>
    </w:pPr>
    <w:rPr>
      <w:b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D773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732B"/>
    <w:rPr>
      <w:rFonts w:ascii="Tahoma" w:hAnsi="Tahoma" w:cs="Tahoma"/>
      <w:sz w:val="16"/>
      <w:szCs w:val="16"/>
    </w:rPr>
  </w:style>
  <w:style w:type="character" w:customStyle="1" w:styleId="BalloonTextChar0">
    <w:name w:val="Balloon Text Char_0"/>
    <w:basedOn w:val="DefaultParagraphFont"/>
    <w:link w:val="BalloonText0"/>
    <w:rsid w:val="00D7732B"/>
    <w:rPr>
      <w:rFonts w:ascii="Tahoma" w:hAnsi="Tahoma" w:cs="Tahoma"/>
      <w:sz w:val="16"/>
      <w:szCs w:val="16"/>
    </w:rPr>
  </w:style>
  <w:style w:type="paragraph" w:customStyle="1" w:styleId="BalloonText0">
    <w:name w:val="Balloon Text_0"/>
    <w:basedOn w:val="Normal"/>
    <w:link w:val="BalloonTextChar0"/>
    <w:rsid w:val="00D7732B"/>
    <w:rPr>
      <w:rFonts w:ascii="Tahoma" w:hAnsi="Tahoma" w:cs="Tahoma"/>
      <w:sz w:val="16"/>
      <w:szCs w:val="16"/>
    </w:rPr>
  </w:style>
  <w:style w:type="character" w:customStyle="1" w:styleId="Bold">
    <w:name w:val="Bold"/>
    <w:uiPriority w:val="1"/>
    <w:qFormat/>
    <w:rsid w:val="001F3CAD"/>
    <w:rPr>
      <w:rFonts w:ascii="Times New Roman" w:hAnsi="Times New Roman"/>
      <w:b/>
      <w:sz w:val="24"/>
      <w:lang w:val="fr-FR"/>
    </w:rPr>
  </w:style>
  <w:style w:type="character" w:customStyle="1" w:styleId="BoldItalic">
    <w:name w:val="BoldItalic"/>
    <w:uiPriority w:val="1"/>
    <w:qFormat/>
    <w:rsid w:val="00BF36FD"/>
    <w:rPr>
      <w:rFonts w:ascii="Times New Roman" w:hAnsi="Times New Roman"/>
      <w:b/>
      <w:i/>
      <w:sz w:val="24"/>
    </w:rPr>
  </w:style>
  <w:style w:type="paragraph" w:customStyle="1" w:styleId="Center">
    <w:name w:val="Center"/>
    <w:pPr>
      <w:spacing w:after="120"/>
      <w:jc w:val="center"/>
    </w:pPr>
    <w:rPr>
      <w:color w:val="000000"/>
    </w:rPr>
  </w:style>
  <w:style w:type="paragraph" w:customStyle="1" w:styleId="ColumnHeading">
    <w:name w:val="ColumnHeading"/>
    <w:basedOn w:val="Normal"/>
    <w:pPr>
      <w:spacing w:after="240"/>
      <w:jc w:val="center"/>
    </w:pPr>
    <w:rPr>
      <w:i/>
      <w:color w:val="000000"/>
      <w:sz w:val="24"/>
      <w:szCs w:val="24"/>
    </w:rPr>
  </w:style>
  <w:style w:type="paragraph" w:customStyle="1" w:styleId="Cover24">
    <w:name w:val="Cover24"/>
    <w:pPr>
      <w:spacing w:after="480"/>
      <w:ind w:left="1418"/>
    </w:pPr>
    <w:rPr>
      <w:color w:val="000000"/>
      <w:sz w:val="24"/>
      <w:szCs w:val="24"/>
    </w:rPr>
  </w:style>
  <w:style w:type="paragraph" w:customStyle="1" w:styleId="CoverBold">
    <w:name w:val="CoverBold"/>
    <w:pPr>
      <w:ind w:left="1418"/>
    </w:pPr>
    <w:rPr>
      <w:b/>
      <w:color w:val="000000"/>
      <w:sz w:val="24"/>
      <w:szCs w:val="24"/>
    </w:rPr>
  </w:style>
  <w:style w:type="paragraph" w:customStyle="1" w:styleId="CoverNormal">
    <w:name w:val="CoverNormal"/>
    <w:basedOn w:val="Normal"/>
    <w:pPr>
      <w:ind w:left="1418"/>
    </w:pPr>
    <w:rPr>
      <w:color w:val="000000"/>
      <w:sz w:val="24"/>
      <w:szCs w:val="24"/>
    </w:rPr>
  </w:style>
  <w:style w:type="paragraph" w:customStyle="1" w:styleId="CrossRef">
    <w:name w:val="CrossRef"/>
    <w:pPr>
      <w:spacing w:before="240"/>
      <w:jc w:val="center"/>
    </w:pPr>
    <w:rPr>
      <w:i/>
      <w:color w:val="000000"/>
      <w:sz w:val="24"/>
    </w:rPr>
  </w:style>
  <w:style w:type="character" w:customStyle="1" w:styleId="DefaultParagraphFont0">
    <w:name w:val="Default Paragraph Font_0"/>
    <w:next w:val="DefaultParagraphFont"/>
    <w:uiPriority w:val="1"/>
    <w:semiHidden/>
    <w:unhideWhenUsed/>
  </w:style>
  <w:style w:type="paragraph" w:customStyle="1" w:styleId="EPLogo">
    <w:name w:val="EPLogo"/>
    <w:basedOn w:val="Normal"/>
    <w:qFormat/>
    <w:rsid w:val="00D7732B"/>
    <w:pPr>
      <w:widowControl w:val="0"/>
      <w:jc w:val="right"/>
    </w:pPr>
    <w:rPr>
      <w:sz w:val="24"/>
      <w:szCs w:val="20"/>
    </w:rPr>
  </w:style>
  <w:style w:type="paragraph" w:customStyle="1" w:styleId="EPName">
    <w:name w:val="EPName"/>
    <w:basedOn w:val="Normal"/>
    <w:rsid w:val="00D7732B"/>
    <w:pPr>
      <w:widowControl w:val="0"/>
      <w:spacing w:before="80" w:after="80"/>
    </w:pPr>
    <w:rPr>
      <w:rFonts w:ascii="Arial Narrow" w:hAnsi="Arial Narrow" w:cs="Arial"/>
      <w:b/>
      <w:color w:val="000000"/>
      <w:sz w:val="32"/>
      <w:szCs w:val="22"/>
    </w:rPr>
  </w:style>
  <w:style w:type="paragraph" w:customStyle="1" w:styleId="EPTerm">
    <w:name w:val="EPTerm"/>
    <w:basedOn w:val="Normal"/>
    <w:next w:val="Normal"/>
    <w:rsid w:val="00D7732B"/>
    <w:pPr>
      <w:widowControl w:val="0"/>
      <w:spacing w:after="80"/>
    </w:pPr>
    <w:rPr>
      <w:rFonts w:ascii="Arial" w:hAnsi="Arial" w:cs="Arial"/>
      <w:sz w:val="20"/>
      <w:szCs w:val="22"/>
      <w:lang w:val="fr-FR"/>
    </w:rPr>
  </w:style>
  <w:style w:type="character" w:customStyle="1" w:styleId="FootNoteMarker">
    <w:name w:val="FootNoteMarker"/>
    <w:rPr>
      <w:color w:val="000000"/>
      <w:vertAlign w:val="superscript"/>
    </w:rPr>
  </w:style>
  <w:style w:type="paragraph" w:styleId="Footer">
    <w:name w:val="footer"/>
    <w:rsid w:val="00EC60CE"/>
    <w:pPr>
      <w:tabs>
        <w:tab w:val="center" w:pos="4536"/>
        <w:tab w:val="right" w:pos="9072"/>
      </w:tabs>
      <w:spacing w:before="0" w:after="0"/>
    </w:pPr>
    <w:rPr>
      <w:color w:val="000000"/>
      <w:sz w:val="22"/>
      <w:szCs w:val="24"/>
    </w:rPr>
  </w:style>
  <w:style w:type="paragraph" w:customStyle="1" w:styleId="Footer1">
    <w:name w:val="Footer1"/>
    <w:pPr>
      <w:tabs>
        <w:tab w:val="center" w:pos="4536"/>
        <w:tab w:val="right" w:pos="9072"/>
      </w:tabs>
      <w:spacing w:before="240" w:after="240" w:line="220" w:lineRule="auto"/>
    </w:pPr>
    <w:rPr>
      <w:color w:val="000000"/>
      <w:sz w:val="22"/>
      <w:szCs w:val="24"/>
    </w:rPr>
  </w:style>
  <w:style w:type="paragraph" w:customStyle="1" w:styleId="Footer2">
    <w:name w:val="Footer2"/>
    <w:rsid w:val="00A801F5"/>
    <w:pPr>
      <w:tabs>
        <w:tab w:val="center" w:pos="4535"/>
        <w:tab w:val="right" w:pos="9923"/>
      </w:tabs>
      <w:spacing w:after="240"/>
      <w:ind w:left="-851"/>
    </w:pPr>
    <w:rPr>
      <w:rFonts w:ascii="Arial" w:eastAsia="Arial" w:hAnsi="Arial" w:cs="Arial"/>
      <w:b/>
      <w:color w:val="000000"/>
      <w:sz w:val="48"/>
      <w:szCs w:val="24"/>
    </w:rPr>
  </w:style>
  <w:style w:type="paragraph" w:customStyle="1" w:styleId="Footer2Landscape">
    <w:name w:val="Footer2Landscape"/>
    <w:qFormat/>
    <w:rsid w:val="00126EF9"/>
    <w:pPr>
      <w:tabs>
        <w:tab w:val="center" w:pos="4535"/>
        <w:tab w:val="center" w:pos="6804"/>
        <w:tab w:val="clear" w:pos="9923"/>
        <w:tab w:val="center" w:pos="13608"/>
      </w:tabs>
      <w:spacing w:after="240"/>
      <w:ind w:left="-851"/>
    </w:pPr>
    <w:rPr>
      <w:rFonts w:ascii="Arial" w:eastAsia="Arial" w:hAnsi="Arial" w:cs="Arial"/>
      <w:b/>
      <w:color w:val="000000"/>
      <w:sz w:val="48"/>
      <w:szCs w:val="24"/>
    </w:rPr>
  </w:style>
  <w:style w:type="character" w:customStyle="1" w:styleId="Footer2Middle">
    <w:name w:val="Footer2Middle"/>
    <w:rPr>
      <w:rFonts w:ascii="Arial" w:eastAsia="Arial" w:hAnsi="Arial" w:cs="Arial"/>
      <w:b w:val="0"/>
      <w:i/>
      <w:color w:val="C0C0C0"/>
      <w:sz w:val="22"/>
    </w:rPr>
  </w:style>
  <w:style w:type="paragraph" w:customStyle="1" w:styleId="FooterLandscape">
    <w:name w:val="FooterLandscape"/>
    <w:qFormat/>
    <w:rsid w:val="00C75EBA"/>
    <w:pPr>
      <w:tabs>
        <w:tab w:val="clear" w:pos="4536"/>
        <w:tab w:val="center" w:pos="6804"/>
        <w:tab w:val="clear" w:pos="9072"/>
        <w:tab w:val="center" w:pos="13608"/>
      </w:tabs>
      <w:spacing w:before="0" w:after="0"/>
    </w:pPr>
    <w:rPr>
      <w:color w:val="000000"/>
      <w:sz w:val="22"/>
      <w:szCs w:val="24"/>
    </w:rPr>
  </w:style>
  <w:style w:type="character" w:customStyle="1" w:styleId="HideTWBExt">
    <w:name w:val="HideTWBExt"/>
    <w:basedOn w:val="DefaultParagraphFont"/>
    <w:rPr>
      <w:rFonts w:ascii="Arial" w:eastAsia="Arial" w:hAnsi="Arial" w:cs="Arial"/>
      <w:b w:val="0"/>
      <w:i w:val="0"/>
      <w:caps w:val="0"/>
      <w:vanish/>
      <w:color w:val="000080"/>
      <w:sz w:val="20"/>
    </w:rPr>
  </w:style>
  <w:style w:type="character" w:customStyle="1" w:styleId="HideTWBInt">
    <w:name w:val="HideTWBInt"/>
    <w:basedOn w:val="DefaultParagraphFont"/>
    <w:rPr>
      <w:b w:val="0"/>
      <w:caps w:val="0"/>
      <w:vanish/>
      <w:color w:val="808080"/>
      <w:sz w:val="24"/>
    </w:rPr>
  </w:style>
  <w:style w:type="character" w:customStyle="1" w:styleId="Italic">
    <w:name w:val="Italic"/>
    <w:uiPriority w:val="1"/>
    <w:qFormat/>
    <w:rsid w:val="004576CA"/>
    <w:rPr>
      <w:rFonts w:ascii="Times New Roman" w:hAnsi="Times New Roman"/>
      <w:i/>
      <w:sz w:val="24"/>
    </w:rPr>
  </w:style>
  <w:style w:type="paragraph" w:customStyle="1" w:styleId="JustificationTitle">
    <w:name w:val="JustificationTitle"/>
    <w:pPr>
      <w:keepNext/>
      <w:spacing w:before="240" w:after="240"/>
      <w:jc w:val="center"/>
    </w:pPr>
    <w:rPr>
      <w:i/>
      <w:color w:val="000000"/>
      <w:sz w:val="24"/>
      <w:szCs w:val="24"/>
    </w:rPr>
  </w:style>
  <w:style w:type="paragraph" w:customStyle="1" w:styleId="LineBottom">
    <w:name w:val="LineBottom"/>
    <w:basedOn w:val="Normal"/>
    <w:next w:val="Normal"/>
    <w:pPr>
      <w:pBdr>
        <w:bottom w:val="single" w:sz="4" w:space="0" w:color="auto"/>
      </w:pBdr>
      <w:spacing w:after="960"/>
      <w:jc w:val="center"/>
    </w:pPr>
    <w:rPr>
      <w:rFonts w:ascii="Arial" w:eastAsia="Arial" w:hAnsi="Arial" w:cs="Arial"/>
      <w:color w:val="000000"/>
      <w:sz w:val="16"/>
      <w:szCs w:val="24"/>
    </w:rPr>
  </w:style>
  <w:style w:type="paragraph" w:customStyle="1" w:styleId="LineTop">
    <w:name w:val="LineTop"/>
    <w:basedOn w:val="Normal"/>
    <w:pPr>
      <w:pBdr>
        <w:top w:val="single" w:sz="4" w:space="0" w:color="auto"/>
      </w:pBdr>
      <w:jc w:val="center"/>
    </w:pPr>
    <w:rPr>
      <w:rFonts w:ascii="Arial" w:eastAsia="Arial" w:hAnsi="Arial" w:cs="Arial"/>
      <w:color w:val="000000"/>
      <w:sz w:val="16"/>
      <w:szCs w:val="24"/>
    </w:rPr>
  </w:style>
  <w:style w:type="paragraph" w:customStyle="1" w:styleId="NRAMS">
    <w:name w:val="NRAMS"/>
    <w:pPr>
      <w:spacing w:after="480" w:line="460" w:lineRule="auto"/>
      <w:ind w:left="1418"/>
    </w:pPr>
    <w:rPr>
      <w:rFonts w:ascii="Arial" w:eastAsia="Arial" w:hAnsi="Arial" w:cs="Arial"/>
      <w:b/>
      <w:color w:val="000000"/>
      <w:sz w:val="46"/>
      <w:szCs w:val="24"/>
    </w:rPr>
  </w:style>
  <w:style w:type="numbering" w:customStyle="1" w:styleId="NoList0">
    <w:name w:val="No List_0"/>
    <w:next w:val="NoList"/>
    <w:uiPriority w:val="99"/>
    <w:semiHidden/>
    <w:unhideWhenUsed/>
  </w:style>
  <w:style w:type="paragraph" w:customStyle="1" w:styleId="Normal0">
    <w:name w:val="Normal_0"/>
    <w:next w:val="Normal"/>
    <w:qFormat/>
    <w:rsid w:val="00EC60CE"/>
    <w:rPr>
      <w:sz w:val="24"/>
      <w:szCs w:val="24"/>
    </w:rPr>
  </w:style>
  <w:style w:type="paragraph" w:customStyle="1" w:styleId="Normal12">
    <w:name w:val="Normal12"/>
    <w:basedOn w:val="Normal"/>
    <w:pPr>
      <w:spacing w:after="240"/>
    </w:pPr>
    <w:rPr>
      <w:color w:val="000000"/>
      <w:sz w:val="24"/>
      <w:szCs w:val="24"/>
    </w:rPr>
  </w:style>
  <w:style w:type="paragraph" w:customStyle="1" w:styleId="Normal12Italic">
    <w:name w:val="Normal12Italic"/>
    <w:pPr>
      <w:spacing w:after="240"/>
    </w:pPr>
    <w:rPr>
      <w:i/>
      <w:color w:val="000000"/>
      <w:sz w:val="24"/>
      <w:szCs w:val="24"/>
    </w:rPr>
  </w:style>
  <w:style w:type="paragraph" w:customStyle="1" w:styleId="Normal12a12b">
    <w:name w:val="Normal12a12b"/>
    <w:basedOn w:val="Normal"/>
    <w:pPr>
      <w:spacing w:before="240" w:after="240"/>
    </w:pPr>
    <w:rPr>
      <w:color w:val="000000"/>
      <w:sz w:val="24"/>
      <w:szCs w:val="24"/>
    </w:rPr>
  </w:style>
  <w:style w:type="paragraph" w:customStyle="1" w:styleId="Normal24">
    <w:name w:val="Normal24"/>
    <w:basedOn w:val="Normal"/>
    <w:pPr>
      <w:spacing w:after="480"/>
    </w:pPr>
    <w:rPr>
      <w:color w:val="000000"/>
      <w:sz w:val="24"/>
      <w:szCs w:val="24"/>
    </w:rPr>
  </w:style>
  <w:style w:type="paragraph" w:customStyle="1" w:styleId="Normal6">
    <w:name w:val="Normal6"/>
    <w:basedOn w:val="Normal"/>
    <w:pPr>
      <w:spacing w:after="120"/>
    </w:pPr>
    <w:rPr>
      <w:color w:val="000000"/>
      <w:sz w:val="24"/>
      <w:szCs w:val="24"/>
    </w:rPr>
  </w:style>
  <w:style w:type="paragraph" w:customStyle="1" w:styleId="Normal6Italic">
    <w:name w:val="Normal6Italic"/>
    <w:basedOn w:val="Normal"/>
    <w:pPr>
      <w:spacing w:after="120"/>
    </w:pPr>
    <w:rPr>
      <w:i/>
      <w:color w:val="000000"/>
      <w:sz w:val="24"/>
      <w:szCs w:val="24"/>
    </w:rPr>
  </w:style>
  <w:style w:type="character" w:customStyle="1" w:styleId="Normal6RomanBI">
    <w:name w:val="Normal6RomanBI"/>
    <w:rPr>
      <w:rFonts w:ascii="Times New Roman" w:eastAsia="Times New Roman" w:hAnsi="Times New Roman" w:cs="Times New Roman"/>
      <w:b/>
      <w:i/>
      <w:color w:val="000000"/>
      <w:sz w:val="24"/>
    </w:rPr>
  </w:style>
  <w:style w:type="paragraph" w:customStyle="1" w:styleId="NormalBold">
    <w:name w:val="NormalBold"/>
    <w:basedOn w:val="Normal"/>
    <w:rPr>
      <w:b/>
      <w:color w:val="000000"/>
      <w:sz w:val="24"/>
      <w:szCs w:val="24"/>
    </w:rPr>
  </w:style>
  <w:style w:type="paragraph" w:customStyle="1" w:styleId="NormalBold12b">
    <w:name w:val="NormalBold12b"/>
    <w:basedOn w:val="Normal"/>
    <w:pPr>
      <w:spacing w:before="240"/>
    </w:pPr>
    <w:rPr>
      <w:b/>
      <w:color w:val="000000"/>
      <w:sz w:val="24"/>
      <w:szCs w:val="24"/>
    </w:rPr>
  </w:style>
  <w:style w:type="paragraph" w:customStyle="1" w:styleId="Olang">
    <w:name w:val="Olang"/>
    <w:pPr>
      <w:spacing w:before="240" w:after="240"/>
      <w:jc w:val="right"/>
    </w:pPr>
    <w:rPr>
      <w:color w:val="000000"/>
      <w:sz w:val="24"/>
      <w:szCs w:val="24"/>
    </w:rPr>
  </w:style>
  <w:style w:type="paragraph" w:customStyle="1" w:styleId="RefPE">
    <w:name w:val="RefPE"/>
    <w:basedOn w:val="Normal"/>
    <w:rsid w:val="00A92086"/>
    <w:pPr>
      <w:spacing w:after="240"/>
      <w:jc w:val="right"/>
    </w:pPr>
    <w:rPr>
      <w:rFonts w:ascii="Arial" w:hAnsi="Arial"/>
      <w:b/>
      <w:sz w:val="24"/>
      <w:szCs w:val="24"/>
    </w:rPr>
  </w:style>
  <w:style w:type="paragraph" w:customStyle="1" w:styleId="RefProc">
    <w:name w:val="RefProc"/>
    <w:basedOn w:val="Normal"/>
    <w:pPr>
      <w:spacing w:after="240"/>
      <w:jc w:val="right"/>
    </w:pPr>
    <w:rPr>
      <w:rFonts w:ascii="Arial" w:eastAsia="Arial" w:hAnsi="Arial" w:cs="Arial"/>
      <w:b/>
      <w:caps/>
      <w:color w:val="000000"/>
      <w:sz w:val="22"/>
      <w:szCs w:val="24"/>
    </w:rPr>
  </w:style>
  <w:style w:type="paragraph" w:customStyle="1" w:styleId="StyleNormal6TimesNewRomanBoldItalic">
    <w:name w:val="Style Normal6 + TimesNewRoman Bold Italic"/>
    <w:pPr>
      <w:spacing w:after="120"/>
    </w:pPr>
    <w:rPr>
      <w:b/>
      <w:i/>
      <w:color w:val="000000"/>
      <w:sz w:val="24"/>
      <w:szCs w:val="24"/>
    </w:rPr>
  </w:style>
  <w:style w:type="paragraph" w:customStyle="1" w:styleId="StyleNormalBoldNotBold">
    <w:name w:val="Style NormalBold + Not Bold"/>
    <w:rPr>
      <w:b w:val="0"/>
      <w:color w:val="000000"/>
      <w:sz w:val="24"/>
      <w:szCs w:val="24"/>
    </w:rPr>
  </w:style>
  <w:style w:type="character" w:customStyle="1" w:styleId="Sub">
    <w:name w:val="Sub"/>
    <w:rPr>
      <w:color w:val="000000"/>
      <w:vertAlign w:val="subscript"/>
    </w:rPr>
  </w:style>
  <w:style w:type="character" w:customStyle="1" w:styleId="SubBold">
    <w:name w:val="SubBold"/>
    <w:rPr>
      <w:b/>
      <w:color w:val="000000"/>
      <w:vertAlign w:val="subscript"/>
    </w:rPr>
  </w:style>
  <w:style w:type="character" w:customStyle="1" w:styleId="SubBoldItalic">
    <w:name w:val="SubBoldItalic"/>
    <w:rPr>
      <w:b/>
      <w:i/>
      <w:color w:val="000000"/>
      <w:vertAlign w:val="subscript"/>
    </w:rPr>
  </w:style>
  <w:style w:type="character" w:customStyle="1" w:styleId="SubItalic">
    <w:name w:val="SubItalic"/>
    <w:rPr>
      <w:i/>
      <w:color w:val="000000"/>
      <w:vertAlign w:val="subscript"/>
    </w:rPr>
  </w:style>
  <w:style w:type="character" w:customStyle="1" w:styleId="Sup">
    <w:name w:val="Sup"/>
    <w:rPr>
      <w:color w:val="000000"/>
      <w:vertAlign w:val="superscript"/>
    </w:rPr>
  </w:style>
  <w:style w:type="character" w:customStyle="1" w:styleId="SupBold">
    <w:name w:val="SupBold"/>
    <w:rPr>
      <w:b/>
      <w:color w:val="000000"/>
      <w:vertAlign w:val="superscript"/>
    </w:rPr>
  </w:style>
  <w:style w:type="character" w:customStyle="1" w:styleId="SupBoldItalic">
    <w:name w:val="SupBoldItalic"/>
    <w:rPr>
      <w:b/>
      <w:i/>
      <w:color w:val="000000"/>
      <w:vertAlign w:val="superscript"/>
    </w:rPr>
  </w:style>
  <w:style w:type="character" w:customStyle="1" w:styleId="SupItalic">
    <w:name w:val="SupItalic"/>
    <w:rPr>
      <w:i/>
      <w:color w:val="000000"/>
      <w:vertAlign w:val="superscript"/>
    </w:rPr>
  </w:style>
  <w:style w:type="table" w:customStyle="1" w:styleId="TableNormal0">
    <w:name w:val="Table Normal_0"/>
    <w:next w:val="TableNormal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ypeDocAM">
    <w:name w:val="TypeDocAM"/>
    <w:basedOn w:val="Normal"/>
    <w:pPr>
      <w:ind w:left="1418"/>
    </w:pPr>
    <w:rPr>
      <w:rFonts w:ascii="Arial" w:eastAsia="Arial" w:hAnsi="Arial" w:cs="Arial"/>
      <w:b/>
      <w:color w:val="000000"/>
      <w:sz w:val="48"/>
      <w:szCs w:val="24"/>
    </w:rPr>
  </w:style>
  <w:style w:type="character" w:customStyle="1" w:styleId="Underline">
    <w:name w:val="Underline"/>
    <w:uiPriority w:val="1"/>
    <w:qFormat/>
    <w:rsid w:val="001F3CAD"/>
    <w:rPr>
      <w:rFonts w:ascii="Times New Roman" w:hAnsi="Times New Roman"/>
      <w:sz w:val="24"/>
      <w:u w:val="single"/>
    </w:rPr>
  </w:style>
  <w:style w:type="paragraph" w:customStyle="1" w:styleId="ZCommittee">
    <w:name w:val="ZCommittee"/>
    <w:basedOn w:val="Normal"/>
    <w:next w:val="Normal"/>
    <w:pPr>
      <w:spacing w:line="220" w:lineRule="auto"/>
      <w:jc w:val="center"/>
    </w:pPr>
    <w:rPr>
      <w:rFonts w:ascii="Arial" w:eastAsia="Arial" w:hAnsi="Arial" w:cs="Arial"/>
      <w:i/>
      <w:color w:val="000000"/>
      <w:sz w:val="22"/>
      <w:szCs w:val="24"/>
    </w:rPr>
  </w:style>
  <w:style w:type="paragraph" w:customStyle="1" w:styleId="ZDate">
    <w:name w:val="ZDate"/>
    <w:basedOn w:val="Normal"/>
    <w:pPr>
      <w:spacing w:after="168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footer" Target="footer3.xm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AM_Com_NonLegOpinion</dc:title>
  <dc:creator>e-Parliament@europarl.europa.eu</dc:creator>
  <cp:lastModifiedBy>e-Parliament@europarl.europa.eu</cp:lastModifiedBy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&lt;Extension&gt;">
    <vt:lpwstr>CS</vt:lpwstr>
  </property>
  <property fmtid="{D5CDD505-2E9C-101B-9397-08002B2CF9AE}" pid="3" name="&lt;FdR&gt;">
    <vt:lpwstr>1112676</vt:lpwstr>
  </property>
  <property fmtid="{D5CDD505-2E9C-101B-9397-08002B2CF9AE}" pid="4" name="&lt;FooterPath&gt;">
    <vt:lpwstr>AM\1112676CS.doc</vt:lpwstr>
  </property>
  <property fmtid="{D5CDD505-2E9C-101B-9397-08002B2CF9AE}" pid="5" name="&lt;Model&gt;">
    <vt:lpwstr>AM_Com_NonLegOpinion</vt:lpwstr>
  </property>
  <property fmtid="{D5CDD505-2E9C-101B-9397-08002B2CF9AE}" pid="6" name="&lt;Type&gt;">
    <vt:lpwstr>AM</vt:lpwstr>
  </property>
  <property fmtid="{D5CDD505-2E9C-101B-9397-08002B2CF9AE}" pid="7" name="DMXMLUID">
    <vt:lpwstr>20170106-122831-007785-170569</vt:lpwstr>
  </property>
  <property fmtid="{D5CDD505-2E9C-101B-9397-08002B2CF9AE}" pid="8" name="PE Number">
    <vt:lpwstr>595.705</vt:lpwstr>
  </property>
  <property fmtid="{D5CDD505-2E9C-101B-9397-08002B2CF9AE}" pid="9" name="UID">
    <vt:lpwstr>eu.europa.europarl-DIN1-2016-0000086998_02.00-cs-01.00_text-xml</vt:lpwstr>
  </property>
</Properties>
</file>