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2" w:type="dxa"/>
        <w:tblCellMar>
          <w:left w:w="0" w:type="dxa"/>
          <w:right w:w="0" w:type="dxa"/>
        </w:tblCellMar>
        <w:tblLook w:val="01E0" w:firstRow="1" w:lastRow="1" w:firstColumn="1" w:lastColumn="1" w:noHBand="0" w:noVBand="0"/>
      </w:tblPr>
      <w:tblGrid>
        <w:gridCol w:w="6804"/>
        <w:gridCol w:w="2268"/>
      </w:tblGrid>
      <w:tr w:rsidR="00B0509C" w:rsidRPr="00CC7D67" w:rsidTr="00B0509C">
        <w:trPr>
          <w:trHeight w:hRule="exact" w:val="1418"/>
        </w:trPr>
        <w:tc>
          <w:tcPr>
            <w:tcW w:w="6804" w:type="dxa"/>
            <w:shd w:val="clear" w:color="auto" w:fill="auto"/>
            <w:vAlign w:val="center"/>
          </w:tcPr>
          <w:p w:rsidR="00B0509C" w:rsidRPr="00CC7D67" w:rsidRDefault="00B0509C" w:rsidP="00B0509C">
            <w:pPr>
              <w:pStyle w:val="EPName"/>
              <w:rPr>
                <w:color w:val="auto"/>
              </w:rPr>
            </w:pPr>
            <w:r w:rsidRPr="00CC7D67">
              <w:rPr>
                <w:color w:val="auto"/>
              </w:rPr>
              <w:t>Parlement européen</w:t>
            </w:r>
          </w:p>
          <w:p w:rsidR="00B0509C" w:rsidRPr="00CC7D67" w:rsidRDefault="00B0509C" w:rsidP="00B0509C">
            <w:pPr>
              <w:pStyle w:val="EPTerm"/>
              <w:rPr>
                <w:rStyle w:val="HideTWBExt"/>
                <w:noProof w:val="0"/>
                <w:vanish w:val="0"/>
                <w:color w:val="auto"/>
              </w:rPr>
            </w:pPr>
            <w:r w:rsidRPr="00CC7D67">
              <w:t>2014-2019</w:t>
            </w:r>
          </w:p>
        </w:tc>
        <w:tc>
          <w:tcPr>
            <w:tcW w:w="2268" w:type="dxa"/>
            <w:shd w:val="clear" w:color="auto" w:fill="auto"/>
          </w:tcPr>
          <w:p w:rsidR="00B0509C" w:rsidRPr="00CC7D67" w:rsidRDefault="00E454A5" w:rsidP="00B0509C">
            <w:pPr>
              <w:pStyle w:val="EPLogo"/>
            </w:pPr>
            <w:r>
              <w:rPr>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EP logo RGB_Mute" style="width:91.5pt;height:51pt;visibility:visible;mso-wrap-style:square">
                  <v:imagedata r:id="rId8" o:title="EP logo RGB_Mute"/>
                </v:shape>
              </w:pict>
            </w:r>
          </w:p>
        </w:tc>
      </w:tr>
    </w:tbl>
    <w:p w:rsidR="00B0509C" w:rsidRPr="00CC7D67" w:rsidRDefault="00B0509C" w:rsidP="00B0509C">
      <w:pPr>
        <w:pStyle w:val="LineTop"/>
      </w:pPr>
    </w:p>
    <w:p w:rsidR="00B0509C" w:rsidRPr="00CC7D67" w:rsidRDefault="00B0509C" w:rsidP="00B0509C">
      <w:pPr>
        <w:pStyle w:val="ZCommittee"/>
      </w:pPr>
      <w:r w:rsidRPr="00CC7D67">
        <w:rPr>
          <w:rStyle w:val="HideTWBExt"/>
          <w:noProof w:val="0"/>
        </w:rPr>
        <w:t>&lt;</w:t>
      </w:r>
      <w:r w:rsidRPr="00CC7D67">
        <w:rPr>
          <w:rStyle w:val="HideTWBExt"/>
          <w:i w:val="0"/>
          <w:noProof w:val="0"/>
        </w:rPr>
        <w:t>Commission</w:t>
      </w:r>
      <w:r w:rsidRPr="00CC7D67">
        <w:rPr>
          <w:rStyle w:val="HideTWBExt"/>
          <w:noProof w:val="0"/>
        </w:rPr>
        <w:t>&gt;</w:t>
      </w:r>
      <w:r w:rsidRPr="00CC7D67">
        <w:rPr>
          <w:rStyle w:val="HideTWBInt"/>
        </w:rPr>
        <w:t>{ENVI}</w:t>
      </w:r>
      <w:r w:rsidRPr="00CC7D67">
        <w:t>Commission de l’environnement, de la santé publique et de la sécurité alimentaire</w:t>
      </w:r>
      <w:r w:rsidRPr="00CC7D67">
        <w:rPr>
          <w:rStyle w:val="HideTWBExt"/>
          <w:noProof w:val="0"/>
        </w:rPr>
        <w:t>&lt;/</w:t>
      </w:r>
      <w:r w:rsidRPr="00CC7D67">
        <w:rPr>
          <w:rStyle w:val="HideTWBExt"/>
          <w:i w:val="0"/>
          <w:noProof w:val="0"/>
        </w:rPr>
        <w:t>Commission</w:t>
      </w:r>
      <w:r w:rsidRPr="00CC7D67">
        <w:rPr>
          <w:rStyle w:val="HideTWBExt"/>
          <w:noProof w:val="0"/>
        </w:rPr>
        <w:t>&gt;</w:t>
      </w:r>
    </w:p>
    <w:p w:rsidR="00B0509C" w:rsidRPr="00CC7D67" w:rsidRDefault="00B0509C" w:rsidP="00B0509C">
      <w:pPr>
        <w:pStyle w:val="LineBottom"/>
      </w:pPr>
    </w:p>
    <w:p w:rsidR="00B0509C" w:rsidRPr="00CC7D67" w:rsidRDefault="00B0509C" w:rsidP="00B0509C">
      <w:pPr>
        <w:pStyle w:val="RefProc"/>
      </w:pPr>
      <w:r w:rsidRPr="00CC7D67">
        <w:rPr>
          <w:rStyle w:val="HideTWBExt"/>
          <w:b w:val="0"/>
          <w:noProof w:val="0"/>
        </w:rPr>
        <w:t>&lt;</w:t>
      </w:r>
      <w:r w:rsidRPr="00CC7D67">
        <w:rPr>
          <w:rStyle w:val="HideTWBExt"/>
          <w:b w:val="0"/>
          <w:caps w:val="0"/>
          <w:noProof w:val="0"/>
        </w:rPr>
        <w:t>RefProc</w:t>
      </w:r>
      <w:r w:rsidRPr="00CC7D67">
        <w:rPr>
          <w:rStyle w:val="HideTWBExt"/>
          <w:b w:val="0"/>
          <w:noProof w:val="0"/>
        </w:rPr>
        <w:t>&gt;</w:t>
      </w:r>
      <w:r w:rsidRPr="00CC7D67">
        <w:t>2017/0293</w:t>
      </w:r>
      <w:r w:rsidRPr="00CC7D67">
        <w:rPr>
          <w:rStyle w:val="HideTWBExt"/>
          <w:b w:val="0"/>
          <w:noProof w:val="0"/>
        </w:rPr>
        <w:t>&lt;/</w:t>
      </w:r>
      <w:r w:rsidRPr="00CC7D67">
        <w:rPr>
          <w:rStyle w:val="HideTWBExt"/>
          <w:b w:val="0"/>
          <w:caps w:val="0"/>
          <w:noProof w:val="0"/>
        </w:rPr>
        <w:t>RefProc</w:t>
      </w:r>
      <w:r w:rsidRPr="00CC7D67">
        <w:rPr>
          <w:rStyle w:val="HideTWBExt"/>
          <w:b w:val="0"/>
          <w:noProof w:val="0"/>
        </w:rPr>
        <w:t>&gt;&lt;</w:t>
      </w:r>
      <w:r w:rsidRPr="00CC7D67">
        <w:rPr>
          <w:rStyle w:val="HideTWBExt"/>
          <w:b w:val="0"/>
          <w:caps w:val="0"/>
          <w:noProof w:val="0"/>
        </w:rPr>
        <w:t>RefTypeProc</w:t>
      </w:r>
      <w:r w:rsidRPr="00CC7D67">
        <w:rPr>
          <w:rStyle w:val="HideTWBExt"/>
          <w:b w:val="0"/>
          <w:noProof w:val="0"/>
        </w:rPr>
        <w:t>&gt;</w:t>
      </w:r>
      <w:r w:rsidRPr="00CC7D67">
        <w:t>(COD)</w:t>
      </w:r>
      <w:r w:rsidRPr="00CC7D67">
        <w:rPr>
          <w:rStyle w:val="HideTWBExt"/>
          <w:b w:val="0"/>
          <w:noProof w:val="0"/>
        </w:rPr>
        <w:t>&lt;/</w:t>
      </w:r>
      <w:r w:rsidRPr="00CC7D67">
        <w:rPr>
          <w:rStyle w:val="HideTWBExt"/>
          <w:b w:val="0"/>
          <w:caps w:val="0"/>
          <w:noProof w:val="0"/>
        </w:rPr>
        <w:t>RefTypeProc</w:t>
      </w:r>
      <w:r w:rsidRPr="00CC7D67">
        <w:rPr>
          <w:rStyle w:val="HideTWBExt"/>
          <w:b w:val="0"/>
          <w:noProof w:val="0"/>
        </w:rPr>
        <w:t>&gt;</w:t>
      </w:r>
    </w:p>
    <w:p w:rsidR="00B0509C" w:rsidRPr="00CC7D67" w:rsidRDefault="00B0509C" w:rsidP="00B0509C">
      <w:pPr>
        <w:pStyle w:val="ZDate"/>
      </w:pPr>
      <w:r w:rsidRPr="00CC7D67">
        <w:rPr>
          <w:rStyle w:val="HideTWBExt"/>
          <w:noProof w:val="0"/>
        </w:rPr>
        <w:t>&lt;Date&gt;</w:t>
      </w:r>
      <w:r w:rsidRPr="00CC7D67">
        <w:rPr>
          <w:rStyle w:val="HideTWBInt"/>
        </w:rPr>
        <w:t>{28/05/2018}</w:t>
      </w:r>
      <w:r w:rsidRPr="00CC7D67">
        <w:t>28.5.2018</w:t>
      </w:r>
      <w:r w:rsidRPr="00CC7D67">
        <w:rPr>
          <w:rStyle w:val="HideTWBExt"/>
          <w:noProof w:val="0"/>
        </w:rPr>
        <w:t>&lt;/Date&gt;</w:t>
      </w:r>
    </w:p>
    <w:p w:rsidR="00B0509C" w:rsidRPr="00CC7D67" w:rsidRDefault="00B0509C" w:rsidP="00B0509C">
      <w:pPr>
        <w:pStyle w:val="TypeDocAM"/>
      </w:pPr>
      <w:r w:rsidRPr="00CC7D67">
        <w:rPr>
          <w:rStyle w:val="HideTWBExt"/>
          <w:b w:val="0"/>
          <w:noProof w:val="0"/>
        </w:rPr>
        <w:t>&lt;TypeAM&gt;</w:t>
      </w:r>
      <w:r w:rsidRPr="00CC7D67">
        <w:t>AMENDEMENTS</w:t>
      </w:r>
      <w:r w:rsidRPr="00CC7D67">
        <w:rPr>
          <w:rStyle w:val="HideTWBExt"/>
          <w:b w:val="0"/>
          <w:noProof w:val="0"/>
        </w:rPr>
        <w:t>&lt;/TypeAM&gt;</w:t>
      </w:r>
    </w:p>
    <w:p w:rsidR="00B0509C" w:rsidRPr="00CC7D67" w:rsidRDefault="00B0509C" w:rsidP="00B0509C">
      <w:pPr>
        <w:pStyle w:val="NRAMS"/>
      </w:pPr>
      <w:r w:rsidRPr="00CC7D67">
        <w:rPr>
          <w:rStyle w:val="HideTWBExt"/>
          <w:b w:val="0"/>
          <w:noProof w:val="0"/>
        </w:rPr>
        <w:t>&lt;RangeAM&gt;</w:t>
      </w:r>
      <w:r w:rsidRPr="00CC7D67">
        <w:t>345 - 654</w:t>
      </w:r>
      <w:r w:rsidRPr="00CC7D67">
        <w:rPr>
          <w:rStyle w:val="HideTWBExt"/>
          <w:b w:val="0"/>
          <w:noProof w:val="0"/>
        </w:rPr>
        <w:t>&lt;/RangeAM&gt;</w:t>
      </w:r>
    </w:p>
    <w:p w:rsidR="00B0509C" w:rsidRPr="00CC7D67" w:rsidRDefault="00B0509C" w:rsidP="00B0509C">
      <w:pPr>
        <w:pStyle w:val="CoverBold"/>
      </w:pPr>
      <w:r w:rsidRPr="00CC7D67">
        <w:rPr>
          <w:rStyle w:val="HideTWBExt"/>
          <w:b w:val="0"/>
          <w:noProof w:val="0"/>
        </w:rPr>
        <w:t>&lt;TitreType&gt;</w:t>
      </w:r>
      <w:r w:rsidRPr="00CC7D67">
        <w:t>Projet de rapport</w:t>
      </w:r>
      <w:r w:rsidRPr="00CC7D67">
        <w:rPr>
          <w:rStyle w:val="HideTWBExt"/>
          <w:b w:val="0"/>
          <w:noProof w:val="0"/>
        </w:rPr>
        <w:t>&lt;/TitreType&gt;</w:t>
      </w:r>
    </w:p>
    <w:p w:rsidR="00B0509C" w:rsidRPr="00CC7D67" w:rsidRDefault="00B0509C" w:rsidP="00B0509C">
      <w:pPr>
        <w:pStyle w:val="CoverBold"/>
      </w:pPr>
      <w:r w:rsidRPr="00CC7D67">
        <w:rPr>
          <w:rStyle w:val="HideTWBExt"/>
          <w:b w:val="0"/>
          <w:noProof w:val="0"/>
        </w:rPr>
        <w:t>&lt;Rapporteur&gt;</w:t>
      </w:r>
      <w:r w:rsidRPr="00CC7D67">
        <w:t>Miriam Dalli</w:t>
      </w:r>
      <w:r w:rsidRPr="00CC7D67">
        <w:rPr>
          <w:rStyle w:val="HideTWBExt"/>
          <w:b w:val="0"/>
          <w:noProof w:val="0"/>
        </w:rPr>
        <w:t>&lt;/Rapporteur&gt;</w:t>
      </w:r>
    </w:p>
    <w:p w:rsidR="00B0509C" w:rsidRPr="00CC7D67" w:rsidRDefault="00B0509C" w:rsidP="00B0509C">
      <w:pPr>
        <w:pStyle w:val="Cover24"/>
      </w:pPr>
      <w:r w:rsidRPr="00CC7D67">
        <w:rPr>
          <w:rStyle w:val="HideTWBExt"/>
          <w:noProof w:val="0"/>
        </w:rPr>
        <w:t>&lt;DocRefPE&gt;</w:t>
      </w:r>
      <w:r w:rsidRPr="00CC7D67">
        <w:t>(PE619.135v01-00)</w:t>
      </w:r>
      <w:r w:rsidRPr="00CC7D67">
        <w:rPr>
          <w:rStyle w:val="HideTWBExt"/>
          <w:noProof w:val="0"/>
        </w:rPr>
        <w:t>&lt;/DocRefPE&gt;</w:t>
      </w:r>
    </w:p>
    <w:p w:rsidR="00B0509C" w:rsidRPr="00CC7D67" w:rsidRDefault="00B0509C" w:rsidP="00B0509C">
      <w:pPr>
        <w:pStyle w:val="Cover24"/>
      </w:pPr>
      <w:r w:rsidRPr="00CC7D67">
        <w:rPr>
          <w:rStyle w:val="HideTWBExt"/>
          <w:noProof w:val="0"/>
        </w:rPr>
        <w:t>&lt;Titre&gt;</w:t>
      </w:r>
      <w:r w:rsidRPr="00CC7D67">
        <w:t>sur la proposition de règlement du Parlement européen et du Conseil établissant des normes de performance en matière d’émissions pour les voitures particulières neuves et pour les véhicules utilitaires légers neufs dans le cadre de l’approche intégrée de l’Union visant à réduire les émissions de CO</w:t>
      </w:r>
      <w:r w:rsidRPr="00CC7D67">
        <w:rPr>
          <w:vertAlign w:val="subscript"/>
        </w:rPr>
        <w:t>2</w:t>
      </w:r>
      <w:r w:rsidRPr="00CC7D67">
        <w:t xml:space="preserve"> des véhicules légers et modifiant le règlement (CE) nº 715/2007 (refonte)</w:t>
      </w:r>
      <w:r w:rsidRPr="00CC7D67">
        <w:rPr>
          <w:rStyle w:val="HideTWBExt"/>
          <w:noProof w:val="0"/>
        </w:rPr>
        <w:t>&lt;/Titre&gt;</w:t>
      </w:r>
    </w:p>
    <w:p w:rsidR="00B0509C" w:rsidRPr="00CC7D67" w:rsidRDefault="00B0509C" w:rsidP="00B0509C">
      <w:pPr>
        <w:pStyle w:val="CoverNormal"/>
      </w:pPr>
      <w:r w:rsidRPr="00CC7D67">
        <w:rPr>
          <w:rStyle w:val="HideTWBExt"/>
          <w:noProof w:val="0"/>
        </w:rPr>
        <w:t>&lt;DocAmend&gt;</w:t>
      </w:r>
      <w:r w:rsidRPr="00CC7D67">
        <w:t>Proposition de règlement</w:t>
      </w:r>
      <w:r w:rsidRPr="00CC7D67">
        <w:rPr>
          <w:rStyle w:val="HideTWBExt"/>
          <w:noProof w:val="0"/>
        </w:rPr>
        <w:t>&lt;/DocAmend&gt;</w:t>
      </w:r>
    </w:p>
    <w:p w:rsidR="00B0509C" w:rsidRPr="00CC7D67" w:rsidRDefault="00B0509C" w:rsidP="00B0509C">
      <w:pPr>
        <w:pStyle w:val="Cover24"/>
      </w:pPr>
      <w:r w:rsidRPr="00CC7D67">
        <w:rPr>
          <w:rStyle w:val="HideTWBExt"/>
          <w:noProof w:val="0"/>
        </w:rPr>
        <w:t>&lt;DocRef&gt;</w:t>
      </w:r>
      <w:r w:rsidRPr="00CC7D67">
        <w:t>(COM(2017/0676) – C8</w:t>
      </w:r>
      <w:r w:rsidRPr="00CC7D67">
        <w:noBreakHyphen/>
        <w:t>0395/2017 – 2017/0293(COD))</w:t>
      </w:r>
      <w:r w:rsidRPr="00CC7D67">
        <w:rPr>
          <w:rStyle w:val="HideTWBExt"/>
          <w:noProof w:val="0"/>
        </w:rPr>
        <w:t>&lt;/DocRef&gt;</w:t>
      </w:r>
    </w:p>
    <w:p w:rsidR="00B85286" w:rsidRPr="00CC7D67" w:rsidRDefault="00B85286" w:rsidP="00E660E2">
      <w:pPr>
        <w:widowControl/>
        <w:tabs>
          <w:tab w:val="center" w:pos="4677"/>
        </w:tabs>
      </w:pPr>
      <w:r w:rsidRPr="00CC7D67">
        <w:br w:type="page"/>
      </w:r>
    </w:p>
    <w:p w:rsidR="00B85286" w:rsidRPr="00CC7D67" w:rsidRDefault="005D2D0B" w:rsidP="00E660E2">
      <w:pPr>
        <w:widowControl/>
        <w:tabs>
          <w:tab w:val="center" w:pos="4677"/>
        </w:tabs>
      </w:pPr>
      <w:r w:rsidRPr="00CC7D67">
        <w:t>AM_Com_LegReport</w:t>
      </w:r>
    </w:p>
    <w:p w:rsidR="00B0509C" w:rsidRPr="00CC7D67" w:rsidRDefault="00B85286" w:rsidP="00B0509C">
      <w:pPr>
        <w:pStyle w:val="AMNumberTabs"/>
        <w:keepNext/>
      </w:pPr>
      <w:r w:rsidRPr="00CC7D67">
        <w:br w:type="page"/>
      </w:r>
    </w:p>
    <w:p w:rsidR="00FA192C" w:rsidRPr="00CC7D67" w:rsidRDefault="00FA192C" w:rsidP="0042354E"/>
    <w:p w:rsidR="00B0509C" w:rsidRPr="00CC7D67" w:rsidRDefault="00B0509C" w:rsidP="00B0509C">
      <w:pPr>
        <w:pStyle w:val="AMNumberTabs"/>
        <w:keepNext/>
      </w:pPr>
      <w:r w:rsidRPr="00CC7D67">
        <w:rPr>
          <w:rStyle w:val="HideTWBExt"/>
          <w:b w:val="0"/>
          <w:noProof w:val="0"/>
        </w:rPr>
        <w:t>&lt;RepeatBlock-Amend&gt;&lt;Amend&gt;</w:t>
      </w:r>
      <w:r w:rsidRPr="00CC7D67">
        <w:t>Amendement</w:t>
      </w:r>
      <w:r w:rsidRPr="00CC7D67">
        <w:tab/>
      </w:r>
      <w:r w:rsidRPr="00CC7D67">
        <w:rPr>
          <w:rStyle w:val="HideTWBExt"/>
          <w:b w:val="0"/>
          <w:noProof w:val="0"/>
        </w:rPr>
        <w:t>&lt;NumAm&gt;</w:t>
      </w:r>
      <w:r w:rsidRPr="00CC7D67">
        <w:t>345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Elisabetta Gardini, Giovanni La Via, Lorenzo Cesa, Stefano Maullu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7 – paragraphe 9 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E454A5">
            <w:pPr>
              <w:pStyle w:val="Normal6"/>
              <w:rPr>
                <w:szCs w:val="24"/>
              </w:rPr>
            </w:pPr>
            <w:r w:rsidRPr="00CC7D67">
              <w:rPr>
                <w:b/>
                <w:i/>
              </w:rPr>
              <w:t>9 ter.</w:t>
            </w:r>
            <w:r w:rsidRPr="00CC7D67">
              <w:rPr>
                <w:b/>
                <w:i/>
              </w:rPr>
              <w:tab/>
              <w:t>Au cours de la phase de surveillance et de communication, la quantité de gaz d’origine renouvelable vendue dans les stations doit être prise en compte et déduite des émissions de CO</w:t>
            </w:r>
            <w:r w:rsidRPr="00CC7D67">
              <w:rPr>
                <w:b/>
                <w:i/>
                <w:vertAlign w:val="subscript"/>
              </w:rPr>
              <w:t>2</w:t>
            </w:r>
            <w:r w:rsidRPr="00CC7D67">
              <w:t xml:space="preserve"> </w:t>
            </w:r>
            <w:r w:rsidRPr="00CC7D67">
              <w:rPr>
                <w:b/>
                <w:i/>
              </w:rPr>
              <w:t>déclarées lors de la phase de réception conformément à la méthode proposée dans le présent règlement sous forme d’un facteur de correction carbone (FCC). La certification de la quantité peut être effectuée au niveau des États membres ou, à défaut, directement par le constructeur automobile. Le FCC se rapporte uniquement à la technologie à laquelle le carburant renouvelable contribue: par exemple, pour le gaz renouvelable, le FCC s’applique seulement au parc de véhicules fonctionnant au gaz naturel.</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En vue de prendre en compte les réductions de GES dues à l’énergie renouvelable que chaque État membre utilise, par exemple le biométhane et le gaz de synthèse, et afin d’inciter à ce que ces énergies soient produites et commercialisées en plus grande quantité (conformément à la directive sur les énergies renouvelables), le présent règlement doit reconnaître cette quantité et déduire de son calcul final des émissions de CO</w:t>
      </w:r>
      <w:r w:rsidRPr="00CC7D67">
        <w:rPr>
          <w:noProof w:val="0"/>
          <w:vertAlign w:val="subscript"/>
        </w:rPr>
        <w:t>2</w:t>
      </w:r>
      <w:r w:rsidRPr="00CC7D67">
        <w:rPr>
          <w:noProof w:val="0"/>
        </w:rPr>
        <w:t xml:space="preserve"> les avantages de la réduction de GES. Par conséquent, cette correction servirait également de lien entre le présent règlement et la directive sur les énergies renouvelables.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346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lastRenderedPageBreak/>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7 – paragraphe 9 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9 ter.</w:t>
            </w:r>
            <w:r w:rsidRPr="00CC7D67">
              <w:rPr>
                <w:b/>
                <w:i/>
              </w:rPr>
              <w:tab/>
              <w:t>Le volume de CO</w:t>
            </w:r>
            <w:r w:rsidRPr="00CC7D67">
              <w:rPr>
                <w:b/>
                <w:i/>
                <w:vertAlign w:val="subscript"/>
              </w:rPr>
              <w:t>2</w:t>
            </w:r>
            <w:r w:rsidRPr="00CC7D67">
              <w:t xml:space="preserve"> </w:t>
            </w:r>
            <w:r w:rsidRPr="00CC7D67">
              <w:rPr>
                <w:b/>
                <w:i/>
              </w:rPr>
              <w:t>émis par un type de véhicule, corrigé à partir du facteur de correction carbone (FCC), est calculé selon la formule suivante:</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CO</w:t>
            </w:r>
            <w:r w:rsidRPr="00CC7D67">
              <w:rPr>
                <w:b/>
                <w:i/>
                <w:vertAlign w:val="subscript"/>
              </w:rPr>
              <w:t>2 du type de véhicule</w:t>
            </w:r>
            <w:r w:rsidRPr="00CC7D67">
              <w:t> </w:t>
            </w:r>
            <w:r w:rsidRPr="00CC7D67">
              <w:rPr>
                <w:b/>
                <w:i/>
              </w:rPr>
              <w:t>= CO</w:t>
            </w:r>
            <w:r w:rsidRPr="00CC7D67">
              <w:rPr>
                <w:b/>
                <w:i/>
                <w:vertAlign w:val="subscript"/>
              </w:rPr>
              <w:t>2 du type homologué</w:t>
            </w:r>
            <w:r w:rsidRPr="00CC7D67">
              <w:t xml:space="preserve"> </w:t>
            </w:r>
            <w:r w:rsidRPr="00CC7D67">
              <w:rPr>
                <w:b/>
                <w:i/>
              </w:rPr>
              <w:t xml:space="preserve"> ·</w:t>
            </w:r>
            <w:r w:rsidR="00B0309C">
              <w:rPr>
                <w:b/>
                <w:i/>
              </w:rPr>
              <w:t> </w:t>
            </w:r>
            <w:r w:rsidRPr="00CC7D67">
              <w:rPr>
                <w:b/>
                <w:i/>
              </w:rPr>
              <w:t>(1-FCC),</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où: FCC = part de gaz utilisée provenant de sources renouvelables.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Dans le but de stimuler la production et la mise sur le marché d’énergies renouvelables, conformément à la directive applicable en la matière, le présent règlement doit tenir compte des réductions d’émissions de gaz à effet de serre qui en découlent, et les décompter du calcul final des émissions de CO</w:t>
      </w:r>
      <w:r w:rsidRPr="00CC7D67">
        <w:rPr>
          <w:noProof w:val="0"/>
          <w:vertAlign w:val="subscript"/>
        </w:rPr>
        <w:t>2</w:t>
      </w:r>
      <w:r w:rsidRPr="00CC7D67">
        <w:rPr>
          <w:noProof w:val="0"/>
        </w:rPr>
        <w: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347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Massimo Paolucci, Damiano Zoffoli, Nicola Caputo, Simona Bonafè</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7 – paragraphe 9 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9 ter.</w:t>
            </w:r>
            <w:r w:rsidRPr="00CC7D67">
              <w:rPr>
                <w:b/>
                <w:i/>
              </w:rPr>
              <w:tab/>
              <w:t>Ces valeurs peuvent être utilisées pour le calcul d’un facteur de correction carbone (FCC), selon la formule suivante: FCC = part nationale d’énergie produite à partir de sources renouvelables avancées utilisée/10.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Cet amendement vise à renforcer le principe selon lequel la méthode utilisée pour le calcul des objectifs de réduction des émissions de CO</w:t>
      </w:r>
      <w:r w:rsidRPr="00CC7D67">
        <w:rPr>
          <w:noProof w:val="0"/>
          <w:vertAlign w:val="subscript"/>
        </w:rPr>
        <w:t>2</w:t>
      </w:r>
      <w:r w:rsidRPr="00CC7D67">
        <w:rPr>
          <w:noProof w:val="0"/>
        </w:rPr>
        <w:t xml:space="preserve"> doit évoluer pour tenir compte des émissions de CO</w:t>
      </w:r>
      <w:r w:rsidRPr="00CC7D67">
        <w:rPr>
          <w:noProof w:val="0"/>
          <w:vertAlign w:val="subscript"/>
        </w:rPr>
        <w:t>2</w:t>
      </w:r>
      <w:r w:rsidRPr="00CC7D67">
        <w:rPr>
          <w:noProof w:val="0"/>
        </w:rPr>
        <w:t xml:space="preserve"> produites tout au long du cycle de vie d’un véhicule ainsi que des carburants </w:t>
      </w:r>
      <w:r w:rsidRPr="00CC7D67">
        <w:rPr>
          <w:noProof w:val="0"/>
        </w:rPr>
        <w:lastRenderedPageBreak/>
        <w:t>nécessaires à son fonctionnement. Cet amendement doit être mis en parallèle avec les autres amendements déposés pour ce même article.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348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Merja Kyllönen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7 – paragraphe 9 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309C">
            <w:pPr>
              <w:pStyle w:val="Normal6"/>
              <w:rPr>
                <w:szCs w:val="24"/>
              </w:rPr>
            </w:pPr>
            <w:r w:rsidRPr="00CC7D67">
              <w:rPr>
                <w:b/>
                <w:i/>
              </w:rPr>
              <w:t>9 ter.</w:t>
            </w:r>
            <w:r w:rsidRPr="00CC7D67">
              <w:rPr>
                <w:b/>
                <w:i/>
              </w:rPr>
              <w:tab/>
              <w:t>Ces valeurs peuvent être utilisées pour le calcul d’un facteur de correction carbone (FCC), selon la formule suivante: FCC = part nationale d’énergie produite à partir de sources renouvelables utilisée/10.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Les nouveaux objectifs à l’échelle du parc de l’Union doivent évoluer pour prendre en compte le cycle de vie des émissions de CO</w:t>
      </w:r>
      <w:r w:rsidRPr="00CC7D67">
        <w:rPr>
          <w:noProof w:val="0"/>
          <w:vertAlign w:val="subscript"/>
        </w:rPr>
        <w:t>2</w:t>
      </w:r>
      <w:r w:rsidRPr="00CC7D67">
        <w:rPr>
          <w:noProof w:val="0"/>
        </w:rPr>
        <w:t>. L’introduction d’un facteur de correction carbone constitue une première étape en ce sens et permettra d’encourager l’utilisation des énergies renouvelables durables dans les transports. Cet amendement est intrinsèquement lié à la logique des amendements de l’article 1</w:t>
      </w:r>
      <w:r w:rsidRPr="00CC7D67">
        <w:rPr>
          <w:noProof w:val="0"/>
          <w:vertAlign w:val="superscript"/>
        </w:rPr>
        <w:t>er</w:t>
      </w:r>
      <w:r w:rsidRPr="00CC7D67">
        <w:rPr>
          <w:noProof w:val="0"/>
        </w:rPr>
        <w:t>, paragraphes 4 et 5.</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349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Massimo Paolucci, Damiano Zoffoli, Nicola Caputo, Simona Bonafè</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7 – paragraphe 9 quater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9 quater.</w:t>
            </w:r>
            <w:r w:rsidRPr="00CC7D67">
              <w:rPr>
                <w:b/>
                <w:i/>
              </w:rPr>
              <w:tab/>
              <w:t>La valeur corrigée de CO</w:t>
            </w:r>
            <w:r w:rsidRPr="00CC7D67">
              <w:rPr>
                <w:b/>
                <w:i/>
                <w:vertAlign w:val="subscript"/>
              </w:rPr>
              <w:t>2</w:t>
            </w:r>
            <w:r w:rsidRPr="00CC7D67">
              <w:rPr>
                <w:b/>
                <w:i/>
              </w:rPr>
              <w:t xml:space="preserve"> d’un type de véhicule donné peut donc être calculée en utilisant le facteur de correction carbone (FCC) et la formule suivante: valeur de CO</w:t>
            </w:r>
            <w:r w:rsidRPr="00CC7D67">
              <w:rPr>
                <w:b/>
                <w:i/>
                <w:vertAlign w:val="subscript"/>
              </w:rPr>
              <w:t>2</w:t>
            </w:r>
            <w:r w:rsidRPr="00CC7D67">
              <w:rPr>
                <w:b/>
                <w:i/>
              </w:rPr>
              <w:t xml:space="preserve"> du type de véhicule = (CO</w:t>
            </w:r>
            <w:r w:rsidRPr="00CC7D67">
              <w:rPr>
                <w:b/>
                <w:i/>
                <w:vertAlign w:val="subscript"/>
              </w:rPr>
              <w:t>2</w:t>
            </w:r>
            <w:r w:rsidRPr="00CC7D67">
              <w:rPr>
                <w:b/>
                <w:i/>
              </w:rPr>
              <w:t xml:space="preserve"> du type homologué) * (1-FCC).</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Cet amendement vise à renforcer le principe selon lequel la méthode utilisée pour le calcul des objectifs de réduction des émissions de CO</w:t>
      </w:r>
      <w:r w:rsidRPr="00CC7D67">
        <w:rPr>
          <w:noProof w:val="0"/>
          <w:vertAlign w:val="subscript"/>
        </w:rPr>
        <w:t>2</w:t>
      </w:r>
      <w:r w:rsidRPr="00CC7D67">
        <w:rPr>
          <w:noProof w:val="0"/>
        </w:rPr>
        <w:t xml:space="preserve"> doit évoluer pour tenir compte des émissions de CO</w:t>
      </w:r>
      <w:r w:rsidRPr="00CC7D67">
        <w:rPr>
          <w:noProof w:val="0"/>
          <w:vertAlign w:val="subscript"/>
        </w:rPr>
        <w:t>2</w:t>
      </w:r>
      <w:r w:rsidRPr="00CC7D67">
        <w:rPr>
          <w:noProof w:val="0"/>
        </w:rPr>
        <w:t xml:space="preserve"> produites tout au long du cycle de vie d’un véhicule ainsi que des carburants nécessaires à son fonctionnement. Cet amendement doit être mis en parallèle avec les autres amendements déposés pour ce même article.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350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Elisabetta Gardini, Giovanni La Via, Lorenzo Cesa, Stefano Maullu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7 – paragraphe 9 quater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9 quater.</w:t>
            </w:r>
            <w:r w:rsidRPr="00CC7D67">
              <w:rPr>
                <w:b/>
                <w:i/>
              </w:rPr>
              <w:tab/>
              <w:t>Le facteur de correction carbone (FCC) est calculé à l’aide de la formule suivante: FCC = gaz renouvelable utilisé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En vue de prendre en compte les réductions de GES dues à l’énergie renouvelable que chaque État membre utilise, par exemple le biométhane et le gaz de synthèse, et afin d’inciter à ce que ces énergies soient produites et commercialisées en plus grande quantité (conformément à la directive sur les énergies renouvelables), le présent règlement doit reconnaître cette quantité et déduire de son calcul final des émissions de CO</w:t>
      </w:r>
      <w:r w:rsidRPr="00CC7D67">
        <w:rPr>
          <w:noProof w:val="0"/>
          <w:vertAlign w:val="subscript"/>
        </w:rPr>
        <w:t>2</w:t>
      </w:r>
      <w:r w:rsidRPr="00CC7D67">
        <w:rPr>
          <w:noProof w:val="0"/>
        </w:rPr>
        <w:t xml:space="preserve"> les avantages de la réduction de GES. Par conséquent, cette correction servirait également de lien entre le présent règlement et la directive sur les énergies renouvelables.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351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Elisabetta Gardini, Giovanni La Via, Lorenzo Cesa, Stefano Maullu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7 – paragraphe 9 quinquies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9 quinquies.</w:t>
            </w:r>
            <w:r w:rsidRPr="00CC7D67">
              <w:rPr>
                <w:b/>
                <w:i/>
              </w:rPr>
              <w:tab/>
              <w:t>Les émissions de CO</w:t>
            </w:r>
            <w:r w:rsidRPr="00CC7D67">
              <w:rPr>
                <w:b/>
                <w:i/>
                <w:vertAlign w:val="subscript"/>
              </w:rPr>
              <w:t>2</w:t>
            </w:r>
            <w:r w:rsidRPr="00CC7D67">
              <w:rPr>
                <w:b/>
                <w:i/>
              </w:rPr>
              <w:t xml:space="preserve"> corrigées du parc sont, par conséquent, calculées à l’aide du facteur de correction carbone et de la formule suivante: CO</w:t>
            </w:r>
            <w:r w:rsidRPr="00CC7D67">
              <w:rPr>
                <w:b/>
                <w:i/>
                <w:vertAlign w:val="subscript"/>
              </w:rPr>
              <w:t>2PARC</w:t>
            </w:r>
            <w:r w:rsidRPr="00CC7D67">
              <w:t> </w:t>
            </w:r>
            <w:r w:rsidRPr="00CC7D67">
              <w:rPr>
                <w:b/>
                <w:i/>
              </w:rPr>
              <w:t>= (CO</w:t>
            </w:r>
            <w:r w:rsidRPr="00CC7D67">
              <w:rPr>
                <w:b/>
                <w:i/>
                <w:vertAlign w:val="subscript"/>
              </w:rPr>
              <w:t>2</w:t>
            </w:r>
            <w:r w:rsidRPr="00CC7D67">
              <w:t xml:space="preserve"> </w:t>
            </w:r>
            <w:r w:rsidRPr="00CC7D67">
              <w:rPr>
                <w:b/>
                <w:i/>
              </w:rPr>
              <w:t>réception) * (1-CCF)</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En vue de prendre en compte les réductions de GES dues à l’énergie renouvelable que chaque État membre utilise, par exemple le biométhane et le gaz de synthèse, et afin d’inciter à ce que ces énergies soient produites et commercialisées en plus grande quantité (conformément à la directive sur les énergies renouvelables), le présent règlement doit reconnaître cette quantité et déduire de son calcul final des émissions de CO</w:t>
      </w:r>
      <w:r w:rsidRPr="00CC7D67">
        <w:rPr>
          <w:noProof w:val="0"/>
          <w:vertAlign w:val="subscript"/>
        </w:rPr>
        <w:t>2</w:t>
      </w:r>
      <w:r w:rsidRPr="00CC7D67">
        <w:rPr>
          <w:noProof w:val="0"/>
        </w:rPr>
        <w:t xml:space="preserve"> les avantages de la réduction de GES. Par conséquent, cette correction servirait également de lien entre le présent règlement et la directive sur les énergies renouvelables.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352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Massimo Paolucci, Nicola Caputo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8 – paragraphe 2 – alinéa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Si les émissions excédentaires dépassent l’objectif d’émissions spécifiques de plus de 5 %, le montant de la prime, à savoir 95 euros, est augmenté dans une proportion équivalente.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Si le niveau des émissions dépasse notablement l’objectif d’émissions spécifiques, le mécanisme de sanction mis en place doit être durci et adapté de manière à décourager tout dépassement excessif. Cette disposition pourrait permettre de générer davantage de ressources pour les politiques de l’Union.</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353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8 – paragraphe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2 bis.</w:t>
            </w:r>
            <w:r w:rsidRPr="00CC7D67">
              <w:rPr>
                <w:b/>
                <w:i/>
              </w:rPr>
              <w:tab/>
              <w:t>Aux fins du respect de l’objectif de ventes de véhicules à émission nulle et à faibles émissions énoncé à l’article 1</w:t>
            </w:r>
            <w:r w:rsidRPr="00CC7D67">
              <w:rPr>
                <w:b/>
                <w:i/>
                <w:vertAlign w:val="superscript"/>
              </w:rPr>
              <w:t>er</w:t>
            </w:r>
            <w:r w:rsidRPr="00CC7D67">
              <w:rPr>
                <w:b/>
                <w:i/>
              </w:rPr>
              <w:t>, lorsque l’objectif de ventes n’est pas atteint, la Commission impose au constructeur ou, le cas échéant, à l’administrateur du groupement, le paiement d’une prime sur les émissions excédentaires. La prime sur les émissions excédentaires est calculée selon les formules suivantes: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en 2025:</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(Objectifs d’émissions spécifiques en 2025 × 95 EUR) × nombre de véhicules à émission nulle ou à faibles émissions nécessaire pour atteindre l’objectif de ventes de 20 %;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en 2030:</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(Objectifs d’émissions spécifiques en 2030 × 95 EUR) × nombre de véhicules à émission nulle ou à faibles émissions nécessaire pour atteindre l’objectif de ventes de 60 %.</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Cette disposition est essentielle pour compléter le quota des ventes sur les véhicules à émission nulle et à faibles émissions introduit au titre de l’article 1</w:t>
      </w:r>
      <w:r w:rsidRPr="00CC7D67">
        <w:rPr>
          <w:noProof w:val="0"/>
          <w:vertAlign w:val="superscript"/>
        </w:rPr>
        <w:t>er</w:t>
      </w:r>
      <w:r w:rsidRPr="00CC7D67">
        <w:rPr>
          <w:noProof w:val="0"/>
        </w:rPr>
        <w:t xml:space="preserve"> (qui doit être calculé pour chaque constructeur conformément aux formules définies respectivement aux points 6.3 des parties A et B de l’annexe I du règlement proposé), car elle détermine la manière dont les constructeurs seraient sanctionnés en cas de non-conformité.</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354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Tiemo Wölken, Constanze Krehl, Jo Leinen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8 – paragraphe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Les primes sur les émissions excédentaires entrent dans les recettes du budget général de l’Union.</w:t>
            </w:r>
          </w:p>
        </w:tc>
        <w:tc>
          <w:tcPr>
            <w:tcW w:w="4876" w:type="dxa"/>
            <w:hideMark/>
          </w:tcPr>
          <w:p w:rsidR="00B0509C" w:rsidRPr="00CC7D67" w:rsidRDefault="00B0509C" w:rsidP="00B0509C">
            <w:pPr>
              <w:pStyle w:val="Normal6"/>
              <w:rPr>
                <w:szCs w:val="24"/>
              </w:rPr>
            </w:pPr>
            <w:r w:rsidRPr="00CC7D67">
              <w:t>4.</w:t>
            </w:r>
            <w:r w:rsidRPr="00CC7D67">
              <w:tab/>
              <w:t xml:space="preserve">Les primes sur les émissions excédentaires entrent dans les recettes du budget général de l’Union </w:t>
            </w:r>
            <w:r w:rsidRPr="00CC7D67">
              <w:rPr>
                <w:b/>
                <w:i/>
              </w:rPr>
              <w:t>et sont affectées d’une part à des mesures et à des programmes en faveur d’initiatives visant à promouvoir la requalification, le perfectionnement, le redéploiement et la recherche d’emploi, et conduits, s’il y a lieu, en étroite coopération avec les partenaires sociaux afin de contribuer à une transition équitable vers une économie à faible intensité de carbone, et d’autre part à des investissements publics consacrés au déploiement d’infrastructures de recharge pour les carburants de substitution</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Les recettes provenant des primes perçues sur les émissions excédentaires devraient servir à promouvoir la requalification et le perfectionnement professionnel des travailleurs, le redéploiement de la main-d’œuvre et le déploiement de l’infrastructure en vue de contribuer à une transition équitable et efficace vers une économie à faible intensité de carbone, c’est-à-dire à l’objectif du présent règlement. Cela doit notamment se produire dans les régions les plus affectées par la transition du secteur automobile, en étroite collaboration avec les partenaires sociaux.</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355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Massimo Paolucci</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8 – paragraphe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Les primes sur les émissions excédentaires entrent dans les recettes du budget général de l’Union.</w:t>
            </w:r>
          </w:p>
        </w:tc>
        <w:tc>
          <w:tcPr>
            <w:tcW w:w="4876" w:type="dxa"/>
            <w:hideMark/>
          </w:tcPr>
          <w:p w:rsidR="00B0509C" w:rsidRPr="00CC7D67" w:rsidRDefault="00B0509C" w:rsidP="00B0509C">
            <w:pPr>
              <w:pStyle w:val="Normal6"/>
              <w:rPr>
                <w:szCs w:val="24"/>
              </w:rPr>
            </w:pPr>
            <w:r w:rsidRPr="00CC7D67">
              <w:t>4.</w:t>
            </w:r>
            <w:r w:rsidRPr="00CC7D67">
              <w:tab/>
              <w:t xml:space="preserve">Les primes sur les émissions excédentaires entrent dans les recettes du budget général de l’Union </w:t>
            </w:r>
            <w:r w:rsidRPr="00CC7D67">
              <w:rPr>
                <w:b/>
                <w:i/>
              </w:rPr>
              <w:t>et sont affectées à des mesures stratégiques, menées en étroite coopération avec les partenaires sociaux, visant à promouvoir la requalification et le redéploiement de la main-d’œuvre dans le secteur automobile, dans des sites géographiquement équilibrés du territoire de l’Union, afin de contribuer à une transition équitable vers une économie à faible intensité de carbone</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Les recettes provenant des primes sur les émissions excédentaires devraient être utilisées pour promouvoir la requalification et le perfectionnement des travailleurs ainsi que le redéploiement de la main-d’œuvre afin de contribuer à une transition équitable vers une économie à faible intensité de carbone, notamment dans les régions les plus touchées par la transition du secteur automobile, en étroite coordination avec les partenaires sociaux.</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356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Ismail Ertug, Nicola Caputo, Theresa Griffin, Damiano Zoffoli, Lucy Anderson, Jo Leinen, Karoline Graswander-Hainz</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8 – paragraphe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 xml:space="preserve">Les primes sur les émissions excédentaires </w:t>
            </w:r>
            <w:r w:rsidRPr="00CC7D67">
              <w:rPr>
                <w:b/>
                <w:i/>
              </w:rPr>
              <w:t>entrent dans les recettes du budget général de l’Union</w:t>
            </w:r>
            <w:r w:rsidRPr="00CC7D67">
              <w:t>.</w:t>
            </w:r>
          </w:p>
        </w:tc>
        <w:tc>
          <w:tcPr>
            <w:tcW w:w="4876" w:type="dxa"/>
            <w:hideMark/>
          </w:tcPr>
          <w:p w:rsidR="00B0509C" w:rsidRPr="00CC7D67" w:rsidRDefault="00B0509C" w:rsidP="00B0509C">
            <w:pPr>
              <w:pStyle w:val="Normal6"/>
              <w:rPr>
                <w:szCs w:val="24"/>
              </w:rPr>
            </w:pPr>
            <w:r w:rsidRPr="00CC7D67">
              <w:t>4.</w:t>
            </w:r>
            <w:r w:rsidRPr="00CC7D67">
              <w:tab/>
              <w:t xml:space="preserve">Les primes sur les émissions excédentaires </w:t>
            </w:r>
            <w:r w:rsidRPr="00CC7D67">
              <w:rPr>
                <w:b/>
                <w:i/>
              </w:rPr>
              <w:t>sont affectées au financement des infrastructures pour carburants alternatifs, conformément à la directive 2014/94/UE</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Il est nécessaire de déployer un plus grand nombre de véhicules ayant des groupes motopropulseurs alternatifs pour atteindre des objectifs ambitieux de réduction du CO</w:t>
      </w:r>
      <w:r w:rsidRPr="00CC7D67">
        <w:rPr>
          <w:noProof w:val="0"/>
          <w:vertAlign w:val="subscript"/>
        </w:rPr>
        <w:t>2</w:t>
      </w:r>
      <w:r w:rsidRPr="00CC7D67">
        <w:rPr>
          <w:noProof w:val="0"/>
        </w:rPr>
        <w:t>. L’affectation des primes sur les émissions excédentaires peut, par conséquent, améliorer la conformité au présent règlement.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357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1 – point 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e)</w:t>
            </w:r>
            <w:r w:rsidRPr="00CC7D67">
              <w:rPr>
                <w:b/>
                <w:i/>
              </w:rPr>
              <w:tab/>
              <w:t>la masse moyenne en ordre de marche de toutes les voitures particulières neuves et de tous les véhicules utilitaires légers neufs immatriculés dans l’Union pour l’année civile précédente jusqu’au 31 décembre 2020;</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358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1 – point 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e)</w:t>
            </w:r>
            <w:r w:rsidRPr="00CC7D67">
              <w:tab/>
              <w:t>la masse moyenne en ordre de marche de toutes les voitures particulières neuves et de tous les véhicules utilitaires légers neufs immatriculés dans l’Union pour l’année civile précédente jusqu’au 31 décembre </w:t>
            </w:r>
            <w:r w:rsidRPr="00CC7D67">
              <w:rPr>
                <w:b/>
                <w:i/>
              </w:rPr>
              <w:t>2020</w:t>
            </w:r>
            <w:r w:rsidRPr="00CC7D67">
              <w:t>;</w:t>
            </w:r>
          </w:p>
        </w:tc>
        <w:tc>
          <w:tcPr>
            <w:tcW w:w="4876" w:type="dxa"/>
            <w:hideMark/>
          </w:tcPr>
          <w:p w:rsidR="00B0509C" w:rsidRPr="00CC7D67" w:rsidRDefault="00B0509C" w:rsidP="00B0509C">
            <w:pPr>
              <w:pStyle w:val="Normal6"/>
              <w:rPr>
                <w:szCs w:val="24"/>
              </w:rPr>
            </w:pPr>
            <w:r w:rsidRPr="00CC7D67">
              <w:t>e)</w:t>
            </w:r>
            <w:r w:rsidRPr="00CC7D67">
              <w:tab/>
              <w:t>la masse moyenne en ordre de marche de toutes les voitures particulières neuves et de tous les véhicules utilitaires légers neufs immatriculés dans l’Union pour l’année civile précédente jusqu’au 31 décembre </w:t>
            </w:r>
            <w:r w:rsidRPr="00CC7D67">
              <w:rPr>
                <w:b/>
                <w:i/>
              </w:rPr>
              <w:t>2029</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359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1 – point 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e)</w:t>
            </w:r>
            <w:r w:rsidRPr="00CC7D67">
              <w:tab/>
              <w:t>la masse moyenne en ordre de marche de toutes les voitures particulières neuves et de tous les véhicules utilitaires légers neufs immatriculés dans l’Union pour l’année civile précédente jusqu’au 31 décembre </w:t>
            </w:r>
            <w:r w:rsidRPr="00CC7D67">
              <w:rPr>
                <w:b/>
                <w:i/>
              </w:rPr>
              <w:t>2020</w:t>
            </w:r>
            <w:r w:rsidRPr="00CC7D67">
              <w:t>;</w:t>
            </w:r>
          </w:p>
        </w:tc>
        <w:tc>
          <w:tcPr>
            <w:tcW w:w="4876" w:type="dxa"/>
            <w:hideMark/>
          </w:tcPr>
          <w:p w:rsidR="00B0509C" w:rsidRPr="00CC7D67" w:rsidRDefault="00B0509C" w:rsidP="00B0509C">
            <w:pPr>
              <w:pStyle w:val="Normal6"/>
              <w:rPr>
                <w:szCs w:val="24"/>
              </w:rPr>
            </w:pPr>
            <w:r w:rsidRPr="00CC7D67">
              <w:t>e)</w:t>
            </w:r>
            <w:r w:rsidRPr="00CC7D67">
              <w:tab/>
              <w:t>la masse moyenne en ordre de marche de toutes les voitures particulières neuves et de tous les véhicules utilitaires légers neufs immatriculés dans l’Union pour l’année civile précédente jusqu’au 31 décembre </w:t>
            </w:r>
            <w:r w:rsidRPr="00CC7D67">
              <w:rPr>
                <w:b/>
                <w:i/>
              </w:rPr>
              <w:t>2029</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360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1 – point f</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w:t>
            </w:r>
            <w:r w:rsidRPr="00CC7D67">
              <w:rPr>
                <w:b/>
                <w:i/>
              </w:rPr>
              <w:tab/>
              <w:t>la masse d’essai moyenne de toutes les voitures particulières neuves et de tous les véhicules utilitaires légers neufs immatriculés dans l’Union au cours de l’année civile précédente.</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361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3 – point a</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a)</w:t>
            </w:r>
            <w:r w:rsidRPr="00CC7D67">
              <w:tab/>
              <w:t>les objectifs à l’échelle du parc de l’UE pour </w:t>
            </w:r>
            <w:r w:rsidRPr="00CC7D67">
              <w:rPr>
                <w:b/>
                <w:i/>
              </w:rPr>
              <w:t>2025 et</w:t>
            </w:r>
            <w:r w:rsidRPr="00CC7D67">
              <w:t> 2030 visés à l’article 1</w:t>
            </w:r>
            <w:r w:rsidRPr="00CC7D67">
              <w:rPr>
                <w:vertAlign w:val="superscript"/>
              </w:rPr>
              <w:t>er</w:t>
            </w:r>
            <w:r w:rsidRPr="00CC7D67">
              <w:t xml:space="preserve">, paragraphes 4 </w:t>
            </w:r>
            <w:r w:rsidRPr="00CC7D67">
              <w:rPr>
                <w:b/>
                <w:i/>
              </w:rPr>
              <w:t>et 5</w:t>
            </w:r>
            <w:r w:rsidRPr="00CC7D67">
              <w:t xml:space="preserve">, calculés par la Commission conformément </w:t>
            </w:r>
            <w:r w:rsidRPr="00CC7D67">
              <w:rPr>
                <w:b/>
                <w:i/>
              </w:rPr>
              <w:t>aux points 6.1.1 et 6.1.2</w:t>
            </w:r>
            <w:r w:rsidRPr="00CC7D67">
              <w:t xml:space="preserve"> des parties A et B de l’annexe I;</w:t>
            </w:r>
          </w:p>
        </w:tc>
        <w:tc>
          <w:tcPr>
            <w:tcW w:w="4876" w:type="dxa"/>
            <w:hideMark/>
          </w:tcPr>
          <w:p w:rsidR="00B0509C" w:rsidRPr="00CC7D67" w:rsidRDefault="00B0509C" w:rsidP="00B0509C">
            <w:pPr>
              <w:pStyle w:val="Normal6"/>
              <w:rPr>
                <w:szCs w:val="24"/>
              </w:rPr>
            </w:pPr>
            <w:r w:rsidRPr="00CC7D67">
              <w:t>a)</w:t>
            </w:r>
            <w:r w:rsidRPr="00CC7D67">
              <w:tab/>
              <w:t>les objectifs à l’échelle du parc de l’UE pour 2030 visés à l’article 1</w:t>
            </w:r>
            <w:r w:rsidRPr="00CC7D67">
              <w:rPr>
                <w:vertAlign w:val="superscript"/>
              </w:rPr>
              <w:t>er</w:t>
            </w:r>
            <w:r w:rsidRPr="00CC7D67">
              <w:t xml:space="preserve">, paragraphe 4, calculés par la Commission conformément </w:t>
            </w:r>
            <w:r w:rsidRPr="00CC7D67">
              <w:rPr>
                <w:b/>
                <w:i/>
              </w:rPr>
              <w:t>au point 6.1</w:t>
            </w:r>
            <w:r w:rsidRPr="00CC7D67">
              <w:t xml:space="preserve"> des parties A et B de l’annexe 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362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3 – point a</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a)</w:t>
            </w:r>
            <w:r w:rsidRPr="00CC7D67">
              <w:tab/>
              <w:t>les objectifs à l’échelle du parc de l’UE pour </w:t>
            </w:r>
            <w:r w:rsidRPr="00CC7D67">
              <w:rPr>
                <w:b/>
                <w:i/>
              </w:rPr>
              <w:t>2025 et</w:t>
            </w:r>
            <w:r w:rsidRPr="00CC7D67">
              <w:t> 2030 visés à l’article 1</w:t>
            </w:r>
            <w:r w:rsidRPr="00CC7D67">
              <w:rPr>
                <w:vertAlign w:val="superscript"/>
              </w:rPr>
              <w:t>er</w:t>
            </w:r>
            <w:r w:rsidRPr="00CC7D67">
              <w:t xml:space="preserve">, </w:t>
            </w:r>
            <w:r w:rsidRPr="00CC7D67">
              <w:rPr>
                <w:b/>
                <w:i/>
              </w:rPr>
              <w:t>paragraphes 4 et</w:t>
            </w:r>
            <w:r w:rsidRPr="00CC7D67">
              <w:t> 5, calculés par la Commission conformément aux points 6.1.1 et 6.1.2 des parties A et B de l’annexe I;</w:t>
            </w:r>
          </w:p>
        </w:tc>
        <w:tc>
          <w:tcPr>
            <w:tcW w:w="4876" w:type="dxa"/>
            <w:hideMark/>
          </w:tcPr>
          <w:p w:rsidR="00B0509C" w:rsidRPr="00CC7D67" w:rsidRDefault="00B0509C" w:rsidP="00B0509C">
            <w:pPr>
              <w:pStyle w:val="Normal6"/>
              <w:rPr>
                <w:szCs w:val="24"/>
              </w:rPr>
            </w:pPr>
            <w:r w:rsidRPr="00CC7D67">
              <w:t>a)</w:t>
            </w:r>
            <w:r w:rsidRPr="00CC7D67">
              <w:tab/>
              <w:t>les objectifs à l’échelle du parc de l’UE pour 2030 visés à l’article 1</w:t>
            </w:r>
            <w:r w:rsidRPr="00CC7D67">
              <w:rPr>
                <w:vertAlign w:val="superscript"/>
              </w:rPr>
              <w:t>er</w:t>
            </w:r>
            <w:r w:rsidRPr="00CC7D67">
              <w:t xml:space="preserve">, </w:t>
            </w:r>
            <w:r w:rsidRPr="00CC7D67">
              <w:rPr>
                <w:b/>
                <w:i/>
              </w:rPr>
              <w:t>paragraphe</w:t>
            </w:r>
            <w:r w:rsidRPr="00CC7D67">
              <w:t> 5, calculés par la Commission conformément aux points 6.1.1 et 6.1.2 des parties A et B de l’annexe 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363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3 – point a</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a)</w:t>
            </w:r>
            <w:r w:rsidRPr="00CC7D67">
              <w:tab/>
              <w:t>les objectifs à l’échelle du parc de l’UE pour </w:t>
            </w:r>
            <w:r w:rsidRPr="00CC7D67">
              <w:rPr>
                <w:b/>
                <w:i/>
              </w:rPr>
              <w:t>2025 et</w:t>
            </w:r>
            <w:r w:rsidRPr="00CC7D67">
              <w:t> 2030 visés à l’article 1</w:t>
            </w:r>
            <w:r w:rsidRPr="00CC7D67">
              <w:rPr>
                <w:vertAlign w:val="superscript"/>
              </w:rPr>
              <w:t>er</w:t>
            </w:r>
            <w:r w:rsidRPr="00CC7D67">
              <w:t xml:space="preserve">, </w:t>
            </w:r>
            <w:r w:rsidRPr="00B0309C">
              <w:rPr>
                <w:b/>
                <w:i/>
              </w:rPr>
              <w:t>paragraphes</w:t>
            </w:r>
            <w:r w:rsidRPr="00CC7D67">
              <w:t xml:space="preserve"> 4 </w:t>
            </w:r>
            <w:r w:rsidRPr="00CC7D67">
              <w:rPr>
                <w:b/>
                <w:i/>
              </w:rPr>
              <w:t>et 5</w:t>
            </w:r>
            <w:r w:rsidRPr="00CC7D67">
              <w:t>, calculés par la Commission conformément aux points 6.1.1 et 6.1.2 des parties A et B de l’annexe I;</w:t>
            </w:r>
          </w:p>
        </w:tc>
        <w:tc>
          <w:tcPr>
            <w:tcW w:w="4876" w:type="dxa"/>
            <w:hideMark/>
          </w:tcPr>
          <w:p w:rsidR="00B0509C" w:rsidRPr="00CC7D67" w:rsidRDefault="00B0509C" w:rsidP="00B0509C">
            <w:pPr>
              <w:pStyle w:val="Normal6"/>
              <w:rPr>
                <w:szCs w:val="24"/>
              </w:rPr>
            </w:pPr>
            <w:r w:rsidRPr="00CC7D67">
              <w:t>a)</w:t>
            </w:r>
            <w:r w:rsidRPr="00CC7D67">
              <w:tab/>
              <w:t>les objectifs à l’échelle du parc de l’UE pour 2030 visés à l’article 1</w:t>
            </w:r>
            <w:r w:rsidRPr="00CC7D67">
              <w:rPr>
                <w:vertAlign w:val="superscript"/>
              </w:rPr>
              <w:t>er</w:t>
            </w:r>
            <w:r w:rsidRPr="00CC7D67">
              <w:t xml:space="preserve">, </w:t>
            </w:r>
            <w:r w:rsidRPr="00B0309C">
              <w:rPr>
                <w:b/>
                <w:i/>
              </w:rPr>
              <w:t>paragraphe</w:t>
            </w:r>
            <w:r w:rsidRPr="00CC7D67">
              <w:t> 4, calculés par la Commission conformément aux points 6.1.1 et 6.1.2 des parties A et B de l’annexe 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364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3 – point a</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a)</w:t>
            </w:r>
            <w:r w:rsidRPr="00CC7D67">
              <w:tab/>
              <w:t>les objectifs à l’échelle du parc de l’UE pour </w:t>
            </w:r>
            <w:r w:rsidRPr="00CC7D67">
              <w:rPr>
                <w:b/>
                <w:i/>
              </w:rPr>
              <w:t>2025</w:t>
            </w:r>
            <w:r w:rsidRPr="00CC7D67">
              <w:t xml:space="preserve"> et 2030 visés à l’article 1</w:t>
            </w:r>
            <w:r w:rsidRPr="00CC7D67">
              <w:rPr>
                <w:vertAlign w:val="superscript"/>
              </w:rPr>
              <w:t>er</w:t>
            </w:r>
            <w:r w:rsidRPr="00CC7D67">
              <w:t>, paragraphes 4 et 5, calculés par la Commission conformément aux points 6.1.1 et 6.1.2 des parties A et B de l’annexe I;</w:t>
            </w:r>
          </w:p>
        </w:tc>
        <w:tc>
          <w:tcPr>
            <w:tcW w:w="4876" w:type="dxa"/>
            <w:hideMark/>
          </w:tcPr>
          <w:p w:rsidR="00B0509C" w:rsidRPr="00CC7D67" w:rsidRDefault="00B0509C" w:rsidP="00B0509C">
            <w:pPr>
              <w:pStyle w:val="Normal6"/>
              <w:rPr>
                <w:szCs w:val="24"/>
              </w:rPr>
            </w:pPr>
            <w:r w:rsidRPr="00CC7D67">
              <w:t>a)</w:t>
            </w:r>
            <w:r w:rsidRPr="00CC7D67">
              <w:tab/>
              <w:t>les objectifs à l’échelle du parc de l’UE pour </w:t>
            </w:r>
            <w:r w:rsidRPr="00CC7D67">
              <w:rPr>
                <w:b/>
                <w:i/>
              </w:rPr>
              <w:t>2026</w:t>
            </w:r>
            <w:r w:rsidRPr="00CC7D67">
              <w:t xml:space="preserve"> et 2030 visés à l’article 1</w:t>
            </w:r>
            <w:r w:rsidRPr="00CC7D67">
              <w:rPr>
                <w:vertAlign w:val="superscript"/>
              </w:rPr>
              <w:t>er</w:t>
            </w:r>
            <w:r w:rsidRPr="00CC7D67">
              <w:t>, paragraphes 4 et 5, calculés par la Commission conformément aux points 6.1.1 et 6.1.2 des parties A et B de l’annexe 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365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 Dita Charanzová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3 – point a</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a)</w:t>
            </w:r>
            <w:r w:rsidRPr="00CC7D67">
              <w:tab/>
              <w:t>les objectifs à l’échelle du parc de l’UE pour </w:t>
            </w:r>
            <w:r w:rsidRPr="00CC7D67">
              <w:rPr>
                <w:b/>
                <w:i/>
              </w:rPr>
              <w:t>2025</w:t>
            </w:r>
            <w:r w:rsidRPr="00CC7D67">
              <w:t xml:space="preserve"> et 2030 visés à l’article 1</w:t>
            </w:r>
            <w:r w:rsidRPr="00CC7D67">
              <w:rPr>
                <w:vertAlign w:val="superscript"/>
              </w:rPr>
              <w:t>er</w:t>
            </w:r>
            <w:r w:rsidRPr="00CC7D67">
              <w:t>, paragraphes 4 et 5, calculés par la Commission conformément aux points 6.1.1 et 6.1.2 des parties A et B de l’annexe I;</w:t>
            </w:r>
          </w:p>
        </w:tc>
        <w:tc>
          <w:tcPr>
            <w:tcW w:w="4876" w:type="dxa"/>
            <w:hideMark/>
          </w:tcPr>
          <w:p w:rsidR="00B0509C" w:rsidRPr="00CC7D67" w:rsidRDefault="00B0509C" w:rsidP="00B0509C">
            <w:pPr>
              <w:pStyle w:val="Normal6"/>
              <w:rPr>
                <w:szCs w:val="24"/>
              </w:rPr>
            </w:pPr>
            <w:r w:rsidRPr="00CC7D67">
              <w:t>a)</w:t>
            </w:r>
            <w:r w:rsidRPr="00CC7D67">
              <w:tab/>
              <w:t>les objectifs à l’échelle du parc de l’UE pour </w:t>
            </w:r>
            <w:r w:rsidRPr="00CC7D67">
              <w:rPr>
                <w:b/>
                <w:i/>
              </w:rPr>
              <w:t>2026</w:t>
            </w:r>
            <w:r w:rsidRPr="00CC7D67">
              <w:t xml:space="preserve"> et 2030 visés à l’article 1</w:t>
            </w:r>
            <w:r w:rsidRPr="00CC7D67">
              <w:rPr>
                <w:vertAlign w:val="superscript"/>
              </w:rPr>
              <w:t>er</w:t>
            </w:r>
            <w:r w:rsidRPr="00CC7D67">
              <w:t>, paragraphes 4 et 5, calculés par la Commission conformément aux points 6.1.1 et 6.1.2 des parties A et B de l’annexe 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366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3 – point b</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b)</w:t>
            </w:r>
            <w:r w:rsidRPr="00CC7D67">
              <w:tab/>
              <w:t>les valeurs pour a</w:t>
            </w:r>
            <w:r w:rsidRPr="00CC7D67">
              <w:rPr>
                <w:vertAlign w:val="subscript"/>
              </w:rPr>
              <w:t>2021</w:t>
            </w:r>
            <w:r w:rsidRPr="00CC7D67">
              <w:rPr>
                <w:b/>
                <w:i/>
              </w:rPr>
              <w:t>, a</w:t>
            </w:r>
            <w:r w:rsidRPr="00CC7D67">
              <w:rPr>
                <w:b/>
                <w:i/>
                <w:vertAlign w:val="subscript"/>
              </w:rPr>
              <w:t>2025</w:t>
            </w:r>
            <w:r w:rsidRPr="00CC7D67">
              <w:t xml:space="preserve"> et a</w:t>
            </w:r>
            <w:r w:rsidRPr="00CC7D67">
              <w:rPr>
                <w:vertAlign w:val="subscript"/>
              </w:rPr>
              <w:t>2030</w:t>
            </w:r>
            <w:r w:rsidRPr="00CC7D67">
              <w:t xml:space="preserve"> calculées par la Commission conformément au point 6.2 des parties A et B de l’annexe I.</w:t>
            </w:r>
          </w:p>
        </w:tc>
        <w:tc>
          <w:tcPr>
            <w:tcW w:w="4876" w:type="dxa"/>
            <w:hideMark/>
          </w:tcPr>
          <w:p w:rsidR="00B0509C" w:rsidRPr="00CC7D67" w:rsidRDefault="00B0509C" w:rsidP="00B0509C">
            <w:pPr>
              <w:pStyle w:val="Normal6"/>
              <w:rPr>
                <w:szCs w:val="24"/>
              </w:rPr>
            </w:pPr>
            <w:r w:rsidRPr="00CC7D67">
              <w:t>b)</w:t>
            </w:r>
            <w:r w:rsidRPr="00CC7D67">
              <w:tab/>
              <w:t>les valeurs pour a</w:t>
            </w:r>
            <w:r w:rsidRPr="00CC7D67">
              <w:rPr>
                <w:vertAlign w:val="subscript"/>
              </w:rPr>
              <w:t>2021</w:t>
            </w:r>
            <w:r w:rsidRPr="00CC7D67">
              <w:t xml:space="preserve"> et a</w:t>
            </w:r>
            <w:r w:rsidRPr="00CC7D67">
              <w:rPr>
                <w:vertAlign w:val="subscript"/>
              </w:rPr>
              <w:t>2030</w:t>
            </w:r>
            <w:r w:rsidRPr="00CC7D67">
              <w:t xml:space="preserve"> calculées par la Commission conformément au point 6.2 des parties A et B de l’annexe 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367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3 – point b</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b)</w:t>
            </w:r>
            <w:r w:rsidRPr="00CC7D67">
              <w:tab/>
              <w:t>les valeurs pour a</w:t>
            </w:r>
            <w:r w:rsidRPr="00CC7D67">
              <w:rPr>
                <w:vertAlign w:val="subscript"/>
              </w:rPr>
              <w:t>2021</w:t>
            </w:r>
            <w:r w:rsidRPr="00CC7D67">
              <w:rPr>
                <w:b/>
                <w:i/>
              </w:rPr>
              <w:t>, a</w:t>
            </w:r>
            <w:r w:rsidRPr="00CC7D67">
              <w:rPr>
                <w:b/>
                <w:i/>
                <w:vertAlign w:val="subscript"/>
              </w:rPr>
              <w:t>2025</w:t>
            </w:r>
            <w:r w:rsidRPr="00CC7D67">
              <w:t xml:space="preserve"> et a</w:t>
            </w:r>
            <w:r w:rsidRPr="00CC7D67">
              <w:rPr>
                <w:vertAlign w:val="subscript"/>
              </w:rPr>
              <w:t>2030</w:t>
            </w:r>
            <w:r w:rsidRPr="00CC7D67">
              <w:t xml:space="preserve"> calculées par la Commission conformément au point 6.2 des parties A et B de l’annexe I.</w:t>
            </w:r>
          </w:p>
        </w:tc>
        <w:tc>
          <w:tcPr>
            <w:tcW w:w="4876" w:type="dxa"/>
            <w:hideMark/>
          </w:tcPr>
          <w:p w:rsidR="00B0509C" w:rsidRPr="00CC7D67" w:rsidRDefault="00B0509C" w:rsidP="00B0509C">
            <w:pPr>
              <w:pStyle w:val="Normal6"/>
              <w:rPr>
                <w:szCs w:val="24"/>
              </w:rPr>
            </w:pPr>
            <w:r w:rsidRPr="00CC7D67">
              <w:t>b)</w:t>
            </w:r>
            <w:r w:rsidRPr="00CC7D67">
              <w:tab/>
              <w:t>les valeurs pour a</w:t>
            </w:r>
            <w:r w:rsidRPr="00CC7D67">
              <w:rPr>
                <w:vertAlign w:val="subscript"/>
              </w:rPr>
              <w:t>2021</w:t>
            </w:r>
            <w:r w:rsidRPr="00CC7D67">
              <w:t xml:space="preserve"> et a</w:t>
            </w:r>
            <w:r w:rsidRPr="00CC7D67">
              <w:rPr>
                <w:vertAlign w:val="subscript"/>
              </w:rPr>
              <w:t>2030</w:t>
            </w:r>
            <w:r w:rsidRPr="00CC7D67">
              <w:t xml:space="preserve"> calculées par la Commission conformément au point 6.2 des parties A et B de l’annexe 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368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3 – point b</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b)</w:t>
            </w:r>
            <w:r w:rsidRPr="00CC7D67">
              <w:tab/>
              <w:t>les valeurs pour a</w:t>
            </w:r>
            <w:r w:rsidRPr="00CC7D67">
              <w:rPr>
                <w:vertAlign w:val="subscript"/>
              </w:rPr>
              <w:t>2021</w:t>
            </w:r>
            <w:r w:rsidRPr="00CC7D67">
              <w:rPr>
                <w:b/>
                <w:i/>
              </w:rPr>
              <w:t>, a</w:t>
            </w:r>
            <w:r w:rsidRPr="00CC7D67">
              <w:rPr>
                <w:b/>
                <w:i/>
                <w:vertAlign w:val="subscript"/>
              </w:rPr>
              <w:t>2026</w:t>
            </w:r>
            <w:r w:rsidRPr="00CC7D67">
              <w:t xml:space="preserve"> et a</w:t>
            </w:r>
            <w:r w:rsidRPr="00CC7D67">
              <w:rPr>
                <w:vertAlign w:val="subscript"/>
              </w:rPr>
              <w:t>2030</w:t>
            </w:r>
            <w:r w:rsidRPr="00CC7D67">
              <w:t xml:space="preserve"> calculées par la Commission conformément au point 6.2 des parties A et B de l’annexe I.</w:t>
            </w:r>
          </w:p>
        </w:tc>
        <w:tc>
          <w:tcPr>
            <w:tcW w:w="4876" w:type="dxa"/>
            <w:hideMark/>
          </w:tcPr>
          <w:p w:rsidR="00B0509C" w:rsidRPr="00CC7D67" w:rsidRDefault="00B0509C" w:rsidP="00B0509C">
            <w:pPr>
              <w:pStyle w:val="Normal6"/>
              <w:rPr>
                <w:szCs w:val="24"/>
              </w:rPr>
            </w:pPr>
            <w:r w:rsidRPr="00CC7D67">
              <w:t>b)</w:t>
            </w:r>
            <w:r w:rsidRPr="00CC7D67">
              <w:tab/>
              <w:t>les valeurs pour a</w:t>
            </w:r>
            <w:r w:rsidRPr="00CC7D67">
              <w:rPr>
                <w:vertAlign w:val="subscript"/>
              </w:rPr>
              <w:t>2021</w:t>
            </w:r>
            <w:r w:rsidRPr="00CC7D67">
              <w:t xml:space="preserve"> et a</w:t>
            </w:r>
            <w:r w:rsidRPr="00CC7D67">
              <w:rPr>
                <w:vertAlign w:val="subscript"/>
              </w:rPr>
              <w:t>2030</w:t>
            </w:r>
            <w:r w:rsidRPr="00CC7D67">
              <w:t xml:space="preserve"> calculées par la Commission conformément au point 6.2 des parties A et B de l’annexe 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369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3 – point b</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b)</w:t>
            </w:r>
            <w:r w:rsidRPr="00CC7D67">
              <w:tab/>
              <w:t>les valeurs pour a</w:t>
            </w:r>
            <w:r w:rsidRPr="00CC7D67">
              <w:rPr>
                <w:vertAlign w:val="subscript"/>
              </w:rPr>
              <w:t>2021</w:t>
            </w:r>
            <w:r w:rsidRPr="00CC7D67">
              <w:t>, a</w:t>
            </w:r>
            <w:r w:rsidRPr="00CC7D67">
              <w:rPr>
                <w:b/>
                <w:i/>
                <w:vertAlign w:val="subscript"/>
              </w:rPr>
              <w:t>2025</w:t>
            </w:r>
            <w:r w:rsidRPr="00CC7D67">
              <w:t xml:space="preserve"> et a</w:t>
            </w:r>
            <w:r w:rsidRPr="00CC7D67">
              <w:rPr>
                <w:vertAlign w:val="subscript"/>
              </w:rPr>
              <w:t>2030</w:t>
            </w:r>
            <w:r w:rsidRPr="00CC7D67">
              <w:t xml:space="preserve"> calculées par la Commission conformément au point 6.2 des parties A et B de l’annexe I.</w:t>
            </w:r>
          </w:p>
        </w:tc>
        <w:tc>
          <w:tcPr>
            <w:tcW w:w="4876" w:type="dxa"/>
            <w:hideMark/>
          </w:tcPr>
          <w:p w:rsidR="00B0509C" w:rsidRPr="00CC7D67" w:rsidRDefault="00B0509C" w:rsidP="00B0509C">
            <w:pPr>
              <w:pStyle w:val="Normal6"/>
              <w:rPr>
                <w:szCs w:val="24"/>
              </w:rPr>
            </w:pPr>
            <w:r w:rsidRPr="00CC7D67">
              <w:t>b)</w:t>
            </w:r>
            <w:r w:rsidRPr="00CC7D67">
              <w:tab/>
              <w:t>les valeurs pour a</w:t>
            </w:r>
            <w:r w:rsidRPr="00CC7D67">
              <w:rPr>
                <w:vertAlign w:val="subscript"/>
              </w:rPr>
              <w:t>2021</w:t>
            </w:r>
            <w:r w:rsidRPr="00CC7D67">
              <w:t>, a</w:t>
            </w:r>
            <w:r w:rsidRPr="00CC7D67">
              <w:rPr>
                <w:b/>
                <w:i/>
                <w:vertAlign w:val="subscript"/>
              </w:rPr>
              <w:t>2026</w:t>
            </w:r>
            <w:r w:rsidRPr="00CC7D67">
              <w:t xml:space="preserve"> et a</w:t>
            </w:r>
            <w:r w:rsidRPr="00CC7D67">
              <w:rPr>
                <w:vertAlign w:val="subscript"/>
              </w:rPr>
              <w:t>2030</w:t>
            </w:r>
            <w:r w:rsidRPr="00CC7D67">
              <w:t xml:space="preserve"> calculées par la Commission conformément au point 6.2 des parties A et B de l’annexe 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370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 Dita Charanzová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 paragraphe 3 – point b</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b)</w:t>
            </w:r>
            <w:r w:rsidRPr="00CC7D67">
              <w:tab/>
              <w:t>les valeurs pour a</w:t>
            </w:r>
            <w:r w:rsidRPr="00CC7D67">
              <w:rPr>
                <w:vertAlign w:val="subscript"/>
              </w:rPr>
              <w:t>2021</w:t>
            </w:r>
            <w:r w:rsidRPr="00CC7D67">
              <w:t>, a</w:t>
            </w:r>
            <w:r w:rsidRPr="00CC7D67">
              <w:rPr>
                <w:b/>
                <w:i/>
                <w:vertAlign w:val="subscript"/>
              </w:rPr>
              <w:t>2025</w:t>
            </w:r>
            <w:r w:rsidRPr="00CC7D67">
              <w:t xml:space="preserve"> et a</w:t>
            </w:r>
            <w:r w:rsidRPr="00CC7D67">
              <w:rPr>
                <w:vertAlign w:val="subscript"/>
              </w:rPr>
              <w:t>2030</w:t>
            </w:r>
            <w:r w:rsidRPr="00CC7D67">
              <w:t xml:space="preserve"> calculées par la Commission conformément au point 6.2 des parties A et B de l’annexe I.</w:t>
            </w:r>
          </w:p>
        </w:tc>
        <w:tc>
          <w:tcPr>
            <w:tcW w:w="4876" w:type="dxa"/>
            <w:hideMark/>
          </w:tcPr>
          <w:p w:rsidR="00B0509C" w:rsidRPr="00CC7D67" w:rsidRDefault="00B0509C" w:rsidP="00B0509C">
            <w:pPr>
              <w:pStyle w:val="Normal6"/>
              <w:rPr>
                <w:szCs w:val="24"/>
              </w:rPr>
            </w:pPr>
            <w:r w:rsidRPr="00CC7D67">
              <w:t>b)</w:t>
            </w:r>
            <w:r w:rsidRPr="00CC7D67">
              <w:tab/>
              <w:t>les valeurs pour a</w:t>
            </w:r>
            <w:r w:rsidRPr="00CC7D67">
              <w:rPr>
                <w:vertAlign w:val="subscript"/>
              </w:rPr>
              <w:t>2021</w:t>
            </w:r>
            <w:r w:rsidRPr="00CC7D67">
              <w:t>, a</w:t>
            </w:r>
            <w:r w:rsidRPr="00CC7D67">
              <w:rPr>
                <w:b/>
                <w:i/>
                <w:vertAlign w:val="subscript"/>
              </w:rPr>
              <w:t>2026</w:t>
            </w:r>
            <w:r w:rsidRPr="00CC7D67">
              <w:t xml:space="preserve"> et a</w:t>
            </w:r>
            <w:r w:rsidRPr="00CC7D67">
              <w:rPr>
                <w:vertAlign w:val="subscript"/>
              </w:rPr>
              <w:t>2030</w:t>
            </w:r>
            <w:r w:rsidRPr="00CC7D67">
              <w:t xml:space="preserve"> calculées par la Commission conformément au point 6.2 des parties A et B de l’annexe 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Fixer l’objectif à 2025 ne laisse pas de délai de réalisation suffisant pour que l’industrie puisse mettre au point de nouvelles technologies et les mettre sur le marché. La tendance actuelle des consommateurs à passer des véhicules diesel au moteur à essence entraîne une hausse du CO</w:t>
      </w:r>
      <w:r w:rsidRPr="00CC7D67">
        <w:rPr>
          <w:noProof w:val="0"/>
          <w:vertAlign w:val="subscript"/>
        </w:rPr>
        <w:t>2</w:t>
      </w:r>
      <w:r w:rsidRPr="00CC7D67">
        <w:rPr>
          <w:noProof w:val="0"/>
        </w:rPr>
        <w:t>. L’infrastructure de recharge des véhicules électriques est insuffisante et l’acceptation, parmi les consommateurs, des véhicules à motorisation alternative est faible. La pente cible de la courbe nécessaire pour calculer les exigences à imposer aux différents constructeurs pour 2025 ser</w:t>
      </w:r>
      <w:r w:rsidR="00B0309C">
        <w:rPr>
          <w:noProof w:val="0"/>
        </w:rPr>
        <w:t>a connue</w:t>
      </w:r>
      <w:r w:rsidRPr="00CC7D67">
        <w:rPr>
          <w:noProof w:val="0"/>
        </w:rPr>
        <w:t xml:space="preserve"> en 2022. Il convient, par conséquent, de reporter l’objectif d’au moins un an pour permettre aux constructeurs de concevoir une réponse technologique.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371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Marijana Petir, Fulvio Martusciello, Angélique Delahaye</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9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jc w:val="center"/>
              <w:rPr>
                <w:color w:val="000005"/>
                <w:szCs w:val="24"/>
              </w:rPr>
            </w:pPr>
            <w:r w:rsidRPr="00CC7D67">
              <w:rPr>
                <w:b/>
                <w:i/>
              </w:rPr>
              <w:t>Article 9 bis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45552B">
            <w:pPr>
              <w:pStyle w:val="Normal6"/>
              <w:rPr>
                <w:szCs w:val="24"/>
              </w:rPr>
            </w:pPr>
            <w:r w:rsidRPr="00CC7D67">
              <w:rPr>
                <w:b/>
                <w:i/>
              </w:rPr>
              <w:t>Au cours de la phase de surveillance et de communication, les constructeurs prennent en compte la quantité de carburants liquides et gazeux provenant de sources renouvelables durables qui est placée sur le marché. Les valeurs des émissions de CO</w:t>
            </w:r>
            <w:r w:rsidRPr="00CC7D67">
              <w:rPr>
                <w:b/>
                <w:i/>
                <w:vertAlign w:val="subscript"/>
              </w:rPr>
              <w:t>2</w:t>
            </w:r>
            <w:r w:rsidRPr="00CC7D67">
              <w:t xml:space="preserve"> </w:t>
            </w:r>
            <w:r w:rsidRPr="00CC7D67">
              <w:rPr>
                <w:b/>
                <w:i/>
              </w:rPr>
              <w:t>des constructeurs pour leur parc sont ajustées grâce à un facteur de correction carbone. Le facteur de correction carbone est déterminé en fonction des méthodes que la Commission doit développer au moyen d’un acte d’exécution au plus tard fin 2020. Cet acte d’exécution est adopté en conformité avec la procédure d’examen visée à l’article 15 du présent règlement.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 secteur des transports représente plus de 20 % de l’ensemble des émissions de GES de l’Union, et c’est le seul secteur dont les émissions augmentent. Il est donc indispensable de recourir aux carburants liquides et gazeux provenant de sources renouvelables durables pour décarboniser ce secteur et satisfaire aux ambitions affichées lors de la COP21. Cet amendement vise à reconnaître les avantages que peut générer l’intégration de tous les biocarburants durables dans le bouquet énergétique de l’Union pour les constructeurs automobiles soumis aux obligations et pour les États membres. Il est par ailleurs cohérent avec la directive de l’Union sur les énergies renouvelables, qui reconnaît les avantages des biocarburants en leur attribuant des émissions de GES nulles.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372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10 – paragraphe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4.</w:t>
            </w:r>
            <w:r w:rsidRPr="00CC7D67">
              <w:rPr>
                <w:b/>
                <w:i/>
              </w:rPr>
              <w:tab/>
              <w:t>Une demande de dérogation relative à l’objectif d’émissions spécifiques calculé conformément à l’annexe I, partie A, points 1 à 4, peut être présentée par un constructeur qui représente, avec l’ensemble de ses entreprises liées, de 10 000 à 300 000 voitures particulières neuves immatriculées dans l’Union par année civile.</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Une telle demande peut être présentée par le constructeur pour lui- même, ou pour lui-même et une de ses entreprises liées. La demande est adressée à la Commission et comprend les éléments suivants:</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rPr>
              <w:tab/>
              <w:t>toutes les informations visées au paragraphe 2, points a) et c), notamment, le cas échéant, les informations relatives aux entreprises liées;</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b)</w:t>
            </w:r>
            <w:r w:rsidRPr="00CC7D67">
              <w:rPr>
                <w:b/>
                <w:i/>
              </w:rPr>
              <w:tab/>
              <w:t>un objectif qui correspond à une réduction de 45 % des émissions spécifiques moyennes de CO</w:t>
            </w:r>
            <w:r w:rsidRPr="00CC7D67">
              <w:rPr>
                <w:b/>
                <w:i/>
                <w:vertAlign w:val="subscript"/>
              </w:rPr>
              <w:t>2</w:t>
            </w:r>
            <w:r w:rsidRPr="00CC7D67">
              <w:t xml:space="preserve"> </w:t>
            </w:r>
            <w:r w:rsidRPr="00CC7D67">
              <w:rPr>
                <w:b/>
                <w:i/>
              </w:rPr>
              <w:t>de 2007 ou, lorsqu’une seule demande est faite pour plusieurs entreprises liées, à une réduction de 45 % de la moyenne des émissions spécifiques moyennes de CO</w:t>
            </w:r>
            <w:r w:rsidRPr="00CC7D67">
              <w:rPr>
                <w:b/>
                <w:i/>
                <w:vertAlign w:val="subscript"/>
              </w:rPr>
              <w:t>2</w:t>
            </w:r>
            <w:r w:rsidRPr="00CC7D67">
              <w:t xml:space="preserve"> </w:t>
            </w:r>
            <w:r w:rsidRPr="00CC7D67">
              <w:rPr>
                <w:b/>
                <w:i/>
              </w:rPr>
              <w:t>de ces entreprises en 2007.</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Si aucune information relative aux émissions spécifiques moyennes de CO</w:t>
            </w:r>
            <w:r w:rsidRPr="00CC7D67">
              <w:rPr>
                <w:b/>
                <w:i/>
                <w:vertAlign w:val="subscript"/>
              </w:rPr>
              <w:t>2</w:t>
            </w:r>
            <w:r w:rsidRPr="00CC7D67">
              <w:t xml:space="preserve"> </w:t>
            </w:r>
            <w:r w:rsidRPr="00CC7D67">
              <w:rPr>
                <w:b/>
                <w:i/>
              </w:rPr>
              <w:t>d’un constructeur n’est disponible pour l’année 2007, la Commission détermine un objectif de réduction équivalent en se fondant sur les meilleures technologies de réduction des émissions de CO</w:t>
            </w:r>
            <w:r w:rsidRPr="00CC7D67">
              <w:rPr>
                <w:b/>
                <w:i/>
                <w:vertAlign w:val="subscript"/>
              </w:rPr>
              <w:t>2</w:t>
            </w:r>
            <w:r w:rsidRPr="00CC7D67">
              <w:t xml:space="preserve"> </w:t>
            </w:r>
            <w:r w:rsidRPr="00CC7D67">
              <w:rPr>
                <w:b/>
                <w:i/>
              </w:rPr>
              <w:t>mises en œuvre dans les voitures particulières de masse comparable et en tenant compte des caractéristiques du marché pour le type de véhicule fabriqué. Cet objectif est utilisé par le demandeur aux fins du point b).</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La Commission octroie une dérogation au constructeur lorsqu’il est démontré que les critères relatifs à la dérogation visés au présent paragraphe sont remplis.</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L’expérience montre que les constructeurs spécialisés ont le même potentiel que les grands constructeurs pour atteindre les objectifs en matière de CO</w:t>
      </w:r>
      <w:r w:rsidRPr="00CC7D67">
        <w:rPr>
          <w:noProof w:val="0"/>
          <w:vertAlign w:val="subscript"/>
        </w:rPr>
        <w:t>2</w:t>
      </w:r>
      <w:r w:rsidRPr="00CC7D67">
        <w:rPr>
          <w:noProof w:val="0"/>
        </w:rPr>
        <w:t xml:space="preserve"> et que, par conséquent, il n’est plus jugé approprié de faire la distinction entre ces deux catégories de constructeurs.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373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10 – paragraphe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4.</w:t>
            </w:r>
            <w:r w:rsidRPr="00CC7D67">
              <w:rPr>
                <w:b/>
                <w:i/>
              </w:rPr>
              <w:tab/>
              <w:t>Une demande de dérogation relative à l’objectif d’émissions spécifiques calculé conformément à l’annexe I, partie A, points 1 à 4, peut être présentée par un constructeur qui représente, avec l’ensemble de ses entreprises liées, de 10 000 à 300 000 voitures particulières neuves immatriculées dans l’Union par année civile.</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Une telle demande peut être présentée par le constructeur pour lui- même, ou pour lui-même et une de ses entreprises liées. La demande est adressée à la Commission et comprend les éléments suivants:</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rPr>
              <w:tab/>
              <w:t>toutes les informations visées au paragraphe 2, points a) et c), notamment, le cas échéant, les informations relatives aux entreprises liées;</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b)</w:t>
            </w:r>
            <w:r w:rsidRPr="00CC7D67">
              <w:rPr>
                <w:b/>
                <w:i/>
              </w:rPr>
              <w:tab/>
              <w:t>un objectif qui correspond à une réduction de 45 % des émissions spécifiques moyennes de CO</w:t>
            </w:r>
            <w:r w:rsidRPr="00CC7D67">
              <w:rPr>
                <w:b/>
                <w:i/>
                <w:vertAlign w:val="subscript"/>
              </w:rPr>
              <w:t>2</w:t>
            </w:r>
            <w:r w:rsidRPr="00CC7D67">
              <w:t xml:space="preserve"> </w:t>
            </w:r>
            <w:r w:rsidRPr="00CC7D67">
              <w:rPr>
                <w:b/>
                <w:i/>
              </w:rPr>
              <w:t>de 2007 ou, lorsqu’une seule demande est faite pour plusieurs entreprises liées, à une réduction de 45 % de la moyenne des émissions spécifiques moyennes de CO</w:t>
            </w:r>
            <w:r w:rsidRPr="00CC7D67">
              <w:rPr>
                <w:b/>
                <w:i/>
                <w:vertAlign w:val="subscript"/>
              </w:rPr>
              <w:t>2</w:t>
            </w:r>
            <w:r w:rsidRPr="00CC7D67">
              <w:t xml:space="preserve"> </w:t>
            </w:r>
            <w:r w:rsidRPr="00CC7D67">
              <w:rPr>
                <w:b/>
                <w:i/>
              </w:rPr>
              <w:t>de ces entreprises en 2007.</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Si aucune information relative aux émissions spécifiques moyennes de CO</w:t>
            </w:r>
            <w:r w:rsidRPr="00CC7D67">
              <w:rPr>
                <w:b/>
                <w:i/>
                <w:vertAlign w:val="subscript"/>
              </w:rPr>
              <w:t>2</w:t>
            </w:r>
            <w:r w:rsidRPr="00CC7D67">
              <w:t xml:space="preserve"> </w:t>
            </w:r>
            <w:r w:rsidRPr="00CC7D67">
              <w:rPr>
                <w:b/>
                <w:i/>
              </w:rPr>
              <w:t>d’un constructeur n’est disponible pour l’année 2007, la Commission détermine un objectif de réduction équivalent en se fondant sur les meilleures technologies de réduction des émissions de CO</w:t>
            </w:r>
            <w:r w:rsidRPr="00CC7D67">
              <w:rPr>
                <w:b/>
                <w:i/>
                <w:vertAlign w:val="subscript"/>
              </w:rPr>
              <w:t>2</w:t>
            </w:r>
            <w:r w:rsidRPr="00CC7D67">
              <w:t xml:space="preserve"> </w:t>
            </w:r>
            <w:r w:rsidRPr="00CC7D67">
              <w:rPr>
                <w:b/>
                <w:i/>
              </w:rPr>
              <w:t>mises en œuvre dans les voitures particulières de masse comparable et en tenant compte des caractéristiques du marché pour le type de véhicule fabriqué. Cet objectif est utilisé par le demandeur aux fins du point b).</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La Commission octroie une dérogation au constructeur lorsqu’il est démontré que les critères relatifs à la dérogation visés au présent paragraphe sont remplis.</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L’expérience montre que les constructeurs spécialisés, produisant 10 000 à 300 000 véhicules par an, ont le même potentiel que les grands constructeurs pour atteindre les objectifs en matière de CO</w:t>
      </w:r>
      <w:r w:rsidRPr="00CC7D67">
        <w:rPr>
          <w:noProof w:val="0"/>
          <w:vertAlign w:val="subscript"/>
        </w:rPr>
        <w:t>2</w:t>
      </w:r>
      <w:r w:rsidRPr="00CC7D67">
        <w:rPr>
          <w:noProof w:val="0"/>
        </w:rPr>
        <w:t xml:space="preserve"> et que, par conséquent, il n’est plus jugé approprié de faire la distinction entre ces deux catégories de constructeurs. Le maintien de cette dérogation réduirait l’efficacité du règlement.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374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György Hölvényi, András Gyürk, Andor Deli, Norbert Erdős, József Szájer, László Tőkés, Kinga Gál, Ádám Kósa, György Schöpflin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10 – paragraphe 4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4 bis.</w:t>
            </w:r>
            <w:r w:rsidRPr="00CC7D67">
              <w:rPr>
                <w:b/>
                <w:i/>
              </w:rPr>
              <w:tab/>
              <w:t>Il convient d’établir un objectif qui correspond à une réduction spécifiée à l’article 1</w:t>
            </w:r>
            <w:r w:rsidRPr="00CC7D67">
              <w:rPr>
                <w:b/>
                <w:i/>
                <w:vertAlign w:val="superscript"/>
              </w:rPr>
              <w:t>er</w:t>
            </w:r>
            <w:r w:rsidRPr="00CC7D67">
              <w:rPr>
                <w:b/>
                <w:i/>
              </w:rPr>
              <w:t>, paragraphe 5, point a), concernant les émissions spécifiques moyennes de CO</w:t>
            </w:r>
            <w:r w:rsidRPr="00CC7D67">
              <w:rPr>
                <w:b/>
                <w:i/>
                <w:vertAlign w:val="subscript"/>
              </w:rPr>
              <w:t>2</w:t>
            </w:r>
            <w:r w:rsidRPr="00CC7D67">
              <w:rPr>
                <w:b/>
                <w:i/>
              </w:rPr>
              <w:t xml:space="preserve"> en 2021 ou, lorsqu’une seule demande est faite pour plusieurs entreprises liées, à une réduction spécifiée à l’article 1</w:t>
            </w:r>
            <w:r w:rsidRPr="00CC7D67">
              <w:rPr>
                <w:b/>
                <w:i/>
                <w:vertAlign w:val="superscript"/>
              </w:rPr>
              <w:t>er</w:t>
            </w:r>
            <w:r w:rsidRPr="00CC7D67">
              <w:rPr>
                <w:b/>
                <w:i/>
              </w:rPr>
              <w:t>, paragraphe 5, point a), concernant la moyenne des émissions spécifiques moyennes de CO</w:t>
            </w:r>
            <w:r w:rsidRPr="00CC7D67">
              <w:rPr>
                <w:b/>
                <w:i/>
                <w:vertAlign w:val="subscript"/>
              </w:rPr>
              <w:t>2</w:t>
            </w:r>
            <w:r w:rsidRPr="00CC7D67">
              <w:rPr>
                <w:b/>
                <w:i/>
              </w:rPr>
              <w:t xml:space="preserve"> de ces entreprises en 2021.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375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1 – 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La contribution totale de ces technologies à la réduction des émissions spécifiques moyennes d’un constructeur peut atteindre un maximum de </w:t>
            </w:r>
            <w:r w:rsidRPr="00CC7D67">
              <w:rPr>
                <w:b/>
                <w:i/>
              </w:rPr>
              <w:t>7</w:t>
            </w:r>
            <w:r w:rsidRPr="00CC7D67">
              <w:t> grammes de CO</w:t>
            </w:r>
            <w:r w:rsidRPr="00CC7D67">
              <w:rPr>
                <w:vertAlign w:val="subscript"/>
              </w:rPr>
              <w:t>2</w:t>
            </w:r>
            <w:r w:rsidRPr="00CC7D67">
              <w:t xml:space="preserve"> par kilomètre.</w:t>
            </w:r>
          </w:p>
        </w:tc>
        <w:tc>
          <w:tcPr>
            <w:tcW w:w="4876" w:type="dxa"/>
            <w:hideMark/>
          </w:tcPr>
          <w:p w:rsidR="00B0509C" w:rsidRPr="00CC7D67" w:rsidRDefault="00B0509C" w:rsidP="00B0509C">
            <w:pPr>
              <w:pStyle w:val="Normal6"/>
              <w:rPr>
                <w:szCs w:val="24"/>
              </w:rPr>
            </w:pPr>
            <w:r w:rsidRPr="00CC7D67">
              <w:t xml:space="preserve">La contribution totale de ces technologies à la réduction des émissions spécifiques moyennes d’un constructeur peut atteindre un maximum de </w:t>
            </w:r>
            <w:r w:rsidRPr="00CC7D67">
              <w:rPr>
                <w:b/>
                <w:i/>
              </w:rPr>
              <w:t>10</w:t>
            </w:r>
            <w:r w:rsidRPr="00CC7D67">
              <w:t> grammes de CO</w:t>
            </w:r>
            <w:r w:rsidRPr="00CC7D67">
              <w:rPr>
                <w:vertAlign w:val="subscript"/>
              </w:rPr>
              <w:t>2</w:t>
            </w:r>
            <w:r w:rsidRPr="00CC7D67">
              <w:t xml:space="preserve"> par kilomètre.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Ajustement du plafond à 10 grammes de CO</w:t>
      </w:r>
      <w:r w:rsidRPr="00CC7D67">
        <w:rPr>
          <w:noProof w:val="0"/>
          <w:vertAlign w:val="subscript"/>
        </w:rPr>
        <w:t>2</w:t>
      </w:r>
      <w:r w:rsidRPr="00CC7D67">
        <w:rPr>
          <w:noProof w:val="0"/>
        </w:rPr>
        <w:t xml:space="preserve"> par kilomètre, afin de prendre en compte les changements dans les économies d’émissions dues aux éco-innovations qui peuvent intervenir à la suite de la modification de la procédure d’essai réglementaire, avec le remplacement du NEDC par la WLTP, et d’encourager davantage les constructeurs à investir dans les éco-innovations.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376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1 – 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La contribution totale de ces technologies à la réduction des émissions spécifiques moyennes d’un constructeur peut atteindre un maximum de </w:t>
            </w:r>
            <w:r w:rsidRPr="00CC7D67">
              <w:rPr>
                <w:b/>
                <w:i/>
              </w:rPr>
              <w:t>7</w:t>
            </w:r>
            <w:r w:rsidRPr="00CC7D67">
              <w:t> grammes de CO</w:t>
            </w:r>
            <w:r w:rsidRPr="00CC7D67">
              <w:rPr>
                <w:vertAlign w:val="subscript"/>
              </w:rPr>
              <w:t>2</w:t>
            </w:r>
            <w:r w:rsidRPr="00CC7D67">
              <w:t xml:space="preserve"> par kilomètre.</w:t>
            </w:r>
          </w:p>
        </w:tc>
        <w:tc>
          <w:tcPr>
            <w:tcW w:w="4876" w:type="dxa"/>
            <w:hideMark/>
          </w:tcPr>
          <w:p w:rsidR="00B0509C" w:rsidRPr="00CC7D67" w:rsidRDefault="00B0509C" w:rsidP="00B0509C">
            <w:pPr>
              <w:pStyle w:val="Normal6"/>
              <w:rPr>
                <w:szCs w:val="24"/>
              </w:rPr>
            </w:pPr>
            <w:r w:rsidRPr="00CC7D67">
              <w:t xml:space="preserve">La contribution totale de ces technologies à la réduction des émissions spécifiques moyennes d’un constructeur peut atteindre un maximum de </w:t>
            </w:r>
            <w:r w:rsidRPr="00CC7D67">
              <w:rPr>
                <w:b/>
                <w:i/>
              </w:rPr>
              <w:t>10</w:t>
            </w:r>
            <w:r w:rsidRPr="00CC7D67">
              <w:t> grammes de CO</w:t>
            </w:r>
            <w:r w:rsidRPr="00CC7D67">
              <w:rPr>
                <w:vertAlign w:val="subscript"/>
              </w:rPr>
              <w:t>2</w:t>
            </w:r>
            <w:r w:rsidRPr="00CC7D67">
              <w:t xml:space="preserve"> par kilomètre.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Les valeurs WLTP étant supérieures aux valeurs limites NEDC, il convient de les ajuster.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377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Ulrike Müller, Gesine Meissner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1 – 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La contribution totale de ces technologies à la réduction des émissions spécifiques moyennes d’un constructeur peut atteindre un maximum de </w:t>
            </w:r>
            <w:r w:rsidRPr="00CC7D67">
              <w:rPr>
                <w:b/>
                <w:i/>
              </w:rPr>
              <w:t>7</w:t>
            </w:r>
            <w:r w:rsidRPr="00CC7D67">
              <w:t> grammes de CO</w:t>
            </w:r>
            <w:r w:rsidRPr="00CC7D67">
              <w:rPr>
                <w:vertAlign w:val="subscript"/>
              </w:rPr>
              <w:t>2</w:t>
            </w:r>
            <w:r w:rsidRPr="00CC7D67">
              <w:t xml:space="preserve"> par kilomètre.</w:t>
            </w:r>
          </w:p>
        </w:tc>
        <w:tc>
          <w:tcPr>
            <w:tcW w:w="4876" w:type="dxa"/>
            <w:hideMark/>
          </w:tcPr>
          <w:p w:rsidR="00B0509C" w:rsidRPr="00CC7D67" w:rsidRDefault="00B0509C" w:rsidP="00B0509C">
            <w:pPr>
              <w:pStyle w:val="Normal6"/>
              <w:rPr>
                <w:szCs w:val="24"/>
              </w:rPr>
            </w:pPr>
            <w:r w:rsidRPr="00CC7D67">
              <w:t xml:space="preserve">La contribution totale de ces technologies à la réduction des émissions spécifiques moyennes d’un constructeur peut atteindre un maximum de </w:t>
            </w:r>
            <w:r w:rsidRPr="00CC7D67">
              <w:rPr>
                <w:b/>
                <w:i/>
              </w:rPr>
              <w:t>10</w:t>
            </w:r>
            <w:r w:rsidRPr="00CC7D67">
              <w:t> grammes de CO</w:t>
            </w:r>
            <w:r w:rsidRPr="00CC7D67">
              <w:rPr>
                <w:vertAlign w:val="subscript"/>
              </w:rPr>
              <w:t>2</w:t>
            </w:r>
            <w:r w:rsidRPr="00CC7D67">
              <w:t xml:space="preserve"> par kilomètre.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Au vu des récents débats relatifs à la réduction de l’écart entre les émissions d’un véhicule mesurées en laboratoire et les émissions en conduite réelle, il semble justifié d’accroître la prime à l’éco-innovation afin d’encourager le développement de technologies susceptibles d’aider à réduire les émissions en conduite réelle sans qu’elles soient mesurables dans le cadre d’essais en laboratoire, ce qui contribuerait à combler l’écart.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378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1 – alinéa 3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Dans les douze mois suivant l’approbation d’une technologie innovante ou d’un ensemble technologique innovant, le fournisseur ou le constructeur fournit des preuves fondées sur les résultats des essais en conditions d’utilisation réelles sur les véhicules produits qui confirment la contribution des technologies innovantes approuvées.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Cet amendement est indissociable de l’objectif défini à l’article premier. L’objectif du règlement à l’étude est de remplir les engagements et objectifs de l’Union en matière de climat. Au vu de la nécessité de réduire rapidement les émissions moyennes de CO</w:t>
      </w:r>
      <w:r w:rsidRPr="00CC7D67">
        <w:rPr>
          <w:noProof w:val="0"/>
          <w:vertAlign w:val="subscript"/>
        </w:rPr>
        <w:t>2</w:t>
      </w:r>
      <w:r w:rsidRPr="00CC7D67">
        <w:rPr>
          <w:noProof w:val="0"/>
        </w:rPr>
        <w:t>, il est nécessaire de garantir l’efficacité des technologies innovantes dans la réduction des émissions de CO</w:t>
      </w:r>
      <w:r w:rsidRPr="00CC7D67">
        <w:rPr>
          <w:noProof w:val="0"/>
          <w:vertAlign w:val="subscript"/>
        </w:rPr>
        <w:t>2</w:t>
      </w:r>
      <w:r w:rsidRPr="00CC7D67">
        <w:rPr>
          <w:noProof w:val="0"/>
        </w:rPr>
        <w: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379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 Birgit Collin-Langen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1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La Commission peut ajuster le plafond avec effet à partir de 2025. Ces ajustements sont effectués au moyen d’actes délégués conformément à l’article 16.</w:t>
            </w:r>
          </w:p>
        </w:tc>
        <w:tc>
          <w:tcPr>
            <w:tcW w:w="4876" w:type="dxa"/>
            <w:hideMark/>
          </w:tcPr>
          <w:p w:rsidR="00B0509C" w:rsidRPr="00CC7D67" w:rsidRDefault="00B0509C" w:rsidP="00B0509C">
            <w:pPr>
              <w:pStyle w:val="Normal6"/>
              <w:rPr>
                <w:szCs w:val="24"/>
              </w:rPr>
            </w:pPr>
            <w:r w:rsidRPr="00CC7D67">
              <w:t>La Commission peut ajuster le plafond avec effet à partir de </w:t>
            </w:r>
            <w:r w:rsidRPr="00CC7D67">
              <w:rPr>
                <w:b/>
                <w:i/>
              </w:rPr>
              <w:t>2021. La Commission proposera en outre un système d’incitation à la mise sur le marché de carburants alternatifs innovants produits de manière renouvelable, qui devrait prendre effet à partir de </w:t>
            </w:r>
            <w:r w:rsidRPr="00CC7D67">
              <w:t>2025</w:t>
            </w:r>
            <w:r w:rsidRPr="00CC7D67">
              <w:rPr>
                <w:b/>
                <w:i/>
              </w:rPr>
              <w:t xml:space="preserve"> au plus tard. Parallèlement à ces propositions, la Commission exposera, dans une communication, la manière dont l’adaptation de cette réglementation à une approche fondée sur le cycle de vie pour l’après-2030 doit avoir lieu</w:t>
            </w:r>
            <w:r w:rsidRPr="00CC7D67">
              <w:t>. Ces ajustements sont effectués au moyen d’actes délégués conformément à l’article 16</w:t>
            </w:r>
            <w:r w:rsidRPr="00CC7D67">
              <w:rPr>
                <w:b/>
                <w:i/>
              </w:rPr>
              <w:t>, à l’exception du passage à une approche fondée sur le cycle de vie, qui s’opérera dans le cadre d’une procédure législative ordinaire</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{DE}</w:t>
      </w:r>
      <w:r w:rsidRPr="00CC7D67">
        <w:rPr>
          <w:noProof w:val="0"/>
        </w:rPr>
        <w:t>de</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Il est impossible de réduire efficacement les émissions de CO</w:t>
      </w:r>
      <w:r w:rsidRPr="0045552B">
        <w:rPr>
          <w:noProof w:val="0"/>
          <w:vertAlign w:val="subscript"/>
        </w:rPr>
        <w:t>2</w:t>
      </w:r>
      <w:r w:rsidRPr="00CC7D67">
        <w:rPr>
          <w:noProof w:val="0"/>
        </w:rPr>
        <w:t xml:space="preserve"> produites par les transports sans adopter une politique globale. Modifier les plafonds ne suffira pas: il convient de prévoir une étape intermédiaire consistant en l’introduction d’un système d’incitation visant les systèmes de propulsion alternatifs et à faible taux d’émission. À long terme, le passage à une approche fondée sur le cycle de vie s’avérera nécessaire pour harmoniser équitablement les différents modes de propulsion et pouvoir obtenir des résultats optimaux en matière de politique climatique. Cette transition devra s’opérer dans le cadre du processus législatif pour l’après-2030. Les deux étapes susmentionnées sont indispensables pour stimuler les investissements dans tous les moyens de réduire les émissions de CO</w:t>
      </w:r>
      <w:r w:rsidRPr="0045552B">
        <w:rPr>
          <w:noProof w:val="0"/>
          <w:vertAlign w:val="subscript"/>
        </w:rPr>
        <w:t>2</w:t>
      </w:r>
      <w:r w:rsidRPr="00CC7D67">
        <w:rPr>
          <w:noProof w:val="0"/>
        </w:rPr>
        <w:t>.</w:t>
      </w:r>
    </w:p>
    <w:p w:rsidR="00B0509C" w:rsidRPr="00CC7D67" w:rsidRDefault="00B0509C" w:rsidP="00B0509C">
      <w:pPr>
        <w:pStyle w:val="AMNumberTabs"/>
        <w:keepNext/>
      </w:pPr>
      <w:r w:rsidRPr="00CC7D67">
        <w:rPr>
          <w:rStyle w:val="HideTWBExt"/>
          <w:noProof w:val="0"/>
        </w:rPr>
        <w:t>&lt;/Amend&gt;</w:t>
      </w: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380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Andrzej Grzyb, Giovanni La Via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1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La Commission </w:t>
            </w:r>
            <w:r w:rsidRPr="00CC7D67">
              <w:rPr>
                <w:b/>
                <w:i/>
              </w:rPr>
              <w:t>peut ajuster</w:t>
            </w:r>
            <w:r w:rsidRPr="00CC7D67">
              <w:t xml:space="preserve"> le plafond avec effet à partir de </w:t>
            </w:r>
            <w:r w:rsidRPr="00CC7D67">
              <w:rPr>
                <w:b/>
                <w:i/>
              </w:rPr>
              <w:t>2025</w:t>
            </w:r>
            <w:r w:rsidRPr="00CC7D67">
              <w:t>. Ces ajustements sont effectués au moyen d’actes délégués conformément à l’article 16.</w:t>
            </w:r>
          </w:p>
        </w:tc>
        <w:tc>
          <w:tcPr>
            <w:tcW w:w="4876" w:type="dxa"/>
            <w:hideMark/>
          </w:tcPr>
          <w:p w:rsidR="00B0509C" w:rsidRPr="00CC7D67" w:rsidRDefault="00B0509C" w:rsidP="00B0509C">
            <w:pPr>
              <w:pStyle w:val="Normal6"/>
              <w:rPr>
                <w:szCs w:val="24"/>
              </w:rPr>
            </w:pPr>
            <w:r w:rsidRPr="00CC7D67">
              <w:t xml:space="preserve">La Commission </w:t>
            </w:r>
            <w:r w:rsidRPr="00CC7D67">
              <w:rPr>
                <w:b/>
                <w:i/>
              </w:rPr>
              <w:t>ajuste</w:t>
            </w:r>
            <w:r w:rsidRPr="00CC7D67">
              <w:t xml:space="preserve"> le plafond avec effet à partir de </w:t>
            </w:r>
            <w:r w:rsidRPr="00CC7D67">
              <w:rPr>
                <w:b/>
                <w:i/>
              </w:rPr>
              <w:t>2021</w:t>
            </w:r>
            <w:r w:rsidRPr="00CC7D67">
              <w:t xml:space="preserve"> </w:t>
            </w:r>
            <w:r w:rsidRPr="00CC7D67">
              <w:rPr>
                <w:b/>
                <w:i/>
              </w:rPr>
              <w:t>afin de prendre en compte le passage du cycle d’essai NEDC au cycle WLTP et d’adapter davantage le présent règlement de manière à reconnaître les réductions vérifiables et certifiables des émissions de CO</w:t>
            </w:r>
            <w:r w:rsidRPr="00CC7D67">
              <w:rPr>
                <w:b/>
                <w:i/>
                <w:vertAlign w:val="subscript"/>
              </w:rPr>
              <w:t>2</w:t>
            </w:r>
            <w:r w:rsidRPr="00CC7D67">
              <w:rPr>
                <w:b/>
                <w:i/>
              </w:rPr>
              <w:t xml:space="preserve"> dans le cycle de vie des carburants synthétiques et de substitution avancés grâce à des crédits spécifiques</w:t>
            </w:r>
            <w:r w:rsidRPr="00CC7D67">
              <w:t>. Ces ajustements sont effectués au moyen d’actes délégués conformément à l’article 16.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 réduction des émissions provenant des carburants synthétiques et de substitution doit être reconnue pour encourager le déploiement de ces carburants en vue de réduire les émissions.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381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1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La Commission </w:t>
            </w:r>
            <w:r w:rsidRPr="00CC7D67">
              <w:rPr>
                <w:b/>
                <w:i/>
              </w:rPr>
              <w:t>peut ajuster</w:t>
            </w:r>
            <w:r w:rsidRPr="00CC7D67">
              <w:t xml:space="preserve"> le plafond avec effet à partir de </w:t>
            </w:r>
            <w:r w:rsidRPr="00CC7D67">
              <w:rPr>
                <w:b/>
                <w:i/>
              </w:rPr>
              <w:t>2025</w:t>
            </w:r>
            <w:r w:rsidRPr="00CC7D67">
              <w:t>. Ces ajustements sont effectués au moyen d’actes délégués conformément à l’article 16.</w:t>
            </w:r>
          </w:p>
        </w:tc>
        <w:tc>
          <w:tcPr>
            <w:tcW w:w="4876" w:type="dxa"/>
            <w:hideMark/>
          </w:tcPr>
          <w:p w:rsidR="00B0509C" w:rsidRPr="00CC7D67" w:rsidRDefault="00B0509C" w:rsidP="00B0509C">
            <w:pPr>
              <w:pStyle w:val="Normal6"/>
              <w:rPr>
                <w:szCs w:val="24"/>
              </w:rPr>
            </w:pPr>
            <w:r w:rsidRPr="00CC7D67">
              <w:t xml:space="preserve">La Commission </w:t>
            </w:r>
            <w:r w:rsidRPr="00CC7D67">
              <w:rPr>
                <w:b/>
                <w:i/>
              </w:rPr>
              <w:t>ajuste</w:t>
            </w:r>
            <w:r w:rsidRPr="00CC7D67">
              <w:t xml:space="preserve"> le plafond avec effet à partir de </w:t>
            </w:r>
            <w:r w:rsidRPr="00CC7D67">
              <w:rPr>
                <w:b/>
                <w:i/>
              </w:rPr>
              <w:t>2021, afin d’incorporer le nouveau calcul de la procédure d’essai WLTP</w:t>
            </w:r>
            <w:r w:rsidRPr="00CC7D67">
              <w:t>. Ces ajustements sont effectués au moyen d’actes délégués conformément à l’article 16.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382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1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La Commission </w:t>
            </w:r>
            <w:r w:rsidRPr="00CC7D67">
              <w:rPr>
                <w:b/>
                <w:i/>
              </w:rPr>
              <w:t>peut ajuster</w:t>
            </w:r>
            <w:r w:rsidRPr="00CC7D67">
              <w:t xml:space="preserve"> le plafond avec effet à partir de </w:t>
            </w:r>
            <w:r w:rsidRPr="00CC7D67">
              <w:rPr>
                <w:b/>
                <w:i/>
              </w:rPr>
              <w:t>2025</w:t>
            </w:r>
            <w:r w:rsidRPr="00CC7D67">
              <w:t>. Ces ajustements sont effectués au moyen d’actes délégués conformément à l’article 16.</w:t>
            </w:r>
          </w:p>
        </w:tc>
        <w:tc>
          <w:tcPr>
            <w:tcW w:w="4876" w:type="dxa"/>
            <w:hideMark/>
          </w:tcPr>
          <w:p w:rsidR="00B0509C" w:rsidRPr="00CC7D67" w:rsidRDefault="00B0509C" w:rsidP="00B0509C">
            <w:pPr>
              <w:pStyle w:val="Normal6"/>
              <w:rPr>
                <w:szCs w:val="24"/>
              </w:rPr>
            </w:pPr>
            <w:r w:rsidRPr="00CC7D67">
              <w:t xml:space="preserve">La Commission </w:t>
            </w:r>
            <w:r w:rsidRPr="00CC7D67">
              <w:rPr>
                <w:b/>
                <w:i/>
              </w:rPr>
              <w:t>ajuste</w:t>
            </w:r>
            <w:r w:rsidRPr="00CC7D67">
              <w:t xml:space="preserve"> le plafond avec effet à partir de </w:t>
            </w:r>
            <w:r w:rsidRPr="00CC7D67">
              <w:rPr>
                <w:b/>
                <w:i/>
              </w:rPr>
              <w:t>2021</w:t>
            </w:r>
            <w:r w:rsidRPr="00CC7D67">
              <w:t xml:space="preserve"> </w:t>
            </w:r>
            <w:r w:rsidRPr="00CC7D67">
              <w:rPr>
                <w:b/>
                <w:i/>
              </w:rPr>
              <w:t>pour tenir compte du passage à la procédure d’essai WLTP</w:t>
            </w:r>
            <w:r w:rsidRPr="00CC7D67">
              <w:t>. Ces ajustements sont effectués au moyen d’actes délégués conformément à l’article 16.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Les valeurs WLTP étant supérieures aux valeurs NEDC, il convient d’ajuster le plafond.</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383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1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La Commission peut ajuster le plafond avec effet à partir de 2025. Ces ajustements sont effectués au moyen d’actes délégués conformément à l’article 16.</w:t>
            </w:r>
          </w:p>
        </w:tc>
        <w:tc>
          <w:tcPr>
            <w:tcW w:w="4876" w:type="dxa"/>
            <w:hideMark/>
          </w:tcPr>
          <w:p w:rsidR="00B0509C" w:rsidRPr="00CC7D67" w:rsidRDefault="00B0509C" w:rsidP="00B0509C">
            <w:pPr>
              <w:pStyle w:val="Normal6"/>
              <w:rPr>
                <w:szCs w:val="24"/>
              </w:rPr>
            </w:pPr>
            <w:r w:rsidRPr="00CC7D67">
              <w:t xml:space="preserve">La Commission peut ajuster le plafond </w:t>
            </w:r>
            <w:r w:rsidRPr="00CC7D67">
              <w:rPr>
                <w:b/>
                <w:i/>
              </w:rPr>
              <w:t>à la baisse</w:t>
            </w:r>
            <w:r w:rsidRPr="00CC7D67">
              <w:t xml:space="preserve"> avec effet à partir de 2025. Ces ajustements sont effectués au moyen d’actes délégués conformément à l’article 16.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Il convient d’indiquer clairement que seul un ajustement à la baisse du plafond est permis en vue d’éviter d’éventuelles failles susceptibles d’accroître la part des éco-innovations.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384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1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La Commission peut ajuster le plafond avec effet à partir de 2025. Ces ajustements sont effectués au moyen d’actes délégués conformément à l’article 16.</w:t>
            </w:r>
          </w:p>
        </w:tc>
        <w:tc>
          <w:tcPr>
            <w:tcW w:w="4876" w:type="dxa"/>
            <w:hideMark/>
          </w:tcPr>
          <w:p w:rsidR="00B0509C" w:rsidRPr="00CC7D67" w:rsidRDefault="00B0509C" w:rsidP="00B0509C">
            <w:pPr>
              <w:pStyle w:val="Normal6"/>
              <w:rPr>
                <w:szCs w:val="24"/>
              </w:rPr>
            </w:pPr>
            <w:r w:rsidRPr="00CC7D67">
              <w:t xml:space="preserve">La Commission peut ajuster le plafond </w:t>
            </w:r>
            <w:r w:rsidRPr="00CC7D67">
              <w:rPr>
                <w:b/>
                <w:i/>
              </w:rPr>
              <w:t>à la baisse</w:t>
            </w:r>
            <w:r w:rsidRPr="00CC7D67">
              <w:t xml:space="preserve"> avec effet à partir de 2025. Ces ajustements sont effectués au moyen d’actes délégués conformément à l’article 16.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385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Norbert Lins,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2 – point d</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d)</w:t>
            </w:r>
            <w:r w:rsidRPr="00CC7D67">
              <w:tab/>
              <w:t>les technologies innovantes ne doivent pas être couvertes par des dispositions contraignantes liées à des mesures additionnelles conformes à la réduction de 10 g de CO</w:t>
            </w:r>
            <w:r w:rsidRPr="00CC7D67">
              <w:rPr>
                <w:vertAlign w:val="subscript"/>
              </w:rPr>
              <w:t>2</w:t>
            </w:r>
            <w:r w:rsidRPr="00CC7D67">
              <w:t>/km visée à l’article 1</w:t>
            </w:r>
            <w:r w:rsidRPr="00CC7D67">
              <w:rPr>
                <w:vertAlign w:val="superscript"/>
              </w:rPr>
              <w:t>er</w:t>
            </w:r>
            <w:r w:rsidRPr="00CC7D67">
              <w:t xml:space="preserve"> ou revêtir un caractère obligatoire au titre d’autres dispositions de la législation de l’Union. </w:t>
            </w:r>
            <w:r w:rsidRPr="00CC7D67">
              <w:rPr>
                <w:b/>
                <w:i/>
              </w:rPr>
              <w:t>Avec effet au 1</w:t>
            </w:r>
            <w:r w:rsidRPr="00CC7D67">
              <w:rPr>
                <w:b/>
                <w:i/>
                <w:vertAlign w:val="superscript"/>
              </w:rPr>
              <w:t>er</w:t>
            </w:r>
            <w:r w:rsidRPr="00CC7D67">
              <w:rPr>
                <w:b/>
                <w:i/>
              </w:rPr>
              <w:t> janvier 2025,</w:t>
            </w:r>
            <w:r w:rsidRPr="00CC7D67">
              <w:t xml:space="preserve"> ce critère ne s’applique pas en ce qui concerne les améliorations de l’efficacité pour les systèmes de climatisation.</w:t>
            </w:r>
          </w:p>
        </w:tc>
        <w:tc>
          <w:tcPr>
            <w:tcW w:w="4876" w:type="dxa"/>
            <w:hideMark/>
          </w:tcPr>
          <w:p w:rsidR="00B0509C" w:rsidRPr="00CC7D67" w:rsidRDefault="00B0509C" w:rsidP="00B0509C">
            <w:pPr>
              <w:pStyle w:val="Normal6"/>
              <w:rPr>
                <w:szCs w:val="24"/>
              </w:rPr>
            </w:pPr>
            <w:r w:rsidRPr="00CC7D67">
              <w:t>d)</w:t>
            </w:r>
            <w:r w:rsidRPr="00CC7D67">
              <w:tab/>
              <w:t>les technologies innovantes ne doivent pas être couvertes par des dispositions contraignantes liées à des mesures additionnelles conformes à la réduction de 10 g de CO</w:t>
            </w:r>
            <w:r w:rsidRPr="00CC7D67">
              <w:rPr>
                <w:vertAlign w:val="subscript"/>
              </w:rPr>
              <w:t>2</w:t>
            </w:r>
            <w:r w:rsidRPr="00CC7D67">
              <w:t>/km visée à l’article 1</w:t>
            </w:r>
            <w:r w:rsidRPr="00CC7D67">
              <w:rPr>
                <w:vertAlign w:val="superscript"/>
              </w:rPr>
              <w:t>er</w:t>
            </w:r>
            <w:r w:rsidRPr="00CC7D67">
              <w:t xml:space="preserve"> ou revêtir un caractère obligatoire au titre d’autres dispositions de la législation de l’Union. Ce critère ne s’applique pas en ce qui concerne les améliorations de l’efficacité pour les systèmes de climatisation.</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Des systèmes de climatisation efficaces contribuent à une réduction sensible des émissions de CO</w:t>
      </w:r>
      <w:r w:rsidRPr="00CC7D67">
        <w:rPr>
          <w:noProof w:val="0"/>
          <w:vertAlign w:val="subscript"/>
        </w:rPr>
        <w:t>2</w:t>
      </w:r>
      <w:r w:rsidRPr="00CC7D67">
        <w:rPr>
          <w:noProof w:val="0"/>
        </w:rPr>
        <w:t xml:space="preserve"> et de la consommation de carburant. Il convient, par conséquent, de les reconnaître immédiatement en tant qu’éco-innovation.</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386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Ulrike Müller, Gesine Meissner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11 – paragraphe 2 – point d</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d)</w:t>
            </w:r>
            <w:r w:rsidRPr="00CC7D67">
              <w:tab/>
              <w:t>les technologies innovantes ne doivent pas être couvertes par des dispositions contraignantes liées à des mesures additionnelles conformes à la réduction de 10 g de CO</w:t>
            </w:r>
            <w:r w:rsidRPr="00CC7D67">
              <w:rPr>
                <w:vertAlign w:val="subscript"/>
              </w:rPr>
              <w:t>2</w:t>
            </w:r>
            <w:r w:rsidRPr="00CC7D67">
              <w:t>/km visée à l’article 1</w:t>
            </w:r>
            <w:r w:rsidRPr="00CC7D67">
              <w:rPr>
                <w:vertAlign w:val="superscript"/>
              </w:rPr>
              <w:t>er</w:t>
            </w:r>
            <w:r w:rsidRPr="00CC7D67">
              <w:t xml:space="preserve"> ou revêtir un caractère obligatoire au titre d’autres dispositions de la législation de l’Union. </w:t>
            </w:r>
            <w:r w:rsidRPr="00CC7D67">
              <w:rPr>
                <w:b/>
                <w:i/>
              </w:rPr>
              <w:t>Avec effet au 1</w:t>
            </w:r>
            <w:r w:rsidRPr="00CC7D67">
              <w:rPr>
                <w:b/>
                <w:i/>
                <w:vertAlign w:val="superscript"/>
              </w:rPr>
              <w:t>er</w:t>
            </w:r>
            <w:r w:rsidRPr="00CC7D67">
              <w:rPr>
                <w:b/>
                <w:i/>
              </w:rPr>
              <w:t> janvier 2025,</w:t>
            </w:r>
            <w:r w:rsidRPr="00CC7D67">
              <w:t xml:space="preserve"> ce critère ne s’applique pas en ce qui concerne les améliorations de l’efficacité pour les systèmes de climatisation.</w:t>
            </w:r>
          </w:p>
        </w:tc>
        <w:tc>
          <w:tcPr>
            <w:tcW w:w="4876" w:type="dxa"/>
            <w:hideMark/>
          </w:tcPr>
          <w:p w:rsidR="00B0509C" w:rsidRPr="00CC7D67" w:rsidRDefault="00B0509C" w:rsidP="00B0509C">
            <w:pPr>
              <w:pStyle w:val="Normal6"/>
              <w:rPr>
                <w:szCs w:val="24"/>
              </w:rPr>
            </w:pPr>
            <w:r w:rsidRPr="00CC7D67">
              <w:t>d)</w:t>
            </w:r>
            <w:r w:rsidRPr="00CC7D67">
              <w:tab/>
              <w:t>les technologies innovantes ne doivent pas être couvertes par des dispositions contraignantes liées à des mesures additionnelles conformes à la réduction de 10 g de CO</w:t>
            </w:r>
            <w:r w:rsidRPr="00CC7D67">
              <w:rPr>
                <w:vertAlign w:val="subscript"/>
              </w:rPr>
              <w:t>2</w:t>
            </w:r>
            <w:r w:rsidRPr="00CC7D67">
              <w:t>/km visée à l’article 1</w:t>
            </w:r>
            <w:r w:rsidRPr="00CC7D67">
              <w:rPr>
                <w:vertAlign w:val="superscript"/>
              </w:rPr>
              <w:t>er</w:t>
            </w:r>
            <w:r w:rsidRPr="00CC7D67">
              <w:t xml:space="preserve"> ou revêtir un caractère obligatoire au titre d’autres dispositions de la législation de l’Union. Ce critère ne s’applique pas en ce qui concerne les améliorations de l’efficacité pour les systèmes de climatisation </w:t>
            </w:r>
            <w:r w:rsidRPr="00CC7D67">
              <w:rPr>
                <w:b/>
                <w:i/>
              </w:rPr>
              <w:t>ou de chauffage</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387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La Commission surveille et évalue la représentativité en conditions d’utilisation réelles des valeurs d’émissions de CO</w:t>
            </w:r>
            <w:r w:rsidRPr="00CC7D67">
              <w:rPr>
                <w:vertAlign w:val="subscript"/>
              </w:rPr>
              <w:t>2</w:t>
            </w:r>
            <w:r w:rsidRPr="00CC7D67">
              <w:t xml:space="preserve"> et de consommation d’énergie déterminées conformément au règlement (UE) 2017/1151. Elle veille à ce que le public soit informé de la manière dont </w:t>
            </w:r>
            <w:r w:rsidRPr="00CC7D67">
              <w:rPr>
                <w:b/>
                <w:i/>
              </w:rPr>
              <w:t>cette</w:t>
            </w:r>
            <w:r w:rsidRPr="00CC7D67">
              <w:t xml:space="preserve"> représentativité évolue dans le temps.</w:t>
            </w:r>
          </w:p>
        </w:tc>
        <w:tc>
          <w:tcPr>
            <w:tcW w:w="4876" w:type="dxa"/>
            <w:hideMark/>
          </w:tcPr>
          <w:p w:rsidR="00B0509C" w:rsidRPr="00CC7D67" w:rsidRDefault="00B0509C" w:rsidP="00B0509C">
            <w:pPr>
              <w:pStyle w:val="Normal6"/>
              <w:rPr>
                <w:szCs w:val="24"/>
              </w:rPr>
            </w:pPr>
            <w:r w:rsidRPr="00CC7D67">
              <w:t>1.</w:t>
            </w:r>
            <w:r w:rsidRPr="00CC7D67">
              <w:tab/>
              <w:t>La Commission surveille et évalue la représentativité en conditions d’utilisation réelles des valeurs d’émissions de CO</w:t>
            </w:r>
            <w:r w:rsidRPr="00CC7D67">
              <w:rPr>
                <w:vertAlign w:val="subscript"/>
              </w:rPr>
              <w:t>2</w:t>
            </w:r>
            <w:r w:rsidRPr="00CC7D67">
              <w:t xml:space="preserve"> et de consommation d’énergie déterminées conformément au règlement (UE) 2017/1151 </w:t>
            </w:r>
            <w:r w:rsidRPr="00CC7D67">
              <w:rPr>
                <w:b/>
                <w:i/>
              </w:rPr>
              <w:t>et, à partir de 2022, les essais concernant les émissions en conditions de conduite réelles grâce à un système prédictif de surveillance des émissions (SPSE)</w:t>
            </w:r>
            <w:r w:rsidRPr="00CC7D67">
              <w:t xml:space="preserve">. Elle veille à ce que le public soit informé de la manière dont </w:t>
            </w:r>
            <w:r w:rsidRPr="00CC7D67">
              <w:rPr>
                <w:b/>
                <w:i/>
              </w:rPr>
              <w:t>la</w:t>
            </w:r>
            <w:r w:rsidRPr="00CC7D67">
              <w:t xml:space="preserve"> représentativité </w:t>
            </w:r>
            <w:r w:rsidRPr="00CC7D67">
              <w:rPr>
                <w:b/>
                <w:i/>
              </w:rPr>
              <w:t>de ces essais</w:t>
            </w:r>
            <w:r w:rsidRPr="00CC7D67">
              <w:t xml:space="preserve"> évolue dans le temps </w:t>
            </w:r>
            <w:r w:rsidRPr="00CC7D67">
              <w:rPr>
                <w:b/>
                <w:i/>
              </w:rPr>
              <w:t>pour la totalité du parc de l’Union, pour chaque constructeur ou groupe de constructeurs et pour chaque type de véhicule</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388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bis.</w:t>
            </w:r>
            <w:r w:rsidRPr="00CC7D67">
              <w:rPr>
                <w:b/>
                <w:i/>
              </w:rPr>
              <w:tab/>
              <w:t>En vue de garantir la représentativité des émissions de CO</w:t>
            </w:r>
            <w:r w:rsidRPr="00CC7D67">
              <w:rPr>
                <w:b/>
                <w:i/>
                <w:vertAlign w:val="subscript"/>
              </w:rPr>
              <w:t>2</w:t>
            </w:r>
            <w:r w:rsidRPr="00CC7D67">
              <w:rPr>
                <w:b/>
                <w:i/>
              </w:rPr>
              <w:t xml:space="preserve"> déterminées conformément au règlement (UE) 2017/1151 et de veiller à ce que les émissions de CO</w:t>
            </w:r>
            <w:r w:rsidRPr="00CC7D67">
              <w:rPr>
                <w:b/>
                <w:i/>
                <w:vertAlign w:val="subscript"/>
              </w:rPr>
              <w:t>2</w:t>
            </w:r>
            <w:r w:rsidRPr="00CC7D67">
              <w:rPr>
                <w:b/>
                <w:i/>
              </w:rPr>
              <w:t xml:space="preserve"> en conditions de conduite réelle et la consommation énergétique du parc de véhicules correspondent aux réductions d’émissions de gaz à effet de serre visées par le présent règlement, la Commission détermine la différence de pourcentage entre les émissions spécifiques de CO</w:t>
            </w:r>
            <w:r w:rsidRPr="00CC7D67">
              <w:rPr>
                <w:b/>
                <w:i/>
                <w:vertAlign w:val="subscript"/>
              </w:rPr>
              <w:t>2</w:t>
            </w:r>
            <w:r w:rsidRPr="00CC7D67">
              <w:rPr>
                <w:b/>
                <w:i/>
              </w:rPr>
              <w:t xml:space="preserve"> du constructeur mesurées lors de la réception par type ainsi que les données relatives aux émissions moyennes de CO</w:t>
            </w:r>
            <w:r w:rsidRPr="00CC7D67">
              <w:rPr>
                <w:b/>
                <w:i/>
                <w:vertAlign w:val="subscript"/>
              </w:rPr>
              <w:t>2</w:t>
            </w:r>
            <w:r w:rsidRPr="00CC7D67">
              <w:rPr>
                <w:b/>
                <w:i/>
              </w:rPr>
              <w:t xml:space="preserve"> provenant des compteurs de consommation de carburant installés dans les véhicules particuliers et les véhicules utilitaires légers vendus en 2021, et surveille l’évolution par la suite. Si cette différence dépasse les valeurs de 2021 les années suivantes, la Commission est habilitée à adopter des actes délégués conformément à l’article 16 pour modifier le présent règlement en adaptant, à partir des informations réunies au titre du présent article, les objectifs à l’échelle du parc de l’Union visés à l’article 1</w:t>
            </w:r>
            <w:r w:rsidRPr="00CC7D67">
              <w:rPr>
                <w:b/>
                <w:i/>
                <w:vertAlign w:val="superscript"/>
              </w:rPr>
              <w:t>er</w:t>
            </w:r>
            <w:r w:rsidRPr="00CC7D67">
              <w:rPr>
                <w:b/>
                <w:i/>
              </w:rPr>
              <w:t xml:space="preserve"> pour refléter tout écart dans les émissions dans les conditions d’utilisation réelles.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 différence croissante entre les valeurs des émissions de CO</w:t>
      </w:r>
      <w:r w:rsidRPr="00CC7D67">
        <w:rPr>
          <w:noProof w:val="0"/>
          <w:vertAlign w:val="subscript"/>
        </w:rPr>
        <w:t>2</w:t>
      </w:r>
      <w:r w:rsidRPr="00CC7D67">
        <w:rPr>
          <w:noProof w:val="0"/>
        </w:rPr>
        <w:t xml:space="preserve"> des cycles d’essai et les valeurs en conduite réelle compromet l’efficacité du présent règlement. Le passage d’un cycle d’essai de type NEDC à un cycle de type WLTP devrait produire des valeurs d’émissions de CO</w:t>
      </w:r>
      <w:r w:rsidRPr="00CC7D67">
        <w:rPr>
          <w:noProof w:val="0"/>
          <w:vertAlign w:val="subscript"/>
        </w:rPr>
        <w:t>2</w:t>
      </w:r>
      <w:r w:rsidRPr="00CC7D67">
        <w:rPr>
          <w:noProof w:val="0"/>
        </w:rPr>
        <w:t xml:space="preserve"> plus représentatives lors de la réception. Il importe cependant de garantir que les différences entre la procédure d’essai et les conditions réelles d’utilisation n’augmentent pas. En vue de garantir la fiabilité du présent règlement et la réalisation des réductions d’émissions recherchées, il convient, en cas de hausse de ces différences, d’adapter en conséquence les objectifs en matière d’émissions de CO</w:t>
      </w:r>
      <w:r w:rsidRPr="00CC7D67">
        <w:rPr>
          <w:noProof w:val="0"/>
          <w:vertAlign w:val="subscript"/>
        </w:rPr>
        <w:t>2</w:t>
      </w:r>
      <w:r w:rsidRPr="00CC7D67">
        <w:rPr>
          <w:noProof w:val="0"/>
        </w:rPr>
        <w: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389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José Inácio Faria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bis.</w:t>
            </w:r>
            <w:r w:rsidRPr="00CC7D67">
              <w:rPr>
                <w:b/>
                <w:i/>
              </w:rPr>
              <w:tab/>
              <w:t>Afin de garantir la représentativité des valeurs d’émissions de CO</w:t>
            </w:r>
            <w:r w:rsidRPr="00CC7D67">
              <w:rPr>
                <w:b/>
                <w:i/>
                <w:vertAlign w:val="subscript"/>
              </w:rPr>
              <w:t>2</w:t>
            </w:r>
            <w:r w:rsidRPr="00CC7D67">
              <w:t xml:space="preserve"> </w:t>
            </w:r>
            <w:r w:rsidRPr="00CC7D67">
              <w:rPr>
                <w:b/>
                <w:i/>
              </w:rPr>
              <w:t>et de consommation d’énergie déterminées conformément au règlement (UE) 2017/1151, la Commission fixe une limite à ne pas dépasser pour chaque constructeur, applicable à partir de 2025. Les limites à ne pas dépasser sont calculées en tant qu’écart moyen en pourcentage entre les émissions spécifiques de CO</w:t>
            </w:r>
            <w:r w:rsidRPr="00CC7D67">
              <w:rPr>
                <w:b/>
                <w:i/>
                <w:vertAlign w:val="subscript"/>
              </w:rPr>
              <w:t>2</w:t>
            </w:r>
            <w:r w:rsidRPr="00CC7D67">
              <w:t xml:space="preserve"> </w:t>
            </w:r>
            <w:r w:rsidRPr="00CC7D67">
              <w:rPr>
                <w:b/>
                <w:i/>
              </w:rPr>
              <w:t>du constructeur mesurées lors de la réception par type et les données relatives aux émissions moyennes de CO</w:t>
            </w:r>
            <w:r w:rsidRPr="00CC7D67">
              <w:rPr>
                <w:b/>
                <w:i/>
                <w:vertAlign w:val="subscript"/>
              </w:rPr>
              <w:t>2</w:t>
            </w:r>
            <w:r w:rsidRPr="00CC7D67">
              <w:t xml:space="preserve"> </w:t>
            </w:r>
            <w:r w:rsidRPr="00CC7D67">
              <w:rPr>
                <w:b/>
                <w:i/>
              </w:rPr>
              <w:t>provenant des compteurs de consommation de carburant installés sur les voitures particulières et les véhicules utilitaires légers, conformément au nouveau règlement relatif à la procédure d’essai harmonisée au niveau mondial pour les véhicules légers, et vendus en 2021.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L’écart des émissions de CO</w:t>
      </w:r>
      <w:r w:rsidRPr="00CC7D67">
        <w:rPr>
          <w:noProof w:val="0"/>
          <w:vertAlign w:val="subscript"/>
        </w:rPr>
        <w:t>2</w:t>
      </w:r>
      <w:r w:rsidRPr="00CC7D67">
        <w:rPr>
          <w:noProof w:val="0"/>
        </w:rPr>
        <w:t xml:space="preserve"> et du rendement énergétique entre la réception par type et les conditions réelles dépasse actuellement les 40 %, ce qui constitue l’échec le plus cuisant des réglementations actuelles. Si le passage au nouveau type d’essais en laboratoire promet d’apporter certains avantages, les analyses démontrent qu’en l’absence de mesures supplémentaires, cet écart recommencera à se creuser après 2020. Pour éviter la résurgence de ce problème, il convient de contrôler également les émissions en conditions de conduite réelles des nouveaux véhicules en établissant une marge par rapport aux résultats des émissions mesurées lors de la réception par type, marge qui ne pourra pas être dépassée. Des essais concernant les émissions en conditions de conduite réelles ou l’installation de compteurs de consommation de carburant devraient être prévus afin de garantir la conformité.</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390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bis.</w:t>
            </w:r>
            <w:r w:rsidRPr="00CC7D67">
              <w:rPr>
                <w:b/>
                <w:i/>
              </w:rPr>
              <w:tab/>
              <w:t>Afin de garantir la représentativité des valeurs d’émissions de CO</w:t>
            </w:r>
            <w:r w:rsidRPr="00CC7D67">
              <w:rPr>
                <w:b/>
                <w:i/>
                <w:vertAlign w:val="subscript"/>
              </w:rPr>
              <w:t>2</w:t>
            </w:r>
            <w:r w:rsidRPr="00CC7D67">
              <w:rPr>
                <w:b/>
                <w:i/>
              </w:rPr>
              <w:t xml:space="preserve"> et de consommation d’énergie déterminées conformément au règlement (UE) 2017/1151, la Commission fixe une limite à ne pas dépasser pour chaque constructeur, applicable à partir de 2025. Cette limite à ne pas dépasser est calculée en tant qu’écart moyen en pourcentage entre les émissions de CO</w:t>
            </w:r>
            <w:r w:rsidRPr="00CC7D67">
              <w:rPr>
                <w:b/>
                <w:i/>
                <w:vertAlign w:val="subscript"/>
              </w:rPr>
              <w:t>2</w:t>
            </w:r>
            <w:r w:rsidRPr="00CC7D67">
              <w:rPr>
                <w:b/>
                <w:i/>
              </w:rPr>
              <w:t xml:space="preserve"> spécifiques d’un constructeur mesurées lors de la réception par type et les émissions moyennes de CO</w:t>
            </w:r>
            <w:r w:rsidRPr="00CC7D67">
              <w:rPr>
                <w:b/>
                <w:i/>
                <w:vertAlign w:val="subscript"/>
              </w:rPr>
              <w:t>2</w:t>
            </w:r>
            <w:r w:rsidRPr="00CC7D67">
              <w:rPr>
                <w:b/>
                <w:i/>
              </w:rPr>
              <w:t xml:space="preserve"> mesurées en conditions de conduite réelles de leurs véhicules particuliers et véhicules utilitaires légers vendus en 2021.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391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Karl-Heinz Florenz, Peter Liese, Annie Schreijer-Pierik, Mairead McGuinness, Luděk Niedermayer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bis.</w:t>
            </w:r>
            <w:r w:rsidRPr="00CC7D67">
              <w:rPr>
                <w:b/>
                <w:i/>
              </w:rPr>
              <w:tab/>
              <w:t>La Commission évalue, d’ici 2024, la faisabilité d’un essai visant à mesurer les émissions de CO</w:t>
            </w:r>
            <w:r w:rsidRPr="00CC7D67">
              <w:rPr>
                <w:b/>
                <w:i/>
                <w:vertAlign w:val="subscript"/>
              </w:rPr>
              <w:t>2</w:t>
            </w:r>
            <w:r w:rsidRPr="00CC7D67">
              <w:rPr>
                <w:b/>
                <w:i/>
              </w:rPr>
              <w:t xml:space="preserve"> en conditions réelles en vue de garantir la représentativité visée au paragraphe 1 ainsi que la conformité des mesures. Si la faisabilité de ce type d’essai est avérée, la Commission est habilitée à adopter des actes délégués conformément à l’article 16 afin de compléter le présent règlement avec un essai mesurant les émissions de CO</w:t>
            </w:r>
            <w:r w:rsidRPr="00CC7D67">
              <w:rPr>
                <w:b/>
                <w:i/>
                <w:vertAlign w:val="subscript"/>
              </w:rPr>
              <w:t>2</w:t>
            </w:r>
            <w:r w:rsidRPr="00CC7D67">
              <w:rPr>
                <w:b/>
                <w:i/>
              </w:rPr>
              <w:t xml:space="preserve"> en conditions de conduite réelles.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Il existe un écart d’environ 40 % entre les émissions de CO</w:t>
      </w:r>
      <w:r w:rsidRPr="00CC7D67">
        <w:rPr>
          <w:noProof w:val="0"/>
          <w:vertAlign w:val="subscript"/>
        </w:rPr>
        <w:t>2</w:t>
      </w:r>
      <w:r w:rsidRPr="00CC7D67">
        <w:rPr>
          <w:noProof w:val="0"/>
        </w:rPr>
        <w:t xml:space="preserve"> des véhicules mesurées en laboratoire et leurs émissions réelles sur route. Un protocole d’essai </w:t>
      </w:r>
      <w:r w:rsidR="00121CF8">
        <w:rPr>
          <w:noProof w:val="0"/>
        </w:rPr>
        <w:t>en conditions de conduite réelles</w:t>
      </w:r>
      <w:r w:rsidRPr="00CC7D67">
        <w:rPr>
          <w:noProof w:val="0"/>
        </w:rPr>
        <w:t xml:space="preserve"> est une option qui pourrait permettre de résoudre ce problème et de contrôler l’écart. La faisabilité est toutefois incertaine, en raison de la variabilité élevée des émissions de CO</w:t>
      </w:r>
      <w:r w:rsidRPr="00CC7D67">
        <w:rPr>
          <w:noProof w:val="0"/>
          <w:vertAlign w:val="subscript"/>
        </w:rPr>
        <w:t>2</w:t>
      </w:r>
      <w:r w:rsidRPr="00CC7D67">
        <w:rPr>
          <w:noProof w:val="0"/>
        </w:rPr>
        <w:t xml:space="preserve"> en conditions réelles (par exemple à cause du comportement au volant). La Commission devrait réaliser une étude de faisabilité pour déterminer si un essai </w:t>
      </w:r>
      <w:r w:rsidR="00121CF8">
        <w:rPr>
          <w:noProof w:val="0"/>
        </w:rPr>
        <w:t>en conditions de conduite réelles</w:t>
      </w:r>
      <w:r w:rsidRPr="00CC7D67">
        <w:rPr>
          <w:noProof w:val="0"/>
        </w:rPr>
        <w:t>, tel qu’il existe pour les oxydes d’azote, est applicable aux émissions de CO</w:t>
      </w:r>
      <w:r w:rsidRPr="00CC7D67">
        <w:rPr>
          <w:noProof w:val="0"/>
          <w:vertAlign w:val="subscript"/>
        </w:rPr>
        <w:t>2</w:t>
      </w:r>
      <w:r w:rsidRPr="00CC7D67">
        <w:rPr>
          <w:noProof w:val="0"/>
        </w:rPr>
        <w: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392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Tiemo Wölken, Ismail Ertug</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bis.</w:t>
            </w:r>
            <w:r w:rsidRPr="00CC7D67">
              <w:rPr>
                <w:b/>
                <w:i/>
              </w:rPr>
              <w:tab/>
              <w:t>Pour assurer la représentativité visée au paragraphe 1, la conformité est mesurée au moyen d’une procédure de mesure des émissions de CO</w:t>
            </w:r>
            <w:r w:rsidRPr="00CC7D67">
              <w:rPr>
                <w:b/>
                <w:i/>
                <w:vertAlign w:val="subscript"/>
              </w:rPr>
              <w:t>2</w:t>
            </w:r>
            <w:r w:rsidRPr="00CC7D67">
              <w:rPr>
                <w:b/>
                <w:i/>
              </w:rPr>
              <w:t xml:space="preserve"> en conditions d’utilisation réelles. La Commission est habilitée à adopter des actes délégués conformément à l’article 16 afin de compléter le présent règlement en élaborant la procédure de mesure des émissions de CO</w:t>
            </w:r>
            <w:r w:rsidRPr="00CC7D67">
              <w:rPr>
                <w:b/>
                <w:i/>
                <w:vertAlign w:val="subscript"/>
              </w:rPr>
              <w:t>2</w:t>
            </w:r>
            <w:r w:rsidRPr="00CC7D67">
              <w:rPr>
                <w:b/>
                <w:i/>
              </w:rPr>
              <w:t xml:space="preserve"> en conditions d’utilisation réelles, au plus tard deux ans après la date d’application du présent règlement.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393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Michel Dantin, Françoise Grossetête, Angélique Delahaye</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bis.</w:t>
            </w:r>
            <w:r w:rsidRPr="00CC7D67">
              <w:rPr>
                <w:b/>
                <w:i/>
              </w:rPr>
              <w:tab/>
              <w:t>Aux fins du paragraphe précédent, la Commission évalue la possibilité d’introduire une procédure de tests visant à mesurer les émissions de CO</w:t>
            </w:r>
            <w:r w:rsidRPr="00CC7D67">
              <w:rPr>
                <w:b/>
                <w:i/>
                <w:vertAlign w:val="subscript"/>
              </w:rPr>
              <w:t>2</w:t>
            </w:r>
            <w:r w:rsidRPr="00CC7D67">
              <w:t xml:space="preserve"> </w:t>
            </w:r>
            <w:r w:rsidRPr="00CC7D67">
              <w:rPr>
                <w:b/>
                <w:i/>
              </w:rPr>
              <w:t>en situation réelle de conduite, au plus tard deux ans après l’entrée en vigueur du présent règlement. Si justifié, la Commission propose une telle procédure par voie d’acte délégué conformément à l’article 16.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{FR}</w:t>
      </w:r>
      <w:r w:rsidRPr="00CC7D67">
        <w:rPr>
          <w:noProof w:val="0"/>
        </w:rPr>
        <w:t>fr</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394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1 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ter.</w:t>
            </w:r>
            <w:r w:rsidRPr="00CC7D67">
              <w:rPr>
                <w:b/>
                <w:i/>
              </w:rPr>
              <w:tab/>
              <w:t>Aux fins de la mesure des émissions en conditions de conduite réelles conformément au précédent paragraphe, la Commission est habilitée à mettre au point, par voie d’actes délégués en vertu de l’article 16, une procédure d’essai visant à mesurer les émissions de CO</w:t>
            </w:r>
            <w:r w:rsidRPr="00CC7D67">
              <w:rPr>
                <w:b/>
                <w:i/>
                <w:vertAlign w:val="subscript"/>
              </w:rPr>
              <w:t>2</w:t>
            </w:r>
            <w:r w:rsidRPr="00CC7D67">
              <w:rPr>
                <w:b/>
                <w:i/>
              </w:rPr>
              <w:t xml:space="preserve"> en conditions réelles qui viendrait compléter les procédures établies au titre du règlement (CE) nº 715/2007. La Commission met au point cette procédure d’essai au plus tard le 31 décembre 2020.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L’écart entre les valeurs des émissions de CO</w:t>
      </w:r>
      <w:r w:rsidRPr="00CC7D67">
        <w:rPr>
          <w:noProof w:val="0"/>
          <w:vertAlign w:val="subscript"/>
        </w:rPr>
        <w:t>2</w:t>
      </w:r>
      <w:r w:rsidRPr="00CC7D67">
        <w:rPr>
          <w:noProof w:val="0"/>
        </w:rPr>
        <w:t xml:space="preserve"> officielles et réelles, dont l’ampleur est passée de 8 % en 2001 à 42 % en 2016, a des effets néfastes sur la société dans son ensemble. Le passage d’un cycle d’essai de type NEDC à un cycle de type WLTP devrait produire des chiffres d’émissions de CO</w:t>
      </w:r>
      <w:r w:rsidRPr="00CC7D67">
        <w:rPr>
          <w:noProof w:val="0"/>
          <w:vertAlign w:val="subscript"/>
        </w:rPr>
        <w:t>2</w:t>
      </w:r>
      <w:r w:rsidRPr="00CC7D67">
        <w:rPr>
          <w:noProof w:val="0"/>
        </w:rPr>
        <w:t xml:space="preserve"> plus représentatifs. Toutefois, la transition vers le cycle d’essai WLTP ne devrait pas permettre de combler entièrement cet écart. Par conséquent, il est essentiel d’introduire un essai </w:t>
      </w:r>
      <w:r w:rsidR="00121CF8">
        <w:rPr>
          <w:noProof w:val="0"/>
        </w:rPr>
        <w:t>en conditions de conduite réelles</w:t>
      </w:r>
      <w:r w:rsidRPr="00CC7D67">
        <w:rPr>
          <w:noProof w:val="0"/>
        </w:rPr>
        <w:t xml:space="preserve"> adapté aux émissions de CO</w:t>
      </w:r>
      <w:r w:rsidRPr="00CC7D67">
        <w:rPr>
          <w:noProof w:val="0"/>
          <w:vertAlign w:val="subscript"/>
        </w:rPr>
        <w:t>2</w:t>
      </w:r>
      <w:r w:rsidRPr="00CC7D67">
        <w:rPr>
          <w:noProof w:val="0"/>
        </w:rPr>
        <w:t xml:space="preserve"> en vue de garantir la fiabilité du règlement et d’atteindre les réductions de CO</w:t>
      </w:r>
      <w:r w:rsidRPr="00CC7D67">
        <w:rPr>
          <w:noProof w:val="0"/>
          <w:vertAlign w:val="subscript"/>
        </w:rPr>
        <w:t>2</w:t>
      </w:r>
      <w:r w:rsidRPr="00CC7D67">
        <w:rPr>
          <w:noProof w:val="0"/>
        </w:rPr>
        <w:t xml:space="preserve"> qu’il prévoit.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395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Tiemo Wölken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1 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ter.</w:t>
            </w:r>
            <w:r w:rsidRPr="00CC7D67">
              <w:rPr>
                <w:b/>
                <w:i/>
              </w:rPr>
              <w:tab/>
              <w:t>En attendant que la procédure de mesure des émissions de CO</w:t>
            </w:r>
            <w:r w:rsidRPr="00CC7D67">
              <w:rPr>
                <w:b/>
                <w:i/>
                <w:vertAlign w:val="subscript"/>
              </w:rPr>
              <w:t>2</w:t>
            </w:r>
            <w:r w:rsidRPr="00CC7D67">
              <w:rPr>
                <w:b/>
                <w:i/>
              </w:rPr>
              <w:t xml:space="preserve"> en conditions d’utilisation réelles devienne applicable, la conformité est mesurée sur la base des données des compteurs de consommation de carburant et soumise à une limite «à ne pas dépasser» (NTE) d’un maximum de 10 % au-dessus des émissions spécifiques de CO</w:t>
            </w:r>
            <w:r w:rsidRPr="00CC7D67">
              <w:rPr>
                <w:b/>
                <w:i/>
                <w:vertAlign w:val="subscript"/>
              </w:rPr>
              <w:t>2</w:t>
            </w:r>
            <w:r w:rsidRPr="00CC7D67">
              <w:rPr>
                <w:b/>
                <w:i/>
              </w:rPr>
              <w:t xml:space="preserve"> du constructeur qui sont mesurées aux fins des procédures de réception par type entamées à partir de 2021 conformément au règlement (CE) nº 715/2007.</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396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Ivo Belet</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2 bis.</w:t>
            </w:r>
            <w:r w:rsidRPr="00CC7D67">
              <w:rPr>
                <w:b/>
                <w:i/>
              </w:rPr>
              <w:tab/>
              <w:t>La Commission introduit en outre une limite à ne pas dépasser pour chaque constructeur, qui devra être appliquée à partir de 2025. Les limites à ne pas dépasser sont calculées en tant qu’écart moyen en pourcentage entre les émissions spécifiques de CO</w:t>
            </w:r>
            <w:r w:rsidRPr="00CC7D67">
              <w:rPr>
                <w:b/>
                <w:i/>
                <w:vertAlign w:val="subscript"/>
              </w:rPr>
              <w:t>2</w:t>
            </w:r>
            <w:r w:rsidRPr="00CC7D67">
              <w:rPr>
                <w:b/>
                <w:i/>
              </w:rPr>
              <w:t xml:space="preserve"> du constructeur mesurées lors de la réception par type et les données relatives aux émissions moyennes de CO</w:t>
            </w:r>
            <w:r w:rsidRPr="00CC7D67">
              <w:rPr>
                <w:b/>
                <w:i/>
                <w:vertAlign w:val="subscript"/>
              </w:rPr>
              <w:t>2</w:t>
            </w:r>
            <w:r w:rsidRPr="00CC7D67">
              <w:rPr>
                <w:b/>
                <w:i/>
              </w:rPr>
              <w:t xml:space="preserve"> provenant des compteurs de consommation de carburant installés sur les voitures particulières et les véhicules utilitaires légers, conformément au règlement (UE) 2018/XXX (nouveau WLTP, 2</w:t>
            </w:r>
            <w:r w:rsidRPr="00CC7D67">
              <w:rPr>
                <w:b/>
                <w:i/>
                <w:vertAlign w:val="superscript"/>
              </w:rPr>
              <w:t>e</w:t>
            </w:r>
            <w:r w:rsidRPr="00CC7D67">
              <w:rPr>
                <w:b/>
                <w:i/>
              </w:rPr>
              <w:t> acte), et vendus en 2021.</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Le constructeur garantit que les valeurs limites à ne pas dépasser sont respectées.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397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José Inácio Faria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2 bis.</w:t>
            </w:r>
            <w:r w:rsidRPr="00CC7D67">
              <w:rPr>
                <w:b/>
                <w:i/>
              </w:rPr>
              <w:tab/>
              <w:t>Pour mesurer, à l’avenir, les émissions en conditions de conduite réelles, la Commission évalue la possibilité d’introduire une procédure d’essai visant à mesurer les émissions de CO</w:t>
            </w:r>
            <w:r w:rsidRPr="00CC7D67">
              <w:rPr>
                <w:b/>
                <w:i/>
                <w:vertAlign w:val="subscript"/>
              </w:rPr>
              <w:t>2</w:t>
            </w:r>
            <w:r w:rsidRPr="00CC7D67">
              <w:rPr>
                <w:b/>
                <w:i/>
              </w:rPr>
              <w:t xml:space="preserve"> en conditions réelles et la met au point, le cas échéant, au plus tard le 31 décembre 2020, afin de compléter les procédures établies au titre du règlement (CE) nº 715/2007. Ces mesures sont adoptées par voie d’actes délégués conformément à l’article 16.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L’écart des émissions de CO</w:t>
      </w:r>
      <w:r w:rsidRPr="00CC7D67">
        <w:rPr>
          <w:noProof w:val="0"/>
          <w:vertAlign w:val="subscript"/>
        </w:rPr>
        <w:t>2</w:t>
      </w:r>
      <w:r w:rsidRPr="00CC7D67">
        <w:rPr>
          <w:noProof w:val="0"/>
        </w:rPr>
        <w:t xml:space="preserve"> et du rendement énergétique entre la réception par type et les conditions réelles dépasse actuellement les 40 %, ce qui constitue l’échec le plus cuisant des réglementations actuelles. Si le passage au nouveau type d’essais en laboratoire promet d’apporter certains avantages, les analyses démontrent qu’en l’absence de mesures supplémentaires, cet écart recommencera à se creuser après 2020. Pour éviter la résurgence de ce problème, il convient de contrôler également les émissions en conditions de conduite réelles des nouveaux véhicules en établissant une marge par rapport aux résultats des émissions mesurées lors de la réception par type, marge qui ne pourra pas être dépassée. Des essais concernant les émissions en conditions de conduite réelles ou l’installation de compteurs de consommation de carburant devraient être prévus afin de garantir la conformité.</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398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2 bis.</w:t>
            </w:r>
            <w:r w:rsidRPr="00CC7D67">
              <w:rPr>
                <w:b/>
                <w:i/>
              </w:rPr>
              <w:tab/>
              <w:t>Les constructeurs garantissent que les émissions spécifiques de CO</w:t>
            </w:r>
            <w:r w:rsidRPr="00CC7D67">
              <w:rPr>
                <w:b/>
                <w:i/>
                <w:vertAlign w:val="subscript"/>
              </w:rPr>
              <w:t>2</w:t>
            </w:r>
            <w:r w:rsidRPr="00CC7D67">
              <w:rPr>
                <w:b/>
                <w:i/>
              </w:rPr>
              <w:t xml:space="preserve"> en conditions réelles de leurs types de véhicules respectent la limite à ne pas dépasser à partir de 2025. En cas de dépassement de cette limite, les émissions spécifiques de CO</w:t>
            </w:r>
            <w:r w:rsidRPr="00CC7D67">
              <w:rPr>
                <w:b/>
                <w:i/>
                <w:vertAlign w:val="subscript"/>
              </w:rPr>
              <w:t>2</w:t>
            </w:r>
            <w:r w:rsidRPr="00CC7D67">
              <w:rPr>
                <w:b/>
                <w:i/>
              </w:rPr>
              <w:t xml:space="preserve"> utilisées aux fins de la conformité avec le présent règlement, en accord avec l’article 7, sont revues à la hausse en fonction du dépassement établi.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399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121CF8">
            <w:pPr>
              <w:pStyle w:val="Normal6"/>
              <w:rPr>
                <w:szCs w:val="24"/>
              </w:rPr>
            </w:pPr>
            <w:r w:rsidRPr="00CC7D67">
              <w:rPr>
                <w:b/>
                <w:i/>
              </w:rPr>
              <w:t>2 bis.</w:t>
            </w:r>
            <w:r w:rsidRPr="00CC7D67">
              <w:rPr>
                <w:b/>
                <w:i/>
              </w:rPr>
              <w:tab/>
              <w:t>La Commission devrait chercher à introduire un nouveau cycle d’essais concernant les émissions en conditions de conduite réelles qui soit capable de représenter les conditions réelles d’utilisation et d’éviter tout type d’incertitudes liées aux mesures en laboratoire. La Commission devrait mettre à disposition ce cycle d’essais d’ici à l’établissement des prochaines normes en matière de CO</w:t>
            </w:r>
            <w:r w:rsidRPr="00CC7D67">
              <w:rPr>
                <w:b/>
                <w:i/>
                <w:vertAlign w:val="subscript"/>
              </w:rPr>
              <w:t>2</w:t>
            </w:r>
            <w:r w:rsidRPr="00CC7D67">
              <w:rPr>
                <w:b/>
                <w:i/>
              </w:rPr>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Au vu des précédents exemples de non-conformité dans l’industrie automobile (par exemple le «Dieselgate»), sans transition vers des essais de mesure des émissions en conditions de conduite réelles, un niveau élevé d’incertitude persisterait quant aux résultats réels que peut atteindre le secteur dans son ensemble.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400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2 bis.</w:t>
            </w:r>
            <w:r w:rsidRPr="00CC7D67">
              <w:rPr>
                <w:b/>
                <w:i/>
              </w:rPr>
              <w:tab/>
              <w:t>En l’absence de normes appropriées concernant la précision du matériel de mesure de la consommation de carburant installé à bord, la Commission demande un accord sur les normes techniques et intègre ces normes au droit de l’Union au plus tard le 1</w:t>
            </w:r>
            <w:r w:rsidRPr="00CC7D67">
              <w:rPr>
                <w:b/>
                <w:i/>
                <w:vertAlign w:val="superscript"/>
              </w:rPr>
              <w:t>er</w:t>
            </w:r>
            <w:r w:rsidRPr="00CC7D67">
              <w:rPr>
                <w:b/>
                <w:i/>
              </w:rPr>
              <w:t> janvier 2020.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 xml:space="preserve">Actuellement, il n’existe pas de norme appropriée concernant la précision du matériel de mesure de la consommation de carburant des véhicules électriques à accumulateurs, des véhicules électriques à pile à combustible et des véhicules </w:t>
      </w:r>
      <w:r w:rsidR="00121CF8">
        <w:rPr>
          <w:noProof w:val="0"/>
        </w:rPr>
        <w:t>fonctionnant au</w:t>
      </w:r>
      <w:r w:rsidRPr="00CC7D67">
        <w:rPr>
          <w:noProof w:val="0"/>
        </w:rPr>
        <w:t xml:space="preserve"> gaz de pétrole liquéfié.</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401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José Inácio Faria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12 – paragraphe 2 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2 ter.</w:t>
            </w:r>
            <w:r w:rsidRPr="00CC7D67">
              <w:rPr>
                <w:b/>
                <w:i/>
              </w:rPr>
              <w:tab/>
              <w:t>Les constructeurs garantissent que les émissions spécifiques de CO</w:t>
            </w:r>
            <w:r w:rsidRPr="00CC7D67">
              <w:rPr>
                <w:b/>
                <w:i/>
                <w:vertAlign w:val="subscript"/>
              </w:rPr>
              <w:t>2</w:t>
            </w:r>
            <w:r w:rsidRPr="00CC7D67">
              <w:rPr>
                <w:b/>
                <w:i/>
              </w:rPr>
              <w:t xml:space="preserve"> en conditions réelles de leurs types de véhicules respectent la limite à ne pas dépasser définie dans le présent article à partir de 2025. En cas de dépassement de cette limite, les émissions spécifiques de CO</w:t>
            </w:r>
            <w:r w:rsidRPr="00CC7D67">
              <w:rPr>
                <w:b/>
                <w:i/>
                <w:vertAlign w:val="subscript"/>
              </w:rPr>
              <w:t>2</w:t>
            </w:r>
            <w:r w:rsidRPr="00CC7D67">
              <w:rPr>
                <w:b/>
                <w:i/>
              </w:rPr>
              <w:t xml:space="preserve"> utilisées aux fins de la conformité avec le présent règlement sont revues à la hausse en fonction du dépassement établi.</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L’écart des émissions de CO</w:t>
      </w:r>
      <w:r w:rsidRPr="00CC7D67">
        <w:rPr>
          <w:noProof w:val="0"/>
          <w:vertAlign w:val="subscript"/>
        </w:rPr>
        <w:t>2</w:t>
      </w:r>
      <w:r w:rsidRPr="00CC7D67">
        <w:rPr>
          <w:noProof w:val="0"/>
        </w:rPr>
        <w:t xml:space="preserve"> et du rendement énergétique entre la réception par type et les conditions réelles dépasse actuellement les 40 %, ce qui constitue l’échec le plus cuisant des réglementations actuelles. Si le passage au nouveau type d’essais en laboratoire promet d’apporter certains avantages, les analyses démontrent qu’en l’absence de mesures supplémentaires, cet écart recommencera à se creuser après 2020. Pour éviter la résurgence de ce problème, il convient de contrôler également les émissions en conditions de conduite réelles des nouveaux véhicules en établissant une marge par rapport aux résultats des émissions mesurées lors de la réception par type, marge qui ne pourra pas être dépassée. Des essais concernant les émissions en conditions de conduite réelles ou l’installation de compteurs de consommation de carburant devraient être prévus afin de garantir la conformité.</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402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a</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a)</w:t>
            </w:r>
            <w:r w:rsidRPr="00CC7D67">
              <w:tab/>
              <w:t>au plus tard le 31 octobre 2020, la valeur de M</w:t>
            </w:r>
            <w:r w:rsidRPr="00CC7D67">
              <w:rPr>
                <w:vertAlign w:val="subscript"/>
              </w:rPr>
              <w:t>0</w:t>
            </w:r>
            <w:r w:rsidRPr="00CC7D67">
              <w:t xml:space="preserve"> figurant aux points 1 à 5 de la partie A de l’annexe I est ajustée à la masse moyenne en ordre de marche des voitures particulières neuves des trois années civiles précédentes </w:t>
            </w:r>
            <w:r w:rsidRPr="00CC7D67">
              <w:rPr>
                <w:b/>
                <w:i/>
              </w:rPr>
              <w:t>2017, 2018 et 2019</w:t>
            </w:r>
            <w:r w:rsidRPr="00CC7D67">
              <w:t>. Cette nouvelle valeur de M</w:t>
            </w:r>
            <w:r w:rsidRPr="00CC7D67">
              <w:rPr>
                <w:vertAlign w:val="subscript"/>
              </w:rPr>
              <w:t>0</w:t>
            </w:r>
            <w:r w:rsidRPr="00CC7D67">
              <w:t xml:space="preserve"> est applicable du 1</w:t>
            </w:r>
            <w:r w:rsidRPr="00CC7D67">
              <w:rPr>
                <w:vertAlign w:val="superscript"/>
              </w:rPr>
              <w:t>er</w:t>
            </w:r>
            <w:r w:rsidRPr="00CC7D67">
              <w:t xml:space="preserve"> janvier 2022 </w:t>
            </w:r>
            <w:r w:rsidRPr="00CC7D67">
              <w:rPr>
                <w:b/>
                <w:i/>
              </w:rPr>
              <w:t>au 31 décembre 2024</w:t>
            </w:r>
            <w:r w:rsidRPr="00CC7D67">
              <w:t>;</w:t>
            </w:r>
          </w:p>
        </w:tc>
        <w:tc>
          <w:tcPr>
            <w:tcW w:w="4876" w:type="dxa"/>
            <w:hideMark/>
          </w:tcPr>
          <w:p w:rsidR="00B0509C" w:rsidRPr="00CC7D67" w:rsidRDefault="00B0509C" w:rsidP="00B0509C">
            <w:pPr>
              <w:pStyle w:val="Normal6"/>
              <w:rPr>
                <w:szCs w:val="24"/>
              </w:rPr>
            </w:pPr>
            <w:r w:rsidRPr="00CC7D67">
              <w:t>a)</w:t>
            </w:r>
            <w:r w:rsidRPr="00CC7D67">
              <w:tab/>
              <w:t>au plus tard le 31 octobre 2020</w:t>
            </w:r>
            <w:r w:rsidRPr="00CC7D67">
              <w:rPr>
                <w:b/>
                <w:i/>
              </w:rPr>
              <w:t xml:space="preserve"> et tous les trois ans par la suite</w:t>
            </w:r>
            <w:r w:rsidRPr="00CC7D67">
              <w:t>, la valeur de M</w:t>
            </w:r>
            <w:r w:rsidRPr="00CC7D67">
              <w:rPr>
                <w:vertAlign w:val="subscript"/>
              </w:rPr>
              <w:t>0</w:t>
            </w:r>
            <w:r w:rsidRPr="00CC7D67">
              <w:t xml:space="preserve"> figurant aux points 1 à 5 de la partie A de l’annexe I est ajustée à la masse moyenne en ordre de marche des voitures particulières neuves des trois années civiles précédentes. Cette nouvelle valeur de M</w:t>
            </w:r>
            <w:r w:rsidRPr="00CC7D67">
              <w:rPr>
                <w:vertAlign w:val="subscript"/>
              </w:rPr>
              <w:t>0</w:t>
            </w:r>
            <w:r w:rsidRPr="00CC7D67">
              <w:t xml:space="preserve"> est applicable </w:t>
            </w:r>
            <w:r w:rsidRPr="00CC7D67">
              <w:rPr>
                <w:b/>
                <w:i/>
              </w:rPr>
              <w:t>à partir</w:t>
            </w:r>
            <w:r w:rsidRPr="00CC7D67">
              <w:t xml:space="preserve"> du 1</w:t>
            </w:r>
            <w:r w:rsidRPr="00CC7D67">
              <w:rPr>
                <w:vertAlign w:val="superscript"/>
              </w:rPr>
              <w:t>er</w:t>
            </w:r>
            <w:r w:rsidRPr="00CC7D67">
              <w:t> janvier 2022;</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403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a</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a)</w:t>
            </w:r>
            <w:r w:rsidRPr="00CC7D67">
              <w:tab/>
              <w:t>au plus tard le 31 octobre 2020, la valeur de M</w:t>
            </w:r>
            <w:r w:rsidRPr="00CC7D67">
              <w:rPr>
                <w:vertAlign w:val="subscript"/>
              </w:rPr>
              <w:t>0</w:t>
            </w:r>
            <w:r w:rsidRPr="00CC7D67">
              <w:t xml:space="preserve"> figurant aux points 1 à 5 de la partie A de l’annexe I est ajustée à la masse moyenne en ordre de marche des voitures particulières neuves des trois années civiles précédentes 2017, 2018 et 2019. Cette nouvelle valeur de M</w:t>
            </w:r>
            <w:r w:rsidRPr="00CC7D67">
              <w:rPr>
                <w:vertAlign w:val="subscript"/>
              </w:rPr>
              <w:t>0</w:t>
            </w:r>
            <w:r w:rsidRPr="00CC7D67">
              <w:t xml:space="preserve"> est applicable du 1</w:t>
            </w:r>
            <w:r w:rsidRPr="00CC7D67">
              <w:rPr>
                <w:vertAlign w:val="superscript"/>
              </w:rPr>
              <w:t>er</w:t>
            </w:r>
            <w:r w:rsidRPr="00CC7D67">
              <w:t> janvier 2022 au 31 décembre </w:t>
            </w:r>
            <w:r w:rsidRPr="00CC7D67">
              <w:rPr>
                <w:b/>
                <w:i/>
              </w:rPr>
              <w:t>2024</w:t>
            </w:r>
            <w:r w:rsidRPr="00CC7D67">
              <w:t>;</w:t>
            </w:r>
          </w:p>
        </w:tc>
        <w:tc>
          <w:tcPr>
            <w:tcW w:w="4876" w:type="dxa"/>
            <w:hideMark/>
          </w:tcPr>
          <w:p w:rsidR="00B0509C" w:rsidRPr="00CC7D67" w:rsidRDefault="00B0509C" w:rsidP="00B0509C">
            <w:pPr>
              <w:pStyle w:val="Normal6"/>
              <w:rPr>
                <w:szCs w:val="24"/>
              </w:rPr>
            </w:pPr>
            <w:r w:rsidRPr="00CC7D67">
              <w:t>a)</w:t>
            </w:r>
            <w:r w:rsidRPr="00CC7D67">
              <w:tab/>
              <w:t>au plus tard le 31 octobre 2020, la valeur de M</w:t>
            </w:r>
            <w:r w:rsidRPr="00CC7D67">
              <w:rPr>
                <w:vertAlign w:val="subscript"/>
              </w:rPr>
              <w:t>0</w:t>
            </w:r>
            <w:r w:rsidRPr="00CC7D67">
              <w:t xml:space="preserve"> figurant aux points 1 à 5 de la partie A de l’annexe I est ajustée à la masse moyenne en ordre de marche des voitures particulières neuves des trois années civiles précédentes 2017, 2018 et 2019. Cette nouvelle valeur de M</w:t>
            </w:r>
            <w:r w:rsidRPr="00CC7D67">
              <w:rPr>
                <w:vertAlign w:val="subscript"/>
              </w:rPr>
              <w:t>0</w:t>
            </w:r>
            <w:r w:rsidRPr="00CC7D67">
              <w:t xml:space="preserve"> est applicable du 1</w:t>
            </w:r>
            <w:r w:rsidRPr="00CC7D67">
              <w:rPr>
                <w:vertAlign w:val="superscript"/>
              </w:rPr>
              <w:t>er</w:t>
            </w:r>
            <w:r w:rsidRPr="00CC7D67">
              <w:t> janvier 2022 au 31 décembre </w:t>
            </w:r>
            <w:r w:rsidRPr="00CC7D67">
              <w:rPr>
                <w:b/>
                <w:i/>
              </w:rPr>
              <w:t>2025</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404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b</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b)</w:t>
            </w:r>
            <w:r w:rsidRPr="00CC7D67">
              <w:rPr>
                <w:b/>
                <w:i/>
              </w:rPr>
              <w:tab/>
              <w:t>au plus tard le 31 octobre 2022, la valeur de M</w:t>
            </w:r>
            <w:r w:rsidRPr="00CC7D67">
              <w:rPr>
                <w:b/>
                <w:i/>
                <w:vertAlign w:val="subscript"/>
              </w:rPr>
              <w:t>0</w:t>
            </w:r>
            <w:r w:rsidRPr="00CC7D67">
              <w:rPr>
                <w:b/>
                <w:i/>
              </w:rPr>
              <w:t xml:space="preserve"> figurant aux points 1 à 5 de la partie B de l’annexe I est ajustée à la masse moyenne en ordre de marche des véhicules utilitaires légers neufs au cours des trois années civiles précédentes 2019, 2020 et 2021. Cette nouvelle valeur de M</w:t>
            </w:r>
            <w:r w:rsidRPr="00CC7D67">
              <w:rPr>
                <w:b/>
                <w:i/>
                <w:vertAlign w:val="subscript"/>
              </w:rPr>
              <w:t>0</w:t>
            </w:r>
            <w:r w:rsidRPr="00CC7D67">
              <w:rPr>
                <w:b/>
                <w:i/>
              </w:rPr>
              <w:t xml:space="preserve"> est applicable en 2024;</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405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b</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b)</w:t>
            </w:r>
            <w:r w:rsidRPr="00CC7D67">
              <w:rPr>
                <w:b/>
                <w:i/>
              </w:rPr>
              <w:tab/>
              <w:t>au plus tard le 31 octobre 2022, la valeur de M</w:t>
            </w:r>
            <w:r w:rsidRPr="00CC7D67">
              <w:rPr>
                <w:b/>
                <w:i/>
                <w:vertAlign w:val="subscript"/>
              </w:rPr>
              <w:t>0</w:t>
            </w:r>
            <w:r w:rsidRPr="00CC7D67">
              <w:rPr>
                <w:b/>
                <w:i/>
              </w:rPr>
              <w:t xml:space="preserve"> figurant aux points 1 à 5 de la partie B de l’annexe I est ajustée à la masse moyenne en ordre de marche des véhicules utilitaires légers neufs au cours des trois années civiles précédentes 2019, 2020 et 2021. Cette nouvelle valeur de M</w:t>
            </w:r>
            <w:r w:rsidRPr="00CC7D67">
              <w:rPr>
                <w:b/>
                <w:i/>
                <w:vertAlign w:val="subscript"/>
              </w:rPr>
              <w:t>0</w:t>
            </w:r>
            <w:r w:rsidRPr="00CC7D67">
              <w:rPr>
                <w:b/>
                <w:i/>
              </w:rPr>
              <w:t xml:space="preserve"> est applicable en 2024;</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406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b</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b)</w:t>
            </w:r>
            <w:r w:rsidRPr="00CC7D67">
              <w:tab/>
              <w:t>au plus tard le 31 octobre 2022, la valeur de M</w:t>
            </w:r>
            <w:r w:rsidRPr="00CC7D67">
              <w:rPr>
                <w:vertAlign w:val="subscript"/>
              </w:rPr>
              <w:t>0</w:t>
            </w:r>
            <w:r w:rsidRPr="00CC7D67">
              <w:t xml:space="preserve"> figurant aux points 1 à 5 de la partie B de l’annexe I est ajustée à la masse moyenne en ordre de marche des véhicules utilitaires légers neufs au cours des trois années civiles précédentes </w:t>
            </w:r>
            <w:r w:rsidRPr="00CC7D67">
              <w:rPr>
                <w:b/>
                <w:i/>
              </w:rPr>
              <w:t>2019, 2020 et 2021</w:t>
            </w:r>
            <w:r w:rsidRPr="00CC7D67">
              <w:t>. Cette nouvelle valeur de M</w:t>
            </w:r>
            <w:r w:rsidRPr="00CC7D67">
              <w:rPr>
                <w:vertAlign w:val="subscript"/>
              </w:rPr>
              <w:t>0</w:t>
            </w:r>
            <w:r w:rsidRPr="00CC7D67">
              <w:t xml:space="preserve"> est applicable </w:t>
            </w:r>
            <w:r w:rsidRPr="00CC7D67">
              <w:rPr>
                <w:b/>
                <w:i/>
              </w:rPr>
              <w:t>en</w:t>
            </w:r>
            <w:r w:rsidRPr="00CC7D67">
              <w:t> 2024;</w:t>
            </w:r>
          </w:p>
        </w:tc>
        <w:tc>
          <w:tcPr>
            <w:tcW w:w="4876" w:type="dxa"/>
            <w:hideMark/>
          </w:tcPr>
          <w:p w:rsidR="00B0509C" w:rsidRPr="00CC7D67" w:rsidRDefault="00B0509C" w:rsidP="00B0509C">
            <w:pPr>
              <w:pStyle w:val="Normal6"/>
              <w:rPr>
                <w:szCs w:val="24"/>
              </w:rPr>
            </w:pPr>
            <w:r w:rsidRPr="00CC7D67">
              <w:t>b)</w:t>
            </w:r>
            <w:r w:rsidRPr="00CC7D67">
              <w:tab/>
              <w:t>au plus tard le 31 octobre 2022</w:t>
            </w:r>
            <w:r w:rsidRPr="00CC7D67">
              <w:rPr>
                <w:b/>
                <w:i/>
              </w:rPr>
              <w:t xml:space="preserve"> et tous les trois ans par la suite</w:t>
            </w:r>
            <w:r w:rsidRPr="00CC7D67">
              <w:t>, la valeur de M</w:t>
            </w:r>
            <w:r w:rsidRPr="00CC7D67">
              <w:rPr>
                <w:vertAlign w:val="subscript"/>
              </w:rPr>
              <w:t>0</w:t>
            </w:r>
            <w:r w:rsidRPr="00CC7D67">
              <w:t xml:space="preserve"> figurant aux points 1 à 5 de la partie B de l’annexe I est ajustée à la masse moyenne en ordre de marche des véhicules utilitaires légers neufs au cours des trois années civiles précédentes. Cette nouvelle valeur de M</w:t>
            </w:r>
            <w:r w:rsidRPr="00CC7D67">
              <w:rPr>
                <w:vertAlign w:val="subscript"/>
              </w:rPr>
              <w:t>0</w:t>
            </w:r>
            <w:r w:rsidRPr="00CC7D67">
              <w:t xml:space="preserve"> est applicable </w:t>
            </w:r>
            <w:r w:rsidRPr="00CC7D67">
              <w:rPr>
                <w:b/>
                <w:i/>
              </w:rPr>
              <w:t>à partir du 1</w:t>
            </w:r>
            <w:r w:rsidRPr="00CC7D67">
              <w:rPr>
                <w:b/>
                <w:i/>
                <w:vertAlign w:val="superscript"/>
              </w:rPr>
              <w:t>er</w:t>
            </w:r>
            <w:r w:rsidRPr="00CC7D67">
              <w:rPr>
                <w:b/>
                <w:i/>
              </w:rPr>
              <w:t> janvier</w:t>
            </w:r>
            <w:r w:rsidRPr="00CC7D67">
              <w:t> 2024;</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407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b</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b)</w:t>
            </w:r>
            <w:r w:rsidRPr="00CC7D67">
              <w:tab/>
              <w:t>au plus tard le 31 octobre 2022, la valeur de M</w:t>
            </w:r>
            <w:r w:rsidRPr="00CC7D67">
              <w:rPr>
                <w:vertAlign w:val="subscript"/>
              </w:rPr>
              <w:t>0</w:t>
            </w:r>
            <w:r w:rsidRPr="00CC7D67">
              <w:t xml:space="preserve"> figurant aux points 1 à 5 de la partie B de l’annexe I est ajustée à la masse moyenne en ordre de marche des véhicules utilitaires légers neufs au cours des trois années civiles précédentes 2019, 2020 et 2021. Cette nouvelle valeur de M</w:t>
            </w:r>
            <w:r w:rsidRPr="00CC7D67">
              <w:rPr>
                <w:vertAlign w:val="subscript"/>
              </w:rPr>
              <w:t>0</w:t>
            </w:r>
            <w:r w:rsidRPr="00CC7D67">
              <w:t xml:space="preserve"> est applicable en </w:t>
            </w:r>
            <w:r w:rsidRPr="00CC7D67">
              <w:rPr>
                <w:b/>
                <w:i/>
              </w:rPr>
              <w:t>2024</w:t>
            </w:r>
            <w:r w:rsidRPr="00CC7D67">
              <w:t>;</w:t>
            </w:r>
          </w:p>
        </w:tc>
        <w:tc>
          <w:tcPr>
            <w:tcW w:w="4876" w:type="dxa"/>
            <w:hideMark/>
          </w:tcPr>
          <w:p w:rsidR="00B0509C" w:rsidRPr="00CC7D67" w:rsidRDefault="00B0509C" w:rsidP="00B0509C">
            <w:pPr>
              <w:pStyle w:val="Normal6"/>
              <w:rPr>
                <w:szCs w:val="24"/>
              </w:rPr>
            </w:pPr>
            <w:r w:rsidRPr="00CC7D67">
              <w:t>b)</w:t>
            </w:r>
            <w:r w:rsidRPr="00CC7D67">
              <w:tab/>
              <w:t>au plus tard le 31 octobre 2022, la valeur de M</w:t>
            </w:r>
            <w:r w:rsidRPr="00CC7D67">
              <w:rPr>
                <w:vertAlign w:val="subscript"/>
              </w:rPr>
              <w:t>0</w:t>
            </w:r>
            <w:r w:rsidRPr="00CC7D67">
              <w:t xml:space="preserve"> figurant aux points 1 à 5 de la partie B de l’annexe I est ajustée à la masse moyenne en ordre de marche des véhicules utilitaires légers neufs au cours des trois années civiles précédentes 2019, 2020 et 2021. Cette nouvelle valeur de M</w:t>
            </w:r>
            <w:r w:rsidRPr="00CC7D67">
              <w:rPr>
                <w:vertAlign w:val="subscript"/>
              </w:rPr>
              <w:t>0</w:t>
            </w:r>
            <w:r w:rsidRPr="00CC7D67">
              <w:t xml:space="preserve"> est applicable en </w:t>
            </w:r>
            <w:r w:rsidRPr="00CC7D67">
              <w:rPr>
                <w:b/>
                <w:i/>
              </w:rPr>
              <w:t>2025</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408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c</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c)</w:t>
            </w:r>
            <w:r w:rsidRPr="00CC7D67">
              <w:rPr>
                <w:b/>
                <w:i/>
              </w:rPr>
              <w:tab/>
              <w:t>au plus tard le 31 octobre 2022, la valeur indicative de TM</w:t>
            </w:r>
            <w:r w:rsidRPr="00CC7D67">
              <w:rPr>
                <w:b/>
                <w:i/>
                <w:vertAlign w:val="subscript"/>
              </w:rPr>
              <w:t>0</w:t>
            </w:r>
            <w:r w:rsidRPr="00CC7D67">
              <w:rPr>
                <w:b/>
                <w:i/>
              </w:rPr>
              <w:t xml:space="preserve"> pour 2025 est déterminée comme la masse d’essai moyenne respective des voitures particulières neuves et des véhicules utilitaires légers neufs en 2021;</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Cet amendement est indissociable des objectifs définis à l’article premier et de la nécessité de réduire rapidement les émissions moyennes de CO</w:t>
      </w:r>
      <w:r w:rsidRPr="00CC7D67">
        <w:rPr>
          <w:noProof w:val="0"/>
          <w:vertAlign w:val="subscript"/>
        </w:rPr>
        <w:t>2</w:t>
      </w:r>
      <w:r w:rsidRPr="00CC7D67">
        <w:rPr>
          <w:noProof w:val="0"/>
        </w:rPr>
        <w:t>, ainsi que de la nécessité de mettre en place les incitations à la réduction du poids et de la taille des véhicules les plus fortes possibles. La différenciation qui existe en fonction de la masse du véhicule n’est donc pas adaptée.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409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c</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c)</w:t>
            </w:r>
            <w:r w:rsidRPr="00CC7D67">
              <w:rPr>
                <w:b/>
                <w:i/>
              </w:rPr>
              <w:tab/>
              <w:t>au plus tard le 31 octobre 2022, la valeur indicative de TM</w:t>
            </w:r>
            <w:r w:rsidRPr="00CC7D67">
              <w:rPr>
                <w:b/>
                <w:i/>
                <w:vertAlign w:val="subscript"/>
              </w:rPr>
              <w:t>0</w:t>
            </w:r>
            <w:r w:rsidRPr="00CC7D67">
              <w:rPr>
                <w:b/>
                <w:i/>
              </w:rPr>
              <w:t xml:space="preserve"> pour 2025 est déterminée comme la masse d’essai moyenne respective des voitures particulières neuves et des véhicules utilitaires légers neufs en 2021;</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410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c</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c)</w:t>
            </w:r>
            <w:r w:rsidRPr="00CC7D67">
              <w:rPr>
                <w:b/>
                <w:i/>
              </w:rPr>
              <w:tab/>
              <w:t>au plus tard le 31 octobre 2022, la valeur indicative de TM</w:t>
            </w:r>
            <w:r w:rsidRPr="00CC7D67">
              <w:rPr>
                <w:b/>
                <w:i/>
                <w:vertAlign w:val="subscript"/>
              </w:rPr>
              <w:t>0</w:t>
            </w:r>
            <w:r w:rsidRPr="00CC7D67">
              <w:rPr>
                <w:b/>
                <w:i/>
              </w:rPr>
              <w:t xml:space="preserve"> pour 2025 est déterminée comme la masse d’essai moyenne respective des voitures particulières neuves et des véhicules utilitaires légers neufs en 2021;</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411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c</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c)</w:t>
            </w:r>
            <w:r w:rsidRPr="00CC7D67">
              <w:tab/>
              <w:t>au plus tard le 31 octobre </w:t>
            </w:r>
            <w:r w:rsidRPr="00CC7D67">
              <w:rPr>
                <w:b/>
                <w:i/>
              </w:rPr>
              <w:t>2022</w:t>
            </w:r>
            <w:r w:rsidRPr="00CC7D67">
              <w:t>, la valeur indicative de TM</w:t>
            </w:r>
            <w:r w:rsidRPr="00CC7D67">
              <w:rPr>
                <w:vertAlign w:val="subscript"/>
              </w:rPr>
              <w:t>0</w:t>
            </w:r>
            <w:r w:rsidRPr="00CC7D67">
              <w:t xml:space="preserve"> pour </w:t>
            </w:r>
            <w:r w:rsidRPr="00CC7D67">
              <w:rPr>
                <w:b/>
                <w:i/>
              </w:rPr>
              <w:t>2025</w:t>
            </w:r>
            <w:r w:rsidRPr="00CC7D67">
              <w:t xml:space="preserve"> est déterminée comme la masse d’essai moyenne respective des voitures particulières neuves et des véhicules utilitaires légers neufs en 2021;</w:t>
            </w:r>
          </w:p>
        </w:tc>
        <w:tc>
          <w:tcPr>
            <w:tcW w:w="4876" w:type="dxa"/>
            <w:hideMark/>
          </w:tcPr>
          <w:p w:rsidR="00B0509C" w:rsidRPr="00CC7D67" w:rsidRDefault="00B0509C" w:rsidP="00B0509C">
            <w:pPr>
              <w:pStyle w:val="Normal6"/>
              <w:rPr>
                <w:szCs w:val="24"/>
              </w:rPr>
            </w:pPr>
            <w:r w:rsidRPr="00CC7D67">
              <w:t>c)</w:t>
            </w:r>
            <w:r w:rsidRPr="00CC7D67">
              <w:tab/>
              <w:t>au plus tard le 31 octobre </w:t>
            </w:r>
            <w:r w:rsidRPr="00CC7D67">
              <w:rPr>
                <w:b/>
                <w:i/>
              </w:rPr>
              <w:t>2027</w:t>
            </w:r>
            <w:r w:rsidRPr="00CC7D67">
              <w:t>, la valeur indicative de TM</w:t>
            </w:r>
            <w:r w:rsidRPr="00CC7D67">
              <w:rPr>
                <w:vertAlign w:val="subscript"/>
              </w:rPr>
              <w:t>0</w:t>
            </w:r>
            <w:r w:rsidRPr="00CC7D67">
              <w:t xml:space="preserve"> pour </w:t>
            </w:r>
            <w:r w:rsidRPr="00CC7D67">
              <w:rPr>
                <w:b/>
                <w:i/>
              </w:rPr>
              <w:t>2030</w:t>
            </w:r>
            <w:r w:rsidRPr="00CC7D67">
              <w:t xml:space="preserve"> est déterminée comme la masse d’essai moyenne respective des voitures particulières neuves et des véhicules utilitaires légers neufs en 2021;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412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c</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c)</w:t>
            </w:r>
            <w:r w:rsidRPr="00CC7D67">
              <w:tab/>
              <w:t>au plus tard le 31 octobre 2022, la valeur indicative de TM</w:t>
            </w:r>
            <w:r w:rsidRPr="00CC7D67">
              <w:rPr>
                <w:vertAlign w:val="subscript"/>
              </w:rPr>
              <w:t>0</w:t>
            </w:r>
            <w:r w:rsidRPr="00CC7D67">
              <w:t xml:space="preserve"> pour </w:t>
            </w:r>
            <w:r w:rsidRPr="00CC7D67">
              <w:rPr>
                <w:b/>
                <w:i/>
              </w:rPr>
              <w:t>2025</w:t>
            </w:r>
            <w:r w:rsidRPr="00CC7D67">
              <w:t xml:space="preserve"> est déterminée comme la masse d’essai moyenne respective des voitures particulières neuves et des véhicules utilitaires légers neufs en 2021;</w:t>
            </w:r>
          </w:p>
        </w:tc>
        <w:tc>
          <w:tcPr>
            <w:tcW w:w="4876" w:type="dxa"/>
            <w:hideMark/>
          </w:tcPr>
          <w:p w:rsidR="00B0509C" w:rsidRPr="00CC7D67" w:rsidRDefault="00B0509C" w:rsidP="00B0509C">
            <w:pPr>
              <w:pStyle w:val="Normal6"/>
              <w:rPr>
                <w:szCs w:val="24"/>
              </w:rPr>
            </w:pPr>
            <w:r w:rsidRPr="00CC7D67">
              <w:t>c)</w:t>
            </w:r>
            <w:r w:rsidRPr="00CC7D67">
              <w:tab/>
              <w:t>au plus tard le 31 octobre 2022, la valeur indicative de TM</w:t>
            </w:r>
            <w:r w:rsidRPr="00CC7D67">
              <w:rPr>
                <w:vertAlign w:val="subscript"/>
              </w:rPr>
              <w:t>0</w:t>
            </w:r>
            <w:r w:rsidRPr="00CC7D67">
              <w:t xml:space="preserve"> pour </w:t>
            </w:r>
            <w:r w:rsidRPr="00CC7D67">
              <w:rPr>
                <w:b/>
                <w:i/>
              </w:rPr>
              <w:t>2026</w:t>
            </w:r>
            <w:r w:rsidRPr="00CC7D67">
              <w:t xml:space="preserve"> est déterminée comme la masse d’essai moyenne respective des voitures particulières neuves et des véhicules utilitaires légers neufs en 2021;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413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d</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d)</w:t>
            </w:r>
            <w:r w:rsidRPr="00CC7D67">
              <w:rPr>
                <w:b/>
                <w:i/>
              </w:rPr>
              <w:tab/>
              <w:t>au plus tard le 31 octobre 2024 et tous les deux ans par la suite, les valeurs de TM</w:t>
            </w:r>
            <w:r w:rsidRPr="00CC7D67">
              <w:rPr>
                <w:b/>
                <w:i/>
                <w:vertAlign w:val="subscript"/>
              </w:rPr>
              <w:t>0</w:t>
            </w:r>
            <w:r w:rsidRPr="00CC7D67">
              <w:rPr>
                <w:b/>
                <w:i/>
              </w:rPr>
              <w:t xml:space="preserve"> figurant dans les parties A et B de l’annexe I sont ajustées à la masse d’essai moyenne respective des voitures particulières neuves et des véhicules utilitaires légers neufs au cours des deux années civiles précédentes, en commençant par les années 2022 et 2023. Les nouvelles valeurs respectives de TM</w:t>
            </w:r>
            <w:r w:rsidRPr="00CC7D67">
              <w:rPr>
                <w:b/>
                <w:i/>
                <w:vertAlign w:val="subscript"/>
              </w:rPr>
              <w:t>0</w:t>
            </w:r>
            <w:r w:rsidRPr="00CC7D67">
              <w:rPr>
                <w:b/>
                <w:i/>
              </w:rPr>
              <w:t xml:space="preserve"> sont applicables à partir du 1</w:t>
            </w:r>
            <w:r w:rsidRPr="00CC7D67">
              <w:rPr>
                <w:b/>
                <w:i/>
                <w:vertAlign w:val="superscript"/>
              </w:rPr>
              <w:t>er</w:t>
            </w:r>
            <w:r w:rsidRPr="00CC7D67">
              <w:rPr>
                <w:b/>
                <w:i/>
              </w:rPr>
              <w:t> janvier de l’année civile suivant la date de l’ajustement.</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414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d</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d)</w:t>
            </w:r>
            <w:r w:rsidRPr="00CC7D67">
              <w:rPr>
                <w:b/>
                <w:i/>
              </w:rPr>
              <w:tab/>
              <w:t>au plus tard le 31 octobre 2024 et tous les deux ans par la suite, les valeurs de TM</w:t>
            </w:r>
            <w:r w:rsidRPr="00CC7D67">
              <w:rPr>
                <w:b/>
                <w:i/>
                <w:vertAlign w:val="subscript"/>
              </w:rPr>
              <w:t>0</w:t>
            </w:r>
            <w:r w:rsidRPr="00CC7D67">
              <w:rPr>
                <w:b/>
                <w:i/>
              </w:rPr>
              <w:t xml:space="preserve"> figurant dans les parties A et B de l’annexe I sont ajustées à la masse d’essai moyenne respective des voitures particulières neuves et des véhicules utilitaires légers neufs au cours des deux années civiles précédentes, en commençant par les années 2022 et 2023. Les nouvelles valeurs respectives de TM</w:t>
            </w:r>
            <w:r w:rsidRPr="00CC7D67">
              <w:rPr>
                <w:b/>
                <w:i/>
                <w:vertAlign w:val="subscript"/>
              </w:rPr>
              <w:t>0</w:t>
            </w:r>
            <w:r w:rsidRPr="00CC7D67">
              <w:rPr>
                <w:b/>
                <w:i/>
              </w:rPr>
              <w:t xml:space="preserve"> sont applicables à partir du 1</w:t>
            </w:r>
            <w:r w:rsidRPr="00CC7D67">
              <w:rPr>
                <w:b/>
                <w:i/>
                <w:vertAlign w:val="superscript"/>
              </w:rPr>
              <w:t>er</w:t>
            </w:r>
            <w:r w:rsidRPr="00CC7D67">
              <w:rPr>
                <w:b/>
                <w:i/>
              </w:rPr>
              <w:t> janvier de l’année civile suivant la date de l’ajustement.</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Cet amendement est indissociable des objectifs définis à l’article premier et de la nécessité de réduire rapidement les émissions moyennes de CO</w:t>
      </w:r>
      <w:r w:rsidRPr="00CC7D67">
        <w:rPr>
          <w:noProof w:val="0"/>
          <w:vertAlign w:val="subscript"/>
        </w:rPr>
        <w:t>2</w:t>
      </w:r>
      <w:r w:rsidRPr="00CC7D67">
        <w:rPr>
          <w:noProof w:val="0"/>
        </w:rPr>
        <w:t>, ainsi que de la nécessité de mettre en place les incitations à la réduction du poids et de la taille des véhicules les plus fortes possibles. La différenciation qui existe en fonction de la masse du véhicule n’est donc pas adaptée.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415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d</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d)</w:t>
            </w:r>
            <w:r w:rsidRPr="00CC7D67">
              <w:rPr>
                <w:b/>
                <w:i/>
              </w:rPr>
              <w:tab/>
              <w:t>au plus tard le 31 octobre 2024 et tous les deux ans par la suite, les valeurs de TM</w:t>
            </w:r>
            <w:r w:rsidRPr="00CC7D67">
              <w:rPr>
                <w:b/>
                <w:i/>
                <w:vertAlign w:val="subscript"/>
              </w:rPr>
              <w:t>0</w:t>
            </w:r>
            <w:r w:rsidRPr="00CC7D67">
              <w:rPr>
                <w:b/>
                <w:i/>
              </w:rPr>
              <w:t xml:space="preserve"> figurant dans les parties A et B de l’annexe I sont ajustées à la masse d’essai moyenne respective des voitures particulières neuves et des véhicules utilitaires légers neufs au cours des deux années civiles précédentes, en commençant par les années 2022 et 2023. Les nouvelles valeurs respectives de TM</w:t>
            </w:r>
            <w:r w:rsidRPr="00CC7D67">
              <w:rPr>
                <w:b/>
                <w:i/>
                <w:vertAlign w:val="subscript"/>
              </w:rPr>
              <w:t>0</w:t>
            </w:r>
            <w:r w:rsidRPr="00CC7D67">
              <w:rPr>
                <w:b/>
                <w:i/>
              </w:rPr>
              <w:t xml:space="preserve"> sont applicables à partir du 1</w:t>
            </w:r>
            <w:r w:rsidRPr="00CC7D67">
              <w:rPr>
                <w:b/>
                <w:i/>
                <w:vertAlign w:val="superscript"/>
              </w:rPr>
              <w:t>er</w:t>
            </w:r>
            <w:r w:rsidRPr="00CC7D67">
              <w:rPr>
                <w:b/>
                <w:i/>
              </w:rPr>
              <w:t> janvier de l’année civile suivant la date de l’ajustement.</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416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13 – paragraphe 1 – point d</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d)</w:t>
            </w:r>
            <w:r w:rsidRPr="00CC7D67">
              <w:tab/>
              <w:t>au plus tard le 31 octobre </w:t>
            </w:r>
            <w:r w:rsidRPr="00CC7D67">
              <w:rPr>
                <w:b/>
                <w:i/>
              </w:rPr>
              <w:t>2024</w:t>
            </w:r>
            <w:r w:rsidRPr="00CC7D67">
              <w:t xml:space="preserve"> et tous les deux ans par la suite, les valeurs de TM</w:t>
            </w:r>
            <w:r w:rsidRPr="00CC7D67">
              <w:rPr>
                <w:vertAlign w:val="subscript"/>
              </w:rPr>
              <w:t>0</w:t>
            </w:r>
            <w:r w:rsidRPr="00CC7D67">
              <w:t xml:space="preserve"> figurant dans les parties A et B de l’annexe I sont ajustées à la masse d’essai moyenne respective des voitures particulières neuves et des véhicules utilitaires légers neufs au cours des deux années civiles précédentes, en commençant par les années </w:t>
            </w:r>
            <w:r w:rsidRPr="00CC7D67">
              <w:rPr>
                <w:b/>
                <w:i/>
              </w:rPr>
              <w:t>2022</w:t>
            </w:r>
            <w:r w:rsidRPr="00CC7D67">
              <w:t xml:space="preserve"> et </w:t>
            </w:r>
            <w:r w:rsidRPr="00CC7D67">
              <w:rPr>
                <w:b/>
                <w:i/>
              </w:rPr>
              <w:t>2023</w:t>
            </w:r>
            <w:r w:rsidRPr="00CC7D67">
              <w:t>. Les nouvelles valeurs respectives de TM</w:t>
            </w:r>
            <w:r w:rsidRPr="00CC7D67">
              <w:rPr>
                <w:vertAlign w:val="subscript"/>
              </w:rPr>
              <w:t>0</w:t>
            </w:r>
            <w:r w:rsidRPr="00CC7D67">
              <w:t xml:space="preserve"> sont applicables à partir du 1</w:t>
            </w:r>
            <w:r w:rsidRPr="00CC7D67">
              <w:rPr>
                <w:vertAlign w:val="superscript"/>
              </w:rPr>
              <w:t>er</w:t>
            </w:r>
            <w:r w:rsidRPr="00CC7D67">
              <w:t> janvier de l’année civile suivant la date de l’ajustement.</w:t>
            </w:r>
          </w:p>
        </w:tc>
        <w:tc>
          <w:tcPr>
            <w:tcW w:w="4876" w:type="dxa"/>
            <w:hideMark/>
          </w:tcPr>
          <w:p w:rsidR="00B0509C" w:rsidRPr="00CC7D67" w:rsidRDefault="00B0509C" w:rsidP="00B0509C">
            <w:pPr>
              <w:pStyle w:val="Normal6"/>
              <w:rPr>
                <w:szCs w:val="24"/>
              </w:rPr>
            </w:pPr>
            <w:r w:rsidRPr="00CC7D67">
              <w:t>d)</w:t>
            </w:r>
            <w:r w:rsidRPr="00CC7D67">
              <w:tab/>
              <w:t>au plus tard le 31 octobre </w:t>
            </w:r>
            <w:r w:rsidRPr="00CC7D67">
              <w:rPr>
                <w:b/>
                <w:i/>
              </w:rPr>
              <w:t>2029</w:t>
            </w:r>
            <w:r w:rsidRPr="00CC7D67">
              <w:t xml:space="preserve"> et tous les deux ans par la suite, les valeurs de TM</w:t>
            </w:r>
            <w:r w:rsidRPr="00CC7D67">
              <w:rPr>
                <w:vertAlign w:val="subscript"/>
              </w:rPr>
              <w:t>0</w:t>
            </w:r>
            <w:r w:rsidRPr="00CC7D67">
              <w:t xml:space="preserve"> figurant dans les parties A et B de l’annexe I sont ajustées à la masse d’essai moyenne respective des voitures particulières neuves et des véhicules utilitaires légers neufs au cours des deux années civiles précédentes, en commençant par les années </w:t>
            </w:r>
            <w:r w:rsidRPr="00CC7D67">
              <w:rPr>
                <w:b/>
                <w:i/>
              </w:rPr>
              <w:t>2027</w:t>
            </w:r>
            <w:r w:rsidRPr="00CC7D67">
              <w:t xml:space="preserve"> et </w:t>
            </w:r>
            <w:r w:rsidRPr="00CC7D67">
              <w:rPr>
                <w:b/>
                <w:i/>
              </w:rPr>
              <w:t>2028</w:t>
            </w:r>
            <w:r w:rsidRPr="00CC7D67">
              <w:t>. Les nouvelles valeurs respectives de TM</w:t>
            </w:r>
            <w:r w:rsidRPr="00CC7D67">
              <w:rPr>
                <w:vertAlign w:val="subscript"/>
              </w:rPr>
              <w:t>0</w:t>
            </w:r>
            <w:r w:rsidRPr="00CC7D67">
              <w:t xml:space="preserve"> sont applicables à partir du 1</w:t>
            </w:r>
            <w:r w:rsidRPr="00CC7D67">
              <w:rPr>
                <w:vertAlign w:val="superscript"/>
              </w:rPr>
              <w:t>er</w:t>
            </w:r>
            <w:r w:rsidRPr="00CC7D67">
              <w:t> janvier de l’année civile suivant la date de l’ajustement.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417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Merja Kyllönen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La Commission soumet, en </w:t>
            </w:r>
            <w:r w:rsidRPr="00CC7D67">
              <w:rPr>
                <w:b/>
                <w:i/>
              </w:rPr>
              <w:t>2024</w:t>
            </w:r>
            <w:r w:rsidRPr="00CC7D67">
              <w:t>, un rapport au Parlement européen et au Conseil sur l’efficacité du présent règlement, accompagné, le cas échéant,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La Commission soumet, en </w:t>
            </w:r>
            <w:r w:rsidRPr="00CC7D67">
              <w:rPr>
                <w:b/>
                <w:i/>
              </w:rPr>
              <w:t>2023</w:t>
            </w:r>
            <w:r w:rsidRPr="00CC7D67">
              <w:t>, un rapport au Parlement européen et au Conseil sur l’efficacité du présent règlement, accompagné, le cas échéant,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 xml:space="preserve">. </w:t>
            </w:r>
            <w:r w:rsidRPr="00CC7D67">
              <w:rPr>
                <w:b/>
                <w:i/>
              </w:rPr>
              <w:t>Pour garantir que les émissions en amont n’érodent pas les avantages associés à l’amélioration des émissions des véhicules en phase d’utilisation, la Commission présentera également des propositions pour un mécanisme de crédits prenant en compte les émissions du cycle de vie dans le règlement.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c>
          <w:tcPr>
            <w:tcW w:w="4876" w:type="dxa"/>
            <w:hideMark/>
          </w:tcPr>
          <w:p w:rsidR="00B0509C" w:rsidRPr="00CC7D67" w:rsidRDefault="00B0509C" w:rsidP="00B0509C">
            <w:pPr>
              <w:pStyle w:val="Normal6"/>
              <w:rPr>
                <w:szCs w:val="24"/>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Les effets du nouvel essai WLTP ainsi que le facteur de conversion final seront connus en 2021. En 2022, nous saurons plus précisément si l’objectif en matière de véhicules à émission nulle et à faibles émissions établi pour 2025 est suffisamment ambitieux. Il convient d’adapter les mesures politiques pour éviter que les constructeurs ne reçoivent le crédit CO</w:t>
      </w:r>
      <w:r w:rsidRPr="00CC7D67">
        <w:rPr>
          <w:noProof w:val="0"/>
          <w:vertAlign w:val="subscript"/>
        </w:rPr>
        <w:t>2</w:t>
      </w:r>
      <w:r w:rsidRPr="00CC7D67">
        <w:rPr>
          <w:noProof w:val="0"/>
        </w:rPr>
        <w:t xml:space="preserve"> par défaut. Plusieurs constructeurs ont annoncé publiquement leur objectif de parvenir à une part de 20 à 25 % de véhicules à émission nulle et à faibles émissions en 2025.</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418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Gesine Meissner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 xml:space="preserve">La Commission soumet, en 2024, un rapport au Parlement européen et au Conseil sur l’efficacité du présent règlement, accompagné, le cas échéant, d’une proposition visant à modifier le règlement. Ce rapport </w:t>
            </w:r>
            <w:r w:rsidRPr="00CC7D67">
              <w:rPr>
                <w:b/>
                <w:i/>
              </w:rPr>
              <w:t>examine, entre autres, la représentativité en conditions d’utilisation réelles des valeurs d’émission de CO</w:t>
            </w:r>
            <w:r w:rsidRPr="00CC7D67">
              <w:rPr>
                <w:b/>
                <w:i/>
                <w:vertAlign w:val="subscript"/>
              </w:rPr>
              <w:t>2</w:t>
            </w:r>
            <w:r w:rsidRPr="00CC7D67">
              <w:rPr>
                <w:b/>
                <w:i/>
              </w:rPr>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b/>
                <w:i/>
                <w:vertAlign w:val="superscript"/>
              </w:rPr>
              <w:t>29</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 xml:space="preserve">La Commission soumet, en 2024, un rapport au Parlement européen et au Conseil sur l’efficacité du présent règlement, accompagné, le cas échéant, d’une proposition visant à modifier le règlement. </w:t>
            </w:r>
            <w:r w:rsidRPr="00CC7D67">
              <w:rPr>
                <w:b/>
                <w:i/>
              </w:rPr>
              <w:t>Pour</w:t>
            </w:r>
            <w:r w:rsidRPr="00CC7D67">
              <w:t xml:space="preserve"> ce rapport</w:t>
            </w:r>
            <w:r w:rsidRPr="00CC7D67">
              <w:rPr>
                <w:b/>
                <w:i/>
              </w:rPr>
              <w:t>, la Commission crée un organe d’experts indépendant qui évaluera tous les paramètres majeurs exerçant une influence sur l’essor des groupes motopropulseurs alternatifs, en prenant en compte les indicateurs suivants: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l’expansion des infrastructures de recharge;</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l’existence d’une large gamme de véhicules (véhicules électriques à accumulateurs, véhicules hybrides rechargeables, véhicules électriques à pile à combustible, etc.);</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le prix du pétrole et du carburant;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les niveaux de subventions et d’incitations non monétaires;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le niveau de passation de marchés publics, etc.</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En fonction des conclusions du rapport, la Commission proposera une modification adéquate du niveau d’ambition</w:t>
            </w:r>
            <w:r w:rsidRPr="00CC7D67">
              <w: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c>
          <w:tcPr>
            <w:tcW w:w="4876" w:type="dxa"/>
            <w:hideMark/>
          </w:tcPr>
          <w:p w:rsidR="00B0509C" w:rsidRPr="00CC7D67" w:rsidRDefault="00B0509C" w:rsidP="00B0509C">
            <w:pPr>
              <w:pStyle w:val="Normal6"/>
              <w:rPr>
                <w:szCs w:val="24"/>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419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José Inácio Faria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 xml:space="preserve">La Commission soumet, en 2024, un rapport au Parlement européen et au Conseil sur l’efficacité du présent règlement, accompagné, </w:t>
            </w:r>
            <w:r w:rsidRPr="00CC7D67">
              <w:rPr>
                <w:b/>
                <w:i/>
              </w:rPr>
              <w:t>le cas échéant,</w:t>
            </w:r>
            <w:r w:rsidRPr="00CC7D67">
              <w:t xml:space="preserve"> d’une proposition visant à modifier le règlement.</w:t>
            </w:r>
            <w:r w:rsidRPr="00CC7D67">
              <w:rPr>
                <w:b/>
                <w:i/>
              </w:rPr>
              <w:t xml:space="preserve"> Ce rapport</w:t>
            </w:r>
            <w:r w:rsidRPr="00CC7D67">
              <w:t xml:space="preserve">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 xml:space="preserve">La Commission soumet, </w:t>
            </w:r>
            <w:r w:rsidRPr="00CC7D67">
              <w:rPr>
                <w:b/>
                <w:i/>
              </w:rPr>
              <w:t>en 2021 et</w:t>
            </w:r>
            <w:r w:rsidRPr="00CC7D67">
              <w:t xml:space="preserve"> en 2024, un rapport au Parlement européen et au Conseil sur l’efficacité du présent règlement, accompagné, d’une proposition visant à modifier le règlement </w:t>
            </w:r>
            <w:r w:rsidRPr="00CC7D67">
              <w:rPr>
                <w:b/>
                <w:i/>
              </w:rPr>
              <w:t>afin de confirmer l’objectif fixé en matière d’émissions de CO</w:t>
            </w:r>
            <w:r w:rsidRPr="00CC7D67">
              <w:rPr>
                <w:b/>
                <w:i/>
                <w:vertAlign w:val="subscript"/>
              </w:rPr>
              <w:t>2</w:t>
            </w:r>
            <w:r w:rsidRPr="00CC7D67">
              <w:rPr>
                <w:b/>
                <w:i/>
              </w:rPr>
              <w:t xml:space="preserve"> à l’échelle du parc de l’Union pour 2030, ainsi que la valeur de référence établie pour les véhicules à émission nulle et à faibles émissions, conformément à l’article 1</w:t>
            </w:r>
            <w:r w:rsidRPr="00CC7D67">
              <w:rPr>
                <w:b/>
                <w:i/>
                <w:vertAlign w:val="superscript"/>
              </w:rPr>
              <w:t>er</w:t>
            </w:r>
            <w:r w:rsidRPr="00CC7D67">
              <w:rPr>
                <w:b/>
                <w:i/>
              </w:rPr>
              <w:t xml:space="preserve"> et à l’annexe I</w:t>
            </w:r>
            <w:r w:rsidRPr="00CC7D67">
              <w:t>.</w:t>
            </w:r>
            <w:r w:rsidRPr="00CC7D67">
              <w:rPr>
                <w:b/>
                <w:i/>
              </w:rPr>
              <w:t xml:space="preserve"> Ces rapports examinent</w:t>
            </w:r>
            <w:r w:rsidRPr="00CC7D67">
              <w:t>,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c>
          <w:tcPr>
            <w:tcW w:w="4876" w:type="dxa"/>
            <w:hideMark/>
          </w:tcPr>
          <w:p w:rsidR="00B0509C" w:rsidRPr="00CC7D67" w:rsidRDefault="00B0509C" w:rsidP="00B0509C">
            <w:pPr>
              <w:pStyle w:val="Normal6"/>
              <w:rPr>
                <w:szCs w:val="24"/>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 norme de 2030 est encore lointaine et on pourra la réviser et la confirmer au début des années 2020, au vu de l’évolution rapide du marché mondial de l’automobile.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420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La Commission soumet, en </w:t>
            </w:r>
            <w:r w:rsidRPr="00CC7D67">
              <w:rPr>
                <w:b/>
                <w:i/>
              </w:rPr>
              <w:t>2024</w:t>
            </w:r>
            <w:r w:rsidRPr="00CC7D67">
              <w:t>, un rapport au Parlement européen et au Conseil sur l’efficacité du présent règlement, accompagné</w:t>
            </w:r>
            <w:r w:rsidRPr="00CC7D67">
              <w:rPr>
                <w:b/>
                <w:i/>
              </w:rPr>
              <w:t>, le cas échéant,</w:t>
            </w:r>
            <w:r w:rsidRPr="00CC7D67">
              <w:t xml:space="preserve">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 xml:space="preserve">La Commission soumet, en </w:t>
            </w:r>
            <w:r w:rsidRPr="00CC7D67">
              <w:rPr>
                <w:b/>
                <w:i/>
              </w:rPr>
              <w:t>2022</w:t>
            </w:r>
            <w:r w:rsidRPr="00CC7D67">
              <w:t xml:space="preserve">, un rapport au Parlement européen et au Conseil sur l’efficacité du présent règlement, accompagné, d’une proposition visant à modifier le règlement </w:t>
            </w:r>
            <w:r w:rsidRPr="00CC7D67">
              <w:rPr>
                <w:b/>
                <w:i/>
              </w:rPr>
              <w:t>afin de confirmer ou de revoir à la hausse l’objectif fixé en matière d’émissions de CO</w:t>
            </w:r>
            <w:r w:rsidRPr="00CC7D67">
              <w:rPr>
                <w:b/>
                <w:i/>
                <w:vertAlign w:val="subscript"/>
              </w:rPr>
              <w:t>2</w:t>
            </w:r>
            <w:r w:rsidRPr="00CC7D67">
              <w:rPr>
                <w:b/>
                <w:i/>
              </w:rPr>
              <w:t xml:space="preserve"> à l’échelle du parc de l’Union et des constructeurs pour 2030, ainsi que les objectifs de vente de véhicules à émission nulle et à faibles émissions prévus à l’article 1</w:t>
            </w:r>
            <w:r w:rsidRPr="00CC7D67">
              <w:rPr>
                <w:b/>
                <w:i/>
                <w:vertAlign w:val="superscript"/>
              </w:rPr>
              <w:t>er</w:t>
            </w:r>
            <w:r w:rsidRPr="00CC7D67">
              <w: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c>
          <w:tcPr>
            <w:tcW w:w="4876" w:type="dxa"/>
            <w:hideMark/>
          </w:tcPr>
          <w:p w:rsidR="00B0509C" w:rsidRPr="00CC7D67" w:rsidRDefault="00B0509C" w:rsidP="00B0509C">
            <w:pPr>
              <w:pStyle w:val="Normal6"/>
              <w:rPr>
                <w:szCs w:val="24"/>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421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La Commission soumet, en </w:t>
            </w:r>
            <w:r w:rsidRPr="00CC7D67">
              <w:rPr>
                <w:b/>
                <w:i/>
              </w:rPr>
              <w:t>2024</w:t>
            </w:r>
            <w:r w:rsidRPr="00CC7D67">
              <w:t xml:space="preserve">, un rapport au Parlement européen et au Conseil sur l’efficacité du présent règlement, accompagné, </w:t>
            </w:r>
            <w:r w:rsidRPr="00CC7D67">
              <w:rPr>
                <w:b/>
                <w:i/>
              </w:rPr>
              <w:t>le cas échéant,</w:t>
            </w:r>
            <w:r w:rsidRPr="00CC7D67">
              <w:t xml:space="preserve">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 xml:space="preserve">La Commission soumet, en </w:t>
            </w:r>
            <w:r w:rsidRPr="00CC7D67">
              <w:rPr>
                <w:b/>
                <w:i/>
              </w:rPr>
              <w:t>2022</w:t>
            </w:r>
            <w:r w:rsidRPr="00CC7D67">
              <w:t xml:space="preserve">, un rapport au Parlement européen et au Conseil sur l’efficacité du présent règlement, accompagné, d’une proposition visant à modifier le règlement </w:t>
            </w:r>
            <w:r w:rsidRPr="00CC7D67">
              <w:rPr>
                <w:b/>
                <w:i/>
              </w:rPr>
              <w:t>afin de confirmer les objectifs des constructeurs de l’Union pour 2030 et les objectifs de vente de véhicules à émission nulle, conformément à l’article 1</w:t>
            </w:r>
            <w:r w:rsidRPr="00CC7D67">
              <w:rPr>
                <w:b/>
                <w:i/>
                <w:vertAlign w:val="superscript"/>
              </w:rPr>
              <w:t>er</w:t>
            </w:r>
            <w:r w:rsidRPr="00CC7D67">
              <w:rPr>
                <w:b/>
                <w:i/>
              </w:rPr>
              <w:t>.</w:t>
            </w:r>
            <w:r w:rsidRPr="00CC7D67">
              <w:t xml:space="preserve">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c>
          <w:tcPr>
            <w:tcW w:w="4876" w:type="dxa"/>
            <w:hideMark/>
          </w:tcPr>
          <w:p w:rsidR="00B0509C" w:rsidRPr="00CC7D67" w:rsidRDefault="00B0509C" w:rsidP="00B0509C">
            <w:pPr>
              <w:pStyle w:val="Normal6"/>
              <w:rPr>
                <w:szCs w:val="24"/>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422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La Commission soumet, en </w:t>
            </w:r>
            <w:r w:rsidRPr="00CC7D67">
              <w:rPr>
                <w:b/>
                <w:i/>
              </w:rPr>
              <w:t>2024</w:t>
            </w:r>
            <w:r w:rsidRPr="00CC7D67">
              <w:t>, un rapport au Parlement européen et au Conseil sur l’efficacité du présent règlement, accompagné, le cas échéant,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La Commission soumet, en </w:t>
            </w:r>
            <w:r w:rsidRPr="00CC7D67">
              <w:rPr>
                <w:b/>
                <w:i/>
              </w:rPr>
              <w:t>2022</w:t>
            </w:r>
            <w:r w:rsidRPr="00CC7D67">
              <w:t>, un rapport au Parlement européen et au Conseil sur l’efficacité du présent règlement, le cas échéant, accompagné,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c>
          <w:tcPr>
            <w:tcW w:w="4876" w:type="dxa"/>
            <w:hideMark/>
          </w:tcPr>
          <w:p w:rsidR="00B0509C" w:rsidRPr="00CC7D67" w:rsidRDefault="00B0509C" w:rsidP="00B0509C">
            <w:pPr>
              <w:pStyle w:val="Normal6"/>
              <w:rPr>
                <w:szCs w:val="24"/>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423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Françoise Grossetête</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La Commission soumet, en 2024, un rapport au Parlement européen et au Conseil sur l’efficacité du présent règlement, accompagné, le cas échéant,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La Commission soumet, en 2024, un rapport au Parlement européen et au Conseil sur l’efficacité du présent règlement, accompagné, le cas échéant,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 xml:space="preserve">. </w:t>
            </w:r>
            <w:r w:rsidRPr="00CC7D67">
              <w:rPr>
                <w:b/>
                <w:i/>
              </w:rPr>
              <w:t>La Commission propose d’adapter le niveau d’ambition des objectifs de 2030 en conséquence.</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c>
          <w:tcPr>
            <w:tcW w:w="4876" w:type="dxa"/>
            <w:hideMark/>
          </w:tcPr>
          <w:p w:rsidR="00B0509C" w:rsidRPr="00CC7D67" w:rsidRDefault="00B0509C" w:rsidP="00B0509C">
            <w:pPr>
              <w:pStyle w:val="Normal6"/>
              <w:rPr>
                <w:szCs w:val="24"/>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{FR}</w:t>
      </w:r>
      <w:r w:rsidRPr="00CC7D67">
        <w:rPr>
          <w:noProof w:val="0"/>
        </w:rPr>
        <w:t>fr</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Afin d’assurer un maximum de visibilité, le possible ajustement des objectifs de 2030 doit être considéré dès aujourd’hui.</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424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La Commission soumet, en 2024, un rapport au Parlement européen et au Conseil sur l’efficacité du présent règlement, accompagné, le cas échéant,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La Commission soumet, en 2024, un rapport au Parlement européen et au Conseil sur l’efficacité du présent règlement, accompagné, le cas échéant,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w:t>
            </w:r>
            <w:r w:rsidRPr="00CC7D67">
              <w:rPr>
                <w:b/>
                <w:i/>
              </w:rPr>
              <w:t>y compris les données relatives aux émissions en amont,</w:t>
            </w:r>
            <w:r w:rsidRPr="00CC7D67">
              <w:t xml:space="preserve">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c>
          <w:tcPr>
            <w:tcW w:w="4876" w:type="dxa"/>
            <w:hideMark/>
          </w:tcPr>
          <w:p w:rsidR="00B0509C" w:rsidRPr="00CC7D67" w:rsidRDefault="00B0509C" w:rsidP="00B0509C">
            <w:pPr>
              <w:pStyle w:val="Normal6"/>
              <w:rPr>
                <w:szCs w:val="24"/>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Pour prendre en compte l’empreinte globale d’un véhicule, il convient de promouvoir l’analyse «du puits à la roue».</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425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La Commission soumet, en 2024, un rapport au Parlement européen et au Conseil sur l’efficacité du présent règlement, accompagné, le cas échéant,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La Commission soumet, en 2024, un rapport au Parlement européen et au Conseil sur l’efficacité du présent règlement, accompagné, le cas échéant, d’une proposition visant à modifier le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vertAlign w:val="superscript"/>
              </w:rPr>
              <w:t>29</w:t>
            </w:r>
            <w:r w:rsidRPr="00CC7D67">
              <w:t xml:space="preserve">. </w:t>
            </w:r>
            <w:r w:rsidRPr="00CC7D67">
              <w:rPr>
                <w:b/>
                <w:i/>
              </w:rPr>
              <w:t>Le rapport prend également en considération l’incidence du présent règlement sur la capacité des consommateurs à acheter de nouveaux véhicules, notamment ceux qui disposent de revenus moyens et faibles.</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c>
          <w:tcPr>
            <w:tcW w:w="4876" w:type="dxa"/>
            <w:hideMark/>
          </w:tcPr>
          <w:p w:rsidR="00B0509C" w:rsidRPr="00CC7D67" w:rsidRDefault="00B0509C" w:rsidP="00B0509C">
            <w:pPr>
              <w:pStyle w:val="Normal6"/>
              <w:rPr>
                <w:szCs w:val="24"/>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426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Pavel Poc, Daciana Octavia Sârbu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La Commission soumet, en 2024, un rapport au Parlement européen et au Conseil sur l’efficacité du présent règlement</w:t>
            </w:r>
            <w:r w:rsidRPr="00CC7D67">
              <w:rPr>
                <w:b/>
                <w:i/>
              </w:rPr>
              <w:t>, accompagné, le cas échéant, d’une proposition visant à modifier le règlement</w:t>
            </w:r>
            <w:r w:rsidRPr="00CC7D67">
              <w: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b/>
                <w:i/>
                <w:vertAlign w:val="superscript"/>
              </w:rPr>
              <w:t>29</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La Commission soumet, en 2024, un rapport au Parlement européen et au Conseil sur l’efficacité du présent règlement. Ce rapport examine, entre autres, la représentativité en conditions d’utilisation réelles des valeurs d’émission de CO</w:t>
            </w:r>
            <w:r w:rsidRPr="00CC7D67">
              <w:rPr>
                <w:vertAlign w:val="subscript"/>
              </w:rPr>
              <w:t>2</w:t>
            </w:r>
            <w:r w:rsidRPr="00CC7D67">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w:t>
            </w:r>
            <w:r w:rsidRPr="00CC7D67">
              <w:rPr>
                <w:b/>
                <w:i/>
              </w:rPr>
              <w:t>, et il propose une modification adéquate du niveau d’ambition, conformément à la méthode de calcul prévue à l’annexe V bis</w:t>
            </w:r>
            <w:r w:rsidRPr="00CC7D67">
              <w: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c>
          <w:tcPr>
            <w:tcW w:w="4876" w:type="dxa"/>
            <w:hideMark/>
          </w:tcPr>
          <w:p w:rsidR="00B0509C" w:rsidRPr="00CC7D67" w:rsidRDefault="00B0509C" w:rsidP="00B0509C">
            <w:pPr>
              <w:pStyle w:val="Normal6"/>
              <w:rPr>
                <w:szCs w:val="24"/>
              </w:rPr>
            </w:pPr>
            <w:r w:rsidRPr="00CC7D67">
              <w:rPr>
                <w:vertAlign w:val="superscript"/>
              </w:rPr>
              <w:t>29</w:t>
            </w:r>
            <w:r w:rsidRPr="00CC7D67">
              <w:t> Directive 2014/94/UE du Parlement européen et du Conseil du 22 octobre 2014 sur le déploiement d’une infrastructure pour carburants alternatifs (JO L 307 du 28.10.2014,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 présent règlement doit offrir de la prévisibilité à l’industrie et aux responsables politiques. Il convient donc de définir dès à présent, dans le règlement, un mécanisme clair pour l’ajustement du niveau d’ambition de 2030.  L’annexe V bis définira à l’avance l’ajustement de l’objectif.</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427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Elżbieta Katarzyna Łukacijewska, Andrzej Grzyb</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E454A5">
            <w:pPr>
              <w:pStyle w:val="Normal6"/>
              <w:rPr>
                <w:szCs w:val="24"/>
              </w:rPr>
            </w:pPr>
            <w:r w:rsidRPr="00CC7D67">
              <w:rPr>
                <w:b/>
                <w:i/>
              </w:rPr>
              <w:t>1 bis.</w:t>
            </w:r>
            <w:r w:rsidRPr="00CC7D67">
              <w:rPr>
                <w:b/>
                <w:i/>
              </w:rPr>
              <w:tab/>
              <w:t>La Commission soumet, en 2024, un rapport au Parlement européen et au Conseil sur l’efficacité du présent règlement, accompagné, le cas échéant, d’une proposition visant à modifier le règlement. Ce rapport examine, entre autres, la représentativité en conditions d’utilisation réelles des valeurs d’émission de CO</w:t>
            </w:r>
            <w:r w:rsidRPr="00CC7D67">
              <w:rPr>
                <w:b/>
                <w:i/>
                <w:vertAlign w:val="subscript"/>
              </w:rPr>
              <w:t>2</w:t>
            </w:r>
            <w:r w:rsidRPr="00CC7D67">
              <w:rPr>
                <w:b/>
                <w:i/>
              </w:rPr>
              <w:t xml:space="preserve"> et de consommation d’énergie déterminées conformément au règlement (UE) 2017/1151, le déploiement sur le marché de l’Union de véhicules à émission nulle et à faibles émissions et la mise en place d’une infrastructure de recharge et de ravitaillement en carburant telle que prévue par la directive 2014/94/UE du Parlement européen et du Conseil, ainsi qu’une proposition de méthod</w:t>
            </w:r>
            <w:bookmarkStart w:id="0" w:name="_GoBack"/>
            <w:bookmarkEnd w:id="0"/>
            <w:r w:rsidRPr="00CC7D67">
              <w:rPr>
                <w:b/>
                <w:i/>
              </w:rPr>
              <w:t>e visant à mesurer les émissions de CO</w:t>
            </w:r>
            <w:r w:rsidRPr="00CC7D67">
              <w:rPr>
                <w:b/>
                <w:i/>
                <w:vertAlign w:val="subscript"/>
              </w:rPr>
              <w:t>2</w:t>
            </w:r>
            <w:r w:rsidRPr="00CC7D67">
              <w:rPr>
                <w:b/>
                <w:i/>
              </w:rPr>
              <w:t xml:space="preserve"> du cycle de vie et les émissions de CO</w:t>
            </w:r>
            <w:r w:rsidRPr="00CC7D67">
              <w:rPr>
                <w:b/>
                <w:i/>
                <w:vertAlign w:val="subscript"/>
              </w:rPr>
              <w:t>2</w:t>
            </w:r>
            <w:r w:rsidRPr="00CC7D67">
              <w:rPr>
                <w:b/>
                <w:i/>
              </w:rPr>
              <w:t xml:space="preserve"> «du puits à la roue» des véhicules.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428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Ulrike Müller, Gesine Meissner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bis.</w:t>
            </w:r>
            <w:r w:rsidRPr="00CC7D67">
              <w:rPr>
                <w:b/>
                <w:i/>
              </w:rPr>
              <w:tab/>
              <w:t>La Commission, parallèlement au rapport visé au paragraphe 1, soumet un rapport au Parlement européen et au Conseil contenant une méthode harmonisée pour la mesure des émissions de CO</w:t>
            </w:r>
            <w:r w:rsidRPr="00CC7D67">
              <w:rPr>
                <w:b/>
                <w:i/>
                <w:vertAlign w:val="subscript"/>
              </w:rPr>
              <w:t>2</w:t>
            </w:r>
            <w:r w:rsidRPr="00CC7D67">
              <w:rPr>
                <w:b/>
                <w:i/>
              </w:rPr>
              <w:t xml:space="preserve"> du cycle de vie des voitures particulières neuves et des véhicules utilitaires légers neufs qui sont immatriculés et vendus dans l’Union, y compris une analyse des possibilités de transition de l’approche actuelle des émissions au tuyau d’échappement vers une approche axée sur les émissions du cycle de vie dans le règlement pour l’après-2030. Ce rapport est fondé sur une consultation publique.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L’approche axée sur les émissions au tuyau d’échappement était appropriée tant que le moteur à combustion interne était la technologie dominante. Toutefois, au vu de l’importance croissante des systèmes à moteur électrique, le passage à une véritable évaluation des émissions neutre sur le plan technologique est nécessaire. Ces moteurs n’émettent pas d’émissions au niveau local, mais ils reposent sur un ensemble d’émissions provenant d’une production à plus forte intensité énergétique et de la production de leurs carburants. Ce phénomène doit être correctement traduit afin de garantir des conditions de concurrence équitables.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429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bis.</w:t>
            </w:r>
            <w:r w:rsidRPr="00CC7D67">
              <w:rPr>
                <w:b/>
                <w:i/>
              </w:rPr>
              <w:tab/>
              <w:t>Afin de faire en sorte que le déploiement de véhicules à émission nulle contribue aux objectifs de l’Union en matière d’efficacité énergétique et d’économie circulaire, la Commission présente, avant le 31 décembre 2020 au plus tard, des propositions, si nécessaire, en vue de la définition d’exigences minimales d’écoconception applicables à ces véhicules, en tenant compte des principes appliqués à d’autres produits liés à l’énergie en vertu de la directive 2009/125/CE.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430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Fredrick Federley,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bis.</w:t>
            </w:r>
            <w:r w:rsidRPr="00CC7D67">
              <w:rPr>
                <w:b/>
                <w:i/>
              </w:rPr>
              <w:tab/>
              <w:t>La Commission soumet, d’ici au 31 décembre 2026, un rapport au Parlement européen et au Conseil comportant une analyse des émissions de CO</w:t>
            </w:r>
            <w:r w:rsidRPr="00CC7D67">
              <w:rPr>
                <w:b/>
                <w:i/>
                <w:vertAlign w:val="subscript"/>
              </w:rPr>
              <w:t>2</w:t>
            </w:r>
            <w:r w:rsidRPr="00CC7D67">
              <w:rPr>
                <w:b/>
                <w:i/>
              </w:rPr>
              <w:t xml:space="preserve"> du cycle de vie des voitures particulières neuves et des véhicules utilitaires légers neufs qui sont immatriculés et vendus dans l’Union, y compris une analyse des options concernant les mesures réglementaires envisageables.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431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1 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1 ter.</w:t>
            </w:r>
            <w:r w:rsidRPr="00CC7D67">
              <w:rPr>
                <w:b/>
                <w:i/>
              </w:rPr>
              <w:tab/>
              <w:t>D’ici au 31 décembre 2019, la Commission réexamine la directive concernant la disponibilité d’informations sur la consommation de carburant et les émissions de CO</w:t>
            </w:r>
            <w:r w:rsidRPr="00CC7D67">
              <w:rPr>
                <w:b/>
                <w:i/>
                <w:vertAlign w:val="subscript"/>
              </w:rPr>
              <w:t>2</w:t>
            </w:r>
            <w:r w:rsidRPr="00CC7D67">
              <w:rPr>
                <w:b/>
                <w:i/>
              </w:rPr>
              <w:t xml:space="preserve"> (directive 1999/94/CE) afin de fournir aux consommateurs des données précises, solides et comparables concernant la consommation de carburant, les émissions de CO</w:t>
            </w:r>
            <w:r w:rsidRPr="00CC7D67">
              <w:rPr>
                <w:b/>
                <w:i/>
                <w:vertAlign w:val="subscript"/>
              </w:rPr>
              <w:t>2</w:t>
            </w:r>
            <w:r w:rsidRPr="00CC7D67">
              <w:rPr>
                <w:b/>
                <w:i/>
              </w:rPr>
              <w:t xml:space="preserve"> et les émissions de polluants des voitures particulières et des véhicules utilitaires légers mis sur le marché de l’Union.</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432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2.</w:t>
            </w:r>
            <w:r w:rsidRPr="00CC7D67">
              <w:tab/>
              <w:t xml:space="preserve">La Commission prend en compte les évaluations effectuées conformément à l’article 12 et </w:t>
            </w:r>
            <w:r w:rsidRPr="00CC7D67">
              <w:rPr>
                <w:b/>
                <w:i/>
              </w:rPr>
              <w:t>peut, le cas échéant réexaminer</w:t>
            </w:r>
            <w:r w:rsidRPr="00CC7D67">
              <w:t xml:space="preserve"> les procédures de mesure des émissions de CO</w:t>
            </w:r>
            <w:r w:rsidRPr="00CC7D67">
              <w:rPr>
                <w:vertAlign w:val="subscript"/>
              </w:rPr>
              <w:t>2</w:t>
            </w:r>
            <w:r w:rsidRPr="00CC7D67">
              <w:t xml:space="preserve"> décrites dans le règlement (CE) nº 715/2007. La Commission présente notamment des propositions </w:t>
            </w:r>
            <w:r w:rsidRPr="00CC7D67">
              <w:rPr>
                <w:b/>
                <w:i/>
              </w:rPr>
              <w:t>appropriées</w:t>
            </w:r>
            <w:r w:rsidRPr="00CC7D67">
              <w:t xml:space="preserve"> visant à adapter ces procédures pour qu’elles reflètent </w:t>
            </w:r>
            <w:r w:rsidRPr="00CC7D67">
              <w:rPr>
                <w:b/>
                <w:i/>
              </w:rPr>
              <w:t>convenablement</w:t>
            </w:r>
            <w:r w:rsidRPr="00CC7D67">
              <w:t xml:space="preserve"> les émissions de CO</w:t>
            </w:r>
            <w:r w:rsidRPr="00CC7D67">
              <w:rPr>
                <w:vertAlign w:val="subscript"/>
              </w:rPr>
              <w:t>2</w:t>
            </w:r>
            <w:r w:rsidRPr="00CC7D67">
              <w:t xml:space="preserve"> en conditions d’utilisation réelles des voitures et des véhicules utilitaires légers.</w:t>
            </w:r>
          </w:p>
        </w:tc>
        <w:tc>
          <w:tcPr>
            <w:tcW w:w="4876" w:type="dxa"/>
            <w:hideMark/>
          </w:tcPr>
          <w:p w:rsidR="00B0509C" w:rsidRPr="00CC7D67" w:rsidRDefault="00B0509C" w:rsidP="00B0509C">
            <w:pPr>
              <w:pStyle w:val="Normal6"/>
              <w:rPr>
                <w:szCs w:val="24"/>
              </w:rPr>
            </w:pPr>
            <w:r w:rsidRPr="00CC7D67">
              <w:t>2.</w:t>
            </w:r>
            <w:r w:rsidRPr="00CC7D67">
              <w:tab/>
              <w:t xml:space="preserve">La Commission prend en compte les évaluations effectuées conformément à l’article 12 et </w:t>
            </w:r>
            <w:r w:rsidRPr="00CC7D67">
              <w:rPr>
                <w:b/>
                <w:i/>
              </w:rPr>
              <w:t>réexamine</w:t>
            </w:r>
            <w:r w:rsidRPr="00CC7D67">
              <w:t xml:space="preserve"> les procédures de mesure des émissions de CO</w:t>
            </w:r>
            <w:r w:rsidRPr="00CC7D67">
              <w:rPr>
                <w:vertAlign w:val="subscript"/>
              </w:rPr>
              <w:t>2</w:t>
            </w:r>
            <w:r w:rsidRPr="00CC7D67">
              <w:t xml:space="preserve"> décrites dans le règlement (CE) nº 715/2007 </w:t>
            </w:r>
            <w:r w:rsidRPr="00CC7D67">
              <w:rPr>
                <w:b/>
                <w:i/>
              </w:rPr>
              <w:t>et, à partir de 2022, la procédure d’essai pour la mesure des émissions en conditions de conduite réelles grâce au système prédictif de surveillance des émissions</w:t>
            </w:r>
            <w:r w:rsidRPr="00CC7D67">
              <w:t>. La Commission présente notamment des propositions visant à adapter ces procédures pour qu’elles reflètent les émissions de CO</w:t>
            </w:r>
            <w:r w:rsidRPr="00CC7D67">
              <w:rPr>
                <w:vertAlign w:val="subscript"/>
              </w:rPr>
              <w:t>2</w:t>
            </w:r>
            <w:r w:rsidRPr="00CC7D67">
              <w:t xml:space="preserve"> en conditions d’utilisation réelles des voitures et des véhicules utilitaires légers.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433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3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3 bis.</w:t>
            </w:r>
            <w:r w:rsidRPr="00CC7D67">
              <w:rPr>
                <w:b/>
                <w:i/>
              </w:rPr>
              <w:tab/>
              <w:t>D’ici au 31 décembre 2019, la Commission réexamine la directive 1999/94/CE et présente une proposition pertinente visant à fournir aux consommateurs des données précises, solides et comparables concernant la consommation de carburant, les émissions de CO</w:t>
            </w:r>
            <w:r w:rsidRPr="00CC7D67">
              <w:rPr>
                <w:b/>
                <w:i/>
                <w:vertAlign w:val="subscript"/>
              </w:rPr>
              <w:t>2</w:t>
            </w:r>
            <w:r w:rsidRPr="00CC7D67">
              <w:rPr>
                <w:b/>
                <w:i/>
              </w:rPr>
              <w:t xml:space="preserve"> et les émissions de polluants atmosphériques des voitures particulières et des véhicules utilitaires légers mis sur le marché de l’Union.</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434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14 – paragraphe 3 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3 ter.</w:t>
            </w:r>
            <w:r w:rsidRPr="00CC7D67">
              <w:rPr>
                <w:b/>
                <w:i/>
              </w:rPr>
              <w:tab/>
              <w:t>Afin de faire en sorte que le déploiement de véhicules à émission nulle contribue aux objectifs de l’Union en matière d’efficacité énergétique et d’économie circulaire, la Commission présente, avant le 31 décembre 2020 au plus tard, une proposition pertinente concernant la définition d’exigences minimales d’écoconception applicables à ces véhicules, en tenant compte des principes appliqués à d’autres produits liés à l’énergie en vertu de la directive 2009/125/CE.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435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15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 xml:space="preserve">La Commission est assistée par le comité </w:t>
            </w:r>
            <w:r w:rsidRPr="00CC7D67">
              <w:rPr>
                <w:b/>
                <w:i/>
              </w:rPr>
              <w:t>de l’Union de l’énergie</w:t>
            </w:r>
            <w:r w:rsidRPr="00CC7D67">
              <w:t xml:space="preserve"> institué par </w:t>
            </w:r>
            <w:r w:rsidRPr="00CC7D67">
              <w:rPr>
                <w:b/>
                <w:i/>
              </w:rPr>
              <w:t>l’[article 37] [du règlement (UE) [...] du Parlement européen et du Conseil</w:t>
            </w:r>
            <w:r w:rsidRPr="00CC7D67">
              <w:rPr>
                <w:b/>
                <w:i/>
                <w:vertAlign w:val="superscript"/>
              </w:rPr>
              <w:t>30</w:t>
            </w:r>
            <w:r w:rsidRPr="00CC7D67">
              <w:t>. Ledit comité est un comité au sens du règlement (UE) nº 182/2011 du Parlement européen et du Conseil</w:t>
            </w:r>
            <w:r w:rsidRPr="00CC7D67">
              <w:rPr>
                <w:vertAlign w:val="superscript"/>
              </w:rPr>
              <w:t>31</w:t>
            </w:r>
            <w:r w:rsidRPr="00CC7D67">
              <w:t>.</w:t>
            </w:r>
          </w:p>
        </w:tc>
        <w:tc>
          <w:tcPr>
            <w:tcW w:w="4876" w:type="dxa"/>
            <w:hideMark/>
          </w:tcPr>
          <w:p w:rsidR="00B0509C" w:rsidRPr="00CC7D67" w:rsidRDefault="00B0509C" w:rsidP="00331135">
            <w:pPr>
              <w:pStyle w:val="Normal6"/>
              <w:rPr>
                <w:color w:val="000005"/>
                <w:szCs w:val="24"/>
              </w:rPr>
            </w:pPr>
            <w:r w:rsidRPr="00CC7D67">
              <w:t>1.</w:t>
            </w:r>
            <w:r w:rsidRPr="00CC7D67">
              <w:tab/>
              <w:t xml:space="preserve">La Commission est assistée par le comité </w:t>
            </w:r>
            <w:r w:rsidRPr="00CC7D67">
              <w:rPr>
                <w:b/>
                <w:i/>
              </w:rPr>
              <w:t>des changements climatiques</w:t>
            </w:r>
            <w:r w:rsidRPr="00CC7D67">
              <w:t xml:space="preserve"> institué par </w:t>
            </w:r>
            <w:r w:rsidRPr="00CC7D67">
              <w:rPr>
                <w:b/>
                <w:i/>
              </w:rPr>
              <w:t>l’article 9 de la décision n</w:t>
            </w:r>
            <w:r w:rsidR="00331135">
              <w:rPr>
                <w:b/>
                <w:i/>
              </w:rPr>
              <w:t>º</w:t>
            </w:r>
            <w:r w:rsidRPr="00CC7D67">
              <w:rPr>
                <w:b/>
                <w:i/>
              </w:rPr>
              <w:t> 280/2004/CE</w:t>
            </w:r>
            <w:r w:rsidRPr="00CC7D67">
              <w:t>. Ledit comité est un comité au sens du règlement (UE) nº 182/2011 du Parlement européen et du Conseil</w:t>
            </w:r>
            <w:r w:rsidRPr="00CC7D67">
              <w:rPr>
                <w:vertAlign w:val="superscript"/>
              </w:rPr>
              <w:t>31</w:t>
            </w:r>
            <w:r w:rsidRPr="00CC7D67">
              <w: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30</w:t>
            </w:r>
            <w:r w:rsidRPr="00CC7D67">
              <w:t> Règlement (UE) nº [.../...] du Parlement européen et du Conseil sur la gouvernance de l’Union de l’énergie (JO L ... du ...).</w:t>
            </w:r>
          </w:p>
        </w:tc>
        <w:tc>
          <w:tcPr>
            <w:tcW w:w="4876" w:type="dxa"/>
            <w:hideMark/>
          </w:tcPr>
          <w:p w:rsidR="00B0509C" w:rsidRPr="00CC7D67" w:rsidRDefault="00B0509C" w:rsidP="00B0509C">
            <w:pPr>
              <w:pStyle w:val="Normal6"/>
              <w:rPr>
                <w:color w:val="000005"/>
                <w:szCs w:val="24"/>
              </w:rPr>
            </w:pPr>
            <w:r w:rsidRPr="00CC7D67">
              <w:rPr>
                <w:vertAlign w:val="superscript"/>
              </w:rPr>
              <w:t>30</w:t>
            </w:r>
            <w:r w:rsidRPr="00CC7D67">
              <w:t> Règlement (UE) nº [.../...] du Parlement européen et du Conseil sur la gouvernance de l’Union de l’énergie (JO L ... du ...).</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31</w:t>
            </w:r>
            <w:r w:rsidRPr="00CC7D67">
              <w:t> Règlement (UE) nº 182/2011 du Parlement européen et du Conseil du 16 février 2011 établissant les règles et principes généraux relatifs aux modalités de contrôle par les États membres de l’exercice des compétences d’exécution par la Commission (JO L 55 du 28.2.2011, p. 13).</w:t>
            </w:r>
          </w:p>
        </w:tc>
        <w:tc>
          <w:tcPr>
            <w:tcW w:w="4876" w:type="dxa"/>
            <w:hideMark/>
          </w:tcPr>
          <w:p w:rsidR="00B0509C" w:rsidRPr="00CC7D67" w:rsidRDefault="00B0509C" w:rsidP="00B0509C">
            <w:pPr>
              <w:pStyle w:val="Normal6"/>
              <w:rPr>
                <w:szCs w:val="24"/>
              </w:rPr>
            </w:pPr>
            <w:r w:rsidRPr="00CC7D67">
              <w:rPr>
                <w:vertAlign w:val="superscript"/>
              </w:rPr>
              <w:t>31</w:t>
            </w:r>
            <w:r w:rsidRPr="00CC7D67">
              <w:t> Règlement (UE) nº 182/2011 du Parlement européen et du Conseil du 16 février 2011 établissant les règles et principes généraux relatifs aux modalités de contrôle par les États membres de l’exercice des compétences d’exécution par la Commission (JO L 55 du 28.2.2011, p. 13).</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 proposition maintient la structure de comité existante et est conforme à la position du Parlement sur la gouvernance de l’Union de l’énergie, qui est de maintenir le comité des changements climatiques pour les actes séparés relevant de la législation en matière de climat.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436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15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 xml:space="preserve">La Commission est assistée par le comité </w:t>
            </w:r>
            <w:r w:rsidRPr="00CC7D67">
              <w:rPr>
                <w:b/>
                <w:i/>
              </w:rPr>
              <w:t>de l’Union de l’énergie</w:t>
            </w:r>
            <w:r w:rsidRPr="00CC7D67">
              <w:t xml:space="preserve"> institué par </w:t>
            </w:r>
            <w:r w:rsidRPr="00CC7D67">
              <w:rPr>
                <w:b/>
                <w:i/>
              </w:rPr>
              <w:t>l’[article 37] [</w:t>
            </w:r>
            <w:r w:rsidRPr="00CC7D67">
              <w:t xml:space="preserve">du règlement (UE) </w:t>
            </w:r>
            <w:r w:rsidRPr="00CC7D67">
              <w:rPr>
                <w:b/>
                <w:i/>
              </w:rPr>
              <w:t>[...]</w:t>
            </w:r>
            <w:r w:rsidRPr="00CC7D67">
              <w:t xml:space="preserve"> du Parlement européen et du Conseil</w:t>
            </w:r>
            <w:r w:rsidRPr="00CC7D67">
              <w:rPr>
                <w:vertAlign w:val="superscript"/>
              </w:rPr>
              <w:t>30</w:t>
            </w:r>
            <w:r w:rsidRPr="00CC7D67">
              <w:t>. Ledit comité est un comité au sens du règlement (UE) nº 182/2011 du Parlement européen et du Conseil</w:t>
            </w:r>
            <w:r w:rsidRPr="00CC7D67">
              <w:rPr>
                <w:vertAlign w:val="superscript"/>
              </w:rPr>
              <w:t>31</w:t>
            </w:r>
            <w:r w:rsidRPr="00CC7D67">
              <w:t>.</w:t>
            </w:r>
          </w:p>
        </w:tc>
        <w:tc>
          <w:tcPr>
            <w:tcW w:w="4876" w:type="dxa"/>
            <w:hideMark/>
          </w:tcPr>
          <w:p w:rsidR="00B0509C" w:rsidRPr="00CC7D67" w:rsidRDefault="00B0509C" w:rsidP="00B0509C">
            <w:pPr>
              <w:pStyle w:val="Normal6"/>
              <w:rPr>
                <w:color w:val="000005"/>
                <w:szCs w:val="24"/>
              </w:rPr>
            </w:pPr>
            <w:r w:rsidRPr="00CC7D67">
              <w:t>1.</w:t>
            </w:r>
            <w:r w:rsidRPr="00CC7D67">
              <w:tab/>
              <w:t xml:space="preserve">La Commission est assistée par le comité </w:t>
            </w:r>
            <w:r w:rsidRPr="00CC7D67">
              <w:rPr>
                <w:b/>
                <w:i/>
              </w:rPr>
              <w:t>des changements climatiques</w:t>
            </w:r>
            <w:r w:rsidRPr="00CC7D67">
              <w:t xml:space="preserve"> institué par </w:t>
            </w:r>
            <w:r w:rsidRPr="00CC7D67">
              <w:rPr>
                <w:b/>
                <w:i/>
              </w:rPr>
              <w:t>l’article 26</w:t>
            </w:r>
            <w:r w:rsidRPr="00CC7D67">
              <w:t xml:space="preserve"> du règlement (UE) </w:t>
            </w:r>
            <w:r w:rsidRPr="00CC7D67">
              <w:rPr>
                <w:b/>
                <w:i/>
              </w:rPr>
              <w:t>nº 525/213</w:t>
            </w:r>
            <w:r w:rsidRPr="00CC7D67">
              <w:t xml:space="preserve"> du Parlement européen et du Conseil</w:t>
            </w:r>
            <w:r w:rsidRPr="00CC7D67">
              <w:rPr>
                <w:vertAlign w:val="superscript"/>
              </w:rPr>
              <w:t>30</w:t>
            </w:r>
            <w:r w:rsidRPr="00CC7D67">
              <w:t>. Ledit comité est un comité au sens du règlement (UE) nº 182/2011 du Parlement européen et du Conseil</w:t>
            </w:r>
            <w:r w:rsidRPr="00CC7D67">
              <w:rPr>
                <w:vertAlign w:val="superscript"/>
              </w:rPr>
              <w:t>31</w:t>
            </w:r>
            <w:r w:rsidRPr="00CC7D67">
              <w: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30</w:t>
            </w:r>
            <w:r w:rsidRPr="00CC7D67">
              <w:t> Règlement (UE) nº [.../...] du Parlement européen et du Conseil sur la gouvernance de l’Union de l’énergie (JO L ... du ...).</w:t>
            </w:r>
          </w:p>
        </w:tc>
        <w:tc>
          <w:tcPr>
            <w:tcW w:w="4876" w:type="dxa"/>
            <w:hideMark/>
          </w:tcPr>
          <w:p w:rsidR="00B0509C" w:rsidRPr="00CC7D67" w:rsidRDefault="00B0509C" w:rsidP="00B0509C">
            <w:pPr>
              <w:pStyle w:val="Normal6"/>
              <w:rPr>
                <w:color w:val="000005"/>
                <w:szCs w:val="24"/>
              </w:rPr>
            </w:pPr>
            <w:r w:rsidRPr="00CC7D67">
              <w:rPr>
                <w:vertAlign w:val="superscript"/>
              </w:rPr>
              <w:t>30</w:t>
            </w:r>
            <w:r w:rsidRPr="00CC7D67">
              <w:t> Règlement (UE) nº [.../...] du Parlement européen et du Conseil sur la gouvernance de l’Union de l’énergie (JO L ... du ...).</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31</w:t>
            </w:r>
            <w:r w:rsidRPr="00CC7D67">
              <w:t> Règlement (UE) nº 182/2011 du Parlement européen et du Conseil du 16 février 2011 établissant les règles et principes généraux relatifs aux modalités de contrôle par les États membres de l’exercice des compétences d’exécution par la Commission (JO L 55 du 28.2.2011, p. 13).</w:t>
            </w:r>
          </w:p>
        </w:tc>
        <w:tc>
          <w:tcPr>
            <w:tcW w:w="4876" w:type="dxa"/>
            <w:hideMark/>
          </w:tcPr>
          <w:p w:rsidR="00B0509C" w:rsidRPr="00CC7D67" w:rsidRDefault="00B0509C" w:rsidP="00B0509C">
            <w:pPr>
              <w:pStyle w:val="Normal6"/>
              <w:rPr>
                <w:szCs w:val="24"/>
              </w:rPr>
            </w:pPr>
            <w:r w:rsidRPr="00CC7D67">
              <w:rPr>
                <w:vertAlign w:val="superscript"/>
              </w:rPr>
              <w:t>31</w:t>
            </w:r>
            <w:r w:rsidRPr="00CC7D67">
              <w:t> Règlement (UE) nº 182/2011 du Parlement européen et du Conseil du 16 février 2011 établissant les règles et principes généraux relatifs aux modalités de contrôle par les États membres de l’exercice des compétences d’exécution par la Commission (JO L 55 du 28.2.2011, p. 13).</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Conformément à la position du Parlement européen sur la gouvernance de l’Union de l’énergie.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437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16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Le pouvoir d’adopter les actes délégués visés à l’article 7, paragraphe 7, deuxième alinéa, à l’article 10, paragraphe 8, à l’article 11, paragraphe 1, quatrième alinéa, à l’article 13, paragraphe 2, et à l’article 14, paragraphe 3, deuxième alinéa, est conféré à la Commission pour une période de temps indéterminée à partir du [la date d’entrée en vigueur du présent règlement].</w:t>
            </w:r>
          </w:p>
        </w:tc>
        <w:tc>
          <w:tcPr>
            <w:tcW w:w="4876" w:type="dxa"/>
            <w:hideMark/>
          </w:tcPr>
          <w:p w:rsidR="00B0509C" w:rsidRPr="00CC7D67" w:rsidRDefault="00B0509C" w:rsidP="00B0509C">
            <w:pPr>
              <w:pStyle w:val="Normal6"/>
              <w:rPr>
                <w:color w:val="000005"/>
                <w:szCs w:val="24"/>
              </w:rPr>
            </w:pPr>
            <w:r w:rsidRPr="00CC7D67">
              <w:t>1.</w:t>
            </w:r>
            <w:r w:rsidRPr="00CC7D67">
              <w:tab/>
              <w:t xml:space="preserve">Le pouvoir d’adopter les actes délégués visés </w:t>
            </w:r>
            <w:r w:rsidRPr="00CC7D67">
              <w:rPr>
                <w:b/>
                <w:i/>
              </w:rPr>
              <w:t>à l’article 6, paragraphe 8 bis,</w:t>
            </w:r>
            <w:r w:rsidRPr="00CC7D67">
              <w:t xml:space="preserve"> à l’article 7, paragraphe 7, deuxième alinéa, à l’article 10, paragraphe 8, à l’article 11, paragraphe 1, quatrième alinéa</w:t>
            </w:r>
            <w:r w:rsidRPr="00CC7D67">
              <w:rPr>
                <w:b/>
                <w:i/>
              </w:rPr>
              <w:t>, à l’article 12, paragraphes 1 bis et 2 bis</w:t>
            </w:r>
            <w:r w:rsidRPr="00CC7D67">
              <w:t>, à l’article 13, paragraphe 2, et à l’article 14, paragraphe 3, deuxième alinéa, est conféré à la Commission pour une période de temps indéterminée à partir du [la date d’entrée en vigueur du présent règlement].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03605A" w:rsidRDefault="00B0509C" w:rsidP="00B0509C">
            <w:pPr>
              <w:pStyle w:val="Normal6"/>
              <w:rPr>
                <w:szCs w:val="24"/>
              </w:rPr>
            </w:pPr>
            <w:r w:rsidRPr="0003605A">
              <w:rPr>
                <w:i/>
              </w:rPr>
              <w:t>(Cette modification s’applique à l’ensemble du texte législatif à l’examen; son adoption impose des adaptations techniques dans tout le texte.)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438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16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Le pouvoir d’adopter les actes délégués visés à l’article 7, paragraphe 7, deuxième alinéa, à l’article 10, paragraphe 8, à l’article 11, paragraphe 1, quatrième alinéa, à l’article 13, paragraphe 2, et à l’article 14, paragraphe 3, deuxième alinéa, est conféré à la Commission pour une période de temps indéterminée à partir du [la date d’entrée en vigueur du présent règlement].</w:t>
            </w:r>
          </w:p>
        </w:tc>
        <w:tc>
          <w:tcPr>
            <w:tcW w:w="4876" w:type="dxa"/>
            <w:hideMark/>
          </w:tcPr>
          <w:p w:rsidR="00B0509C" w:rsidRPr="00CC7D67" w:rsidRDefault="00B0509C" w:rsidP="00B0509C">
            <w:pPr>
              <w:pStyle w:val="Normal6"/>
              <w:rPr>
                <w:szCs w:val="24"/>
              </w:rPr>
            </w:pPr>
            <w:r w:rsidRPr="00CC7D67">
              <w:t>1.</w:t>
            </w:r>
            <w:r w:rsidRPr="00CC7D67">
              <w:tab/>
              <w:t xml:space="preserve">Le pouvoir d’adopter les actes délégués visés </w:t>
            </w:r>
            <w:r w:rsidRPr="00CC7D67">
              <w:rPr>
                <w:b/>
                <w:i/>
              </w:rPr>
              <w:t>à l’[article 1</w:t>
            </w:r>
            <w:r w:rsidRPr="00CC7D67">
              <w:rPr>
                <w:b/>
                <w:i/>
                <w:vertAlign w:val="superscript"/>
              </w:rPr>
              <w:t>er</w:t>
            </w:r>
            <w:r w:rsidRPr="00CC7D67">
              <w:rPr>
                <w:b/>
                <w:i/>
              </w:rPr>
              <w:t>, paragraphe 2 bis (nouveau)],</w:t>
            </w:r>
            <w:r w:rsidRPr="00CC7D67">
              <w:t xml:space="preserve"> à l’article 7, paragraphe 7, deuxième alinéa</w:t>
            </w:r>
            <w:r w:rsidRPr="00CC7D67">
              <w:rPr>
                <w:b/>
                <w:i/>
              </w:rPr>
              <w:t>, à l’article 7, paragraphe 8</w:t>
            </w:r>
            <w:r w:rsidRPr="00CC7D67">
              <w:t>, à l’article 10, paragraphe 8, à l’article 11, paragraphe 1, quatrième alinéa</w:t>
            </w:r>
            <w:r w:rsidRPr="00CC7D67">
              <w:rPr>
                <w:b/>
                <w:i/>
              </w:rPr>
              <w:t>, à l’article 12, paragraphe 1</w:t>
            </w:r>
            <w:r w:rsidRPr="00CC7D67">
              <w:t>, à l’article 13, paragraphe 2, et à l’article 14, paragraphe 3, deuxième alinéa, est conféré à la Commission pour une période de temps indéterminée à partir du [la date d’entrée en vigueur du présent règlement].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439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16 – paragraphe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1.</w:t>
            </w:r>
            <w:r w:rsidRPr="00CC7D67">
              <w:tab/>
              <w:t xml:space="preserve">Le pouvoir d’adopter les actes délégués visés à l’article 7, paragraphe 7, deuxième alinéa, à l’article 10, paragraphe 8, à l’article 11, paragraphe 1, quatrième alinéa, à l’article 13, paragraphe 2, et à l’article 14, paragraphe 3, deuxième alinéa, est conféré à la Commission pour une période </w:t>
            </w:r>
            <w:r w:rsidRPr="00CC7D67">
              <w:rPr>
                <w:b/>
                <w:i/>
              </w:rPr>
              <w:t>de temps indéterminée</w:t>
            </w:r>
            <w:r w:rsidRPr="00CC7D67">
              <w:t xml:space="preserve"> à partir </w:t>
            </w:r>
            <w:r w:rsidRPr="00CC7D67">
              <w:rPr>
                <w:b/>
                <w:i/>
              </w:rPr>
              <w:t>du [</w:t>
            </w:r>
            <w:r w:rsidRPr="00CC7D67">
              <w:t>la date d’entrée en vigueur du présent règlement</w:t>
            </w:r>
            <w:r w:rsidRPr="00CC7D67">
              <w:rPr>
                <w:b/>
                <w:i/>
              </w:rPr>
              <w:t>]</w:t>
            </w:r>
            <w:r w:rsidRPr="00CC7D67">
              <w:t>.</w:t>
            </w:r>
          </w:p>
        </w:tc>
        <w:tc>
          <w:tcPr>
            <w:tcW w:w="4876" w:type="dxa"/>
            <w:hideMark/>
          </w:tcPr>
          <w:p w:rsidR="00B0509C" w:rsidRPr="00CC7D67" w:rsidRDefault="00B0509C" w:rsidP="00B0509C">
            <w:pPr>
              <w:pStyle w:val="Normal6"/>
              <w:rPr>
                <w:szCs w:val="24"/>
              </w:rPr>
            </w:pPr>
            <w:r w:rsidRPr="00CC7D67">
              <w:t>1.</w:t>
            </w:r>
            <w:r w:rsidRPr="00CC7D67">
              <w:tab/>
              <w:t>Le pouvoir d’adopter les actes délégués visés à l’article 7, paragraphe 7, deuxième alinéa, à l’article </w:t>
            </w:r>
            <w:r w:rsidRPr="00CC7D67">
              <w:rPr>
                <w:b/>
                <w:i/>
              </w:rPr>
              <w:t>7, paragraphe 8</w:t>
            </w:r>
            <w:r w:rsidR="0003605A">
              <w:rPr>
                <w:b/>
                <w:i/>
              </w:rPr>
              <w:t> </w:t>
            </w:r>
            <w:r w:rsidRPr="00CC7D67">
              <w:rPr>
                <w:b/>
                <w:i/>
              </w:rPr>
              <w:t>bis, à l’article</w:t>
            </w:r>
            <w:r w:rsidRPr="00CC7D67">
              <w:t> 10, paragraphe 8, à l’article 11, paragraphe 1, quatrième alinéa</w:t>
            </w:r>
            <w:r w:rsidRPr="00CC7D67">
              <w:rPr>
                <w:b/>
                <w:i/>
              </w:rPr>
              <w:t>, à l’article 12, paragraphe 1 bis</w:t>
            </w:r>
            <w:r w:rsidRPr="00CC7D67">
              <w:t xml:space="preserve">, à l’article 13, paragraphe 2, et à l’article 14, paragraphe 3, deuxième alinéa, est conféré à la Commission pour </w:t>
            </w:r>
            <w:r w:rsidRPr="00CC7D67">
              <w:rPr>
                <w:b/>
                <w:i/>
              </w:rPr>
              <w:t>une</w:t>
            </w:r>
            <w:r w:rsidRPr="00CC7D67">
              <w:t xml:space="preserve"> période </w:t>
            </w:r>
            <w:r w:rsidRPr="00CC7D67">
              <w:rPr>
                <w:b/>
                <w:i/>
              </w:rPr>
              <w:t>de cinq ans</w:t>
            </w:r>
            <w:r w:rsidRPr="00CC7D67">
              <w:t xml:space="preserve"> à partir </w:t>
            </w:r>
            <w:r w:rsidRPr="00CC7D67">
              <w:rPr>
                <w:b/>
                <w:i/>
              </w:rPr>
              <w:t>de</w:t>
            </w:r>
            <w:r w:rsidRPr="00CC7D67">
              <w:t xml:space="preserve"> la date d’entrée en vigueur du présent règlement.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Cet amendement doit être lu en conjonction avec les amendements 18, 20, 35 et 40.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440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16 – paragraphe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2.</w:t>
            </w:r>
            <w:r w:rsidRPr="00CC7D67">
              <w:tab/>
              <w:t>La délégation de pouvoir visée à l’article 7, paragraphe 7, deuxième alinéa, à l’article 10, paragraphe 8, à l’article 11, paragraphe 1, quatrième alinéa, à l’article 13, paragraphe 2, et à l’article 14, paragraphe 3, deuxième alinéa, peut être révoquée à tout moment par le Parlement européen ou le Conseil. La décision de révocation met fin à la délégation de pouvoir qui y est précisée. La révocation prend effet le jour suivant celui de la publication de ladite décision au Journal officiel de l’Union européenne ou à une date ultérieure qui est précisée dans ladite décision. Elle ne porte pas atteinte à la validité des actes délégués déjà en vigueur.</w:t>
            </w:r>
          </w:p>
        </w:tc>
        <w:tc>
          <w:tcPr>
            <w:tcW w:w="4876" w:type="dxa"/>
            <w:hideMark/>
          </w:tcPr>
          <w:p w:rsidR="00B0509C" w:rsidRPr="00CC7D67" w:rsidRDefault="00B0509C" w:rsidP="00B0509C">
            <w:pPr>
              <w:pStyle w:val="Normal6"/>
              <w:rPr>
                <w:szCs w:val="24"/>
              </w:rPr>
            </w:pPr>
            <w:r w:rsidRPr="00CC7D67">
              <w:t>2.</w:t>
            </w:r>
            <w:r w:rsidRPr="00CC7D67">
              <w:tab/>
              <w:t xml:space="preserve">La délégation de pouvoir visée à </w:t>
            </w:r>
            <w:r w:rsidRPr="00CC7D67">
              <w:rPr>
                <w:b/>
                <w:i/>
              </w:rPr>
              <w:t>l’[article 1</w:t>
            </w:r>
            <w:r w:rsidR="0003605A" w:rsidRPr="0003605A">
              <w:rPr>
                <w:b/>
                <w:i/>
                <w:vertAlign w:val="superscript"/>
              </w:rPr>
              <w:t>er</w:t>
            </w:r>
            <w:r w:rsidRPr="00CC7D67">
              <w:rPr>
                <w:b/>
                <w:i/>
              </w:rPr>
              <w:t>, paragraphe 2 bis (nouveau)], à</w:t>
            </w:r>
            <w:r w:rsidRPr="00CC7D67">
              <w:t xml:space="preserve"> l’article 7, paragraphe 7, deuxième alinéa, </w:t>
            </w:r>
            <w:r w:rsidRPr="00CC7D67">
              <w:rPr>
                <w:b/>
                <w:i/>
              </w:rPr>
              <w:t>à l’article 7, paragraphe 8,</w:t>
            </w:r>
            <w:r w:rsidRPr="00CC7D67">
              <w:t xml:space="preserve"> à l’article 10, paragraphe 8, à l’article 11, paragraphe 1, quatrième alinéa</w:t>
            </w:r>
            <w:r w:rsidRPr="00CC7D67">
              <w:rPr>
                <w:b/>
                <w:i/>
              </w:rPr>
              <w:t>, à l’article 12, paragraphe 1</w:t>
            </w:r>
            <w:r w:rsidRPr="00CC7D67">
              <w:t>, à l’article 13, paragraphe 2, et à l’article 14, paragraphe 3, deuxième alinéa, peut être révoquée à tout moment par le Parlement européen ou le Conseil. La décision de révocation met fin à la délégation de pouvoir qui y est précisée. La révocation prend effet le jour suivant celui de la publication de ladite décision au Journal officiel de l’Union européenne ou à une date ultérieure qui est précisée dans ladite décision. Elle ne porte pas atteinte à la validité des actes délégués déjà en vigueur.</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441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16 – paragraphe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Un acte délégué adopté en vertu de l’article 7, paragraphe 7, deuxième alinéa, de l’article 10, paragraphe 8, de l’article 11, paragraphe 1, quatrième alinéa, de l’article 13, paragraphe 2, et de l’article 14, paragraphe 3, deuxième alinéa, n’entre en vigueur que si le Parlement européen ou le Conseil n’a pas exprimé d’objections dans un délai de deux mois à compter de la notification de cet acte au Parlement européen et au Conseil ou si, avant l’expiration de ce délai, le Parlement européen et le Conseil ont tous deux informé la Commission de leur intention de ne pas exprimer d’objections. Ce délai est prolongé de deux mois à l’initiative du Parlement européen ou du Conseil.</w:t>
            </w:r>
          </w:p>
        </w:tc>
        <w:tc>
          <w:tcPr>
            <w:tcW w:w="4876" w:type="dxa"/>
            <w:hideMark/>
          </w:tcPr>
          <w:p w:rsidR="00B0509C" w:rsidRPr="00CC7D67" w:rsidRDefault="00B0509C" w:rsidP="00B0509C">
            <w:pPr>
              <w:pStyle w:val="Normal6"/>
              <w:rPr>
                <w:szCs w:val="24"/>
              </w:rPr>
            </w:pPr>
            <w:r w:rsidRPr="00CC7D67">
              <w:t>4.</w:t>
            </w:r>
            <w:r w:rsidRPr="00CC7D67">
              <w:tab/>
              <w:t xml:space="preserve">Un acte délégué adopté en vertu de </w:t>
            </w:r>
            <w:r w:rsidRPr="00CC7D67">
              <w:rPr>
                <w:b/>
                <w:i/>
              </w:rPr>
              <w:t>l’[article 1</w:t>
            </w:r>
            <w:r w:rsidR="0003605A" w:rsidRPr="0003605A">
              <w:rPr>
                <w:b/>
                <w:i/>
                <w:vertAlign w:val="superscript"/>
              </w:rPr>
              <w:t>er</w:t>
            </w:r>
            <w:r w:rsidRPr="00CC7D67">
              <w:rPr>
                <w:b/>
                <w:i/>
              </w:rPr>
              <w:t xml:space="preserve">, paragraphe 2 bis (nouveau)], de </w:t>
            </w:r>
            <w:r w:rsidRPr="00CC7D67">
              <w:t xml:space="preserve">l’article 7, paragraphe 7, deuxième alinéa, </w:t>
            </w:r>
            <w:r w:rsidRPr="00CC7D67">
              <w:rPr>
                <w:b/>
                <w:i/>
              </w:rPr>
              <w:t>de l’article 7, paragraphe 8,</w:t>
            </w:r>
            <w:r w:rsidRPr="00CC7D67">
              <w:t xml:space="preserve"> de l’article 10, paragraphe 8, de l’article 11, paragraphe 1, quatrième alinéa, </w:t>
            </w:r>
            <w:r w:rsidRPr="00CC7D67">
              <w:rPr>
                <w:b/>
                <w:i/>
              </w:rPr>
              <w:t>de l’article 12, paragraphe 1,</w:t>
            </w:r>
            <w:r w:rsidRPr="00CC7D67">
              <w:t xml:space="preserve"> de l’article 13, paragraphe 2, et de l’article 14, paragraphe 3, deuxième alinéa, n’entre en vigueur que si le Parlement européen ou le Conseil n’a pas exprimé d’objections dans un délai de deux mois à compter de la notification de cet acte au Parlement européen et au Conseil ou si, avant l’expiration de ce délai, le Parlement européen et le Conseil ont tous deux informé la Commission de leur intention de ne pas exprimer d’objections. Ce délai est prolongé de deux mois à l’initiative du Parlement européen ou du Conseil.</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442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17 – paragraphe 1</w:t>
      </w:r>
      <w:r w:rsidRPr="00CC7D67">
        <w:rPr>
          <w:rStyle w:val="HideTWBExt"/>
          <w:b w:val="0"/>
          <w:noProof w:val="0"/>
        </w:rPr>
        <w:t>&lt;/Article&gt;</w:t>
      </w:r>
    </w:p>
    <w:p w:rsidR="00B0509C" w:rsidRPr="00CC7D67" w:rsidRDefault="00B0509C" w:rsidP="00B0509C">
      <w:pPr>
        <w:keepNext/>
      </w:pPr>
      <w:r w:rsidRPr="00CC7D67">
        <w:rPr>
          <w:rStyle w:val="HideTWBExt"/>
          <w:noProof w:val="0"/>
        </w:rPr>
        <w:t>&lt;DocAmend2&gt;</w:t>
      </w:r>
      <w:r w:rsidRPr="00CC7D67">
        <w:t>Règlement (CE) nº 715/2007</w:t>
      </w:r>
      <w:r w:rsidRPr="00CC7D67">
        <w:rPr>
          <w:rStyle w:val="HideTWBExt"/>
          <w:noProof w:val="0"/>
        </w:rPr>
        <w:t>&lt;/DocAmend2&gt;</w:t>
      </w:r>
    </w:p>
    <w:p w:rsidR="00B0509C" w:rsidRPr="00CC7D67" w:rsidRDefault="00B0509C" w:rsidP="00B0509C">
      <w:r w:rsidRPr="00CC7D67">
        <w:rPr>
          <w:rStyle w:val="HideTWBExt"/>
          <w:noProof w:val="0"/>
        </w:rPr>
        <w:t>&lt;Article2&gt;</w:t>
      </w:r>
      <w:r w:rsidRPr="00CC7D67">
        <w:t>Article 11 bis – paragraphe 2</w:t>
      </w:r>
      <w:r w:rsidRPr="00CC7D67">
        <w:rPr>
          <w:rStyle w:val="HideTWBExt"/>
          <w:noProof w:val="0"/>
        </w:rPr>
        <w:t>&lt;/Article2&gt;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2.</w:t>
            </w:r>
            <w:r w:rsidRPr="00CC7D67">
              <w:tab/>
              <w:t xml:space="preserve">La Commission adopte des actes </w:t>
            </w:r>
            <w:r w:rsidRPr="00CC7D67">
              <w:rPr>
                <w:b/>
                <w:i/>
              </w:rPr>
              <w:t>d’exécution</w:t>
            </w:r>
            <w:r w:rsidRPr="00CC7D67">
              <w:t xml:space="preserve"> conformément à l’article </w:t>
            </w:r>
            <w:r w:rsidRPr="00CC7D67">
              <w:rPr>
                <w:b/>
                <w:i/>
              </w:rPr>
              <w:t>15</w:t>
            </w:r>
            <w:r w:rsidRPr="00CC7D67">
              <w:t xml:space="preserve"> afin de déterminer les procédures permettant de vérifier la conformité en service des véhicules légers en ce qui concerne les valeurs certifiées des émissions de CO</w:t>
            </w:r>
            <w:r w:rsidRPr="00CC7D67">
              <w:rPr>
                <w:vertAlign w:val="subscript"/>
              </w:rPr>
              <w:t>2</w:t>
            </w:r>
            <w:r w:rsidRPr="00CC7D67">
              <w:t xml:space="preserve"> et de la consommation de carburant.</w:t>
            </w:r>
          </w:p>
        </w:tc>
        <w:tc>
          <w:tcPr>
            <w:tcW w:w="4876" w:type="dxa"/>
            <w:hideMark/>
          </w:tcPr>
          <w:p w:rsidR="00B0509C" w:rsidRPr="00CC7D67" w:rsidRDefault="00B0509C" w:rsidP="00B0509C">
            <w:pPr>
              <w:pStyle w:val="Normal6"/>
              <w:rPr>
                <w:szCs w:val="24"/>
              </w:rPr>
            </w:pPr>
            <w:r w:rsidRPr="00CC7D67">
              <w:t>2.</w:t>
            </w:r>
            <w:r w:rsidRPr="00CC7D67">
              <w:tab/>
              <w:t xml:space="preserve">La Commission adopte des actes </w:t>
            </w:r>
            <w:r w:rsidRPr="00CC7D67">
              <w:rPr>
                <w:b/>
                <w:i/>
              </w:rPr>
              <w:t>délégués</w:t>
            </w:r>
            <w:r w:rsidRPr="00CC7D67">
              <w:t xml:space="preserve"> conformément à l’article </w:t>
            </w:r>
            <w:r w:rsidRPr="00CC7D67">
              <w:rPr>
                <w:b/>
                <w:i/>
              </w:rPr>
              <w:t>14 bis</w:t>
            </w:r>
            <w:r w:rsidRPr="00CC7D67">
              <w:t xml:space="preserve"> afin de déterminer les procédures permettant de vérifier la conformité en service des véhicules légers en ce qui concerne les valeurs certifiées des émissions de CO</w:t>
            </w:r>
            <w:r w:rsidRPr="00CC7D67">
              <w:rPr>
                <w:vertAlign w:val="subscript"/>
              </w:rPr>
              <w:t>2</w:t>
            </w:r>
            <w:r w:rsidRPr="00CC7D67">
              <w:t xml:space="preserve"> et de la consommation de carburant.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 règlement (CE) nº 715/2007 n’a pas encore été aligné sur le traité de Lisbonne. Le Parlement a cependant clairement exprimé sa position dans le cadre du rapport Dess et des recommandations de la commission EMIS, à savoir que les actes délégués sont les seuls actes appropriés pour déterminer les procédures d’essai.</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443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17 – paragraphe 1</w:t>
      </w:r>
      <w:r w:rsidRPr="00CC7D67">
        <w:rPr>
          <w:rStyle w:val="HideTWBExt"/>
          <w:b w:val="0"/>
          <w:noProof w:val="0"/>
        </w:rPr>
        <w:t>&lt;/Article&gt;</w:t>
      </w:r>
    </w:p>
    <w:p w:rsidR="00B0509C" w:rsidRPr="00CC7D67" w:rsidRDefault="00B0509C" w:rsidP="00B0509C">
      <w:pPr>
        <w:keepNext/>
      </w:pPr>
      <w:r w:rsidRPr="00CC7D67">
        <w:rPr>
          <w:rStyle w:val="HideTWBExt"/>
          <w:noProof w:val="0"/>
        </w:rPr>
        <w:t>&lt;DocAmend2&gt;</w:t>
      </w:r>
      <w:r w:rsidRPr="00CC7D67">
        <w:t>Règlement (CE) nº 715/2007</w:t>
      </w:r>
      <w:r w:rsidRPr="00CC7D67">
        <w:rPr>
          <w:rStyle w:val="HideTWBExt"/>
          <w:noProof w:val="0"/>
        </w:rPr>
        <w:t>&lt;/DocAmend2&gt;</w:t>
      </w:r>
    </w:p>
    <w:p w:rsidR="00B0509C" w:rsidRPr="00CC7D67" w:rsidRDefault="00B0509C" w:rsidP="00B0509C">
      <w:r w:rsidRPr="00CC7D67">
        <w:rPr>
          <w:rStyle w:val="HideTWBExt"/>
          <w:noProof w:val="0"/>
        </w:rPr>
        <w:t>&lt;Article2&gt;</w:t>
      </w:r>
      <w:r w:rsidRPr="00CC7D67">
        <w:t>Article 14 bis (nouveau)</w:t>
      </w:r>
      <w:r w:rsidRPr="00CC7D67">
        <w:rPr>
          <w:rStyle w:val="HideTWBExt"/>
          <w:noProof w:val="0"/>
        </w:rPr>
        <w:t>&lt;/Article2&gt;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2 bis.</w:t>
            </w:r>
            <w:r w:rsidRPr="00CC7D67">
              <w:rPr>
                <w:b/>
                <w:i/>
              </w:rPr>
              <w:tab/>
              <w:t>L’article suivant est inséré:</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«Article 14 bis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Exercice de la délégation</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1. Le pouvoir d’adopter des actes délégués conféré à la Commission est soumis aux conditions fixées au présent article.</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2. Le pouvoir d’adopter les actes délégués visés à l’article 11 bis, paragraphe 2, est conféré à la Commission pour une durée de cinq ans à compter du ...[date d’entrée en vigueur du présent règlement modificatif]. La Commission élabore un rapport relatif à la délégation de pouvoir au plus tard neuf mois avant la fin de la période de cinq ans. La délégation de pouvoir est tacitement prorogée pour des périodes d’une durée identique, sauf si le Parlement européen ou le Conseil s’oppose à cette prorogation trois mois au plus tard avant la fin de chaque période.</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3. La délégation de pouvoir visée à l’article 11 bis, paragraphe 2, peut être révoquée à tout moment par le Parlement européen ou le Conseil. La décision de révocation met fin à la délégation de pouvoir qui y est précisée. La révocation prend effet le jour suivant celui de la publication de ladite décision au Journal officiel de l’Union européenne ou à une date ultérieure qui est précisée dans ladite décision. Elle ne porte pas atteinte à la validité des actes délégués déjà en vigueur.</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4. Avant d’adopter un acte délégué, la Commission consulte les experts désignés par chaque État membre, conformément aux principes définis dans l’accord interinstitutionnel «Mieux légiférer» du 13 avril 2016*.</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5. Aussitôt qu’elle adopte un acte délégué, la Commission le notifie au Parlement européen et au Conseil simultanément.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6. Un acte délégué adopté en vertu de l’article 11 bis, paragraphe 2, n’entre en vigueur que si le Parlement européen ou le Conseil n’a pas exprimé d’objections dans un délai de deux mois à compter de la notification de cet acte au Parlement européen et au Conseil ou si, avant l’expiration de ce délai, le Parlement européen et le Conseil ont tous deux informé la Commission de leur intention de ne pas exprimer d’objections. Ce délai est prolongé de deux mois à l’initiative du Parlement européen ou du Conseil.</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___________________</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 JO L 123 du 12.5.2016,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 règlement (CE) nº 715/2007 n’a pas encore été aligné sur le traité de Lisbonne. Le Parlement a cependant clairement exprimé sa position dans le cadre du rapport Dess et des recommandations de la commission EMIS, à savoir que les actes délégués sont les seuls actes appropriés pour déterminer les procédures d’essai.</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444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Article 19 – paragraphe 1 – alinéa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En revanche, l’article 6, paragraphe 8 bis, l’article 7, paragraphe 7, deuxième alinéa, l’article 10, paragraphe 8, l’article 11, paragraphe 1, quatrième alinéa, l’article 12, paragraphes 1 bis et 2 bis, l’article 13, paragraphe 2, et l’article 14, paragraphe 3, deuxième alinéa, sont applicables à partir de la date d’entrée en vigueur du présent règlement.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445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 Leinen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3 – alinéa 2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WLTP</w:t>
            </w:r>
            <w:r w:rsidRPr="00CC7D67">
              <w:rPr>
                <w:vertAlign w:val="subscript"/>
              </w:rPr>
              <w:t>CO2</w:t>
            </w:r>
            <w:r w:rsidRPr="00CC7D67">
              <w:t xml:space="preserve"> correspond aux émissions spécifiques moyennes de CO</w:t>
            </w:r>
            <w:r w:rsidRPr="00CC7D67">
              <w:rPr>
                <w:vertAlign w:val="subscript"/>
              </w:rPr>
              <w:t>2</w:t>
            </w:r>
            <w:r w:rsidRPr="00CC7D67">
              <w:t xml:space="preserve"> en 2020, déterminées conformément à l’annexe XXI du règlement (UE) 2017/1151</w:t>
            </w:r>
            <w:r w:rsidRPr="00CC7D67">
              <w:rPr>
                <w:vertAlign w:val="superscript"/>
              </w:rPr>
              <w:t>36</w:t>
            </w:r>
            <w:r w:rsidRPr="00CC7D67">
              <w:t xml:space="preserve"> de la Commission et calculées en application des dispositions de l’article 4, paragraphe 3, second tiret, du présent règlement, sans qu’il soit tenu compte des réductions des émissions de CO</w:t>
            </w:r>
            <w:r w:rsidRPr="00CC7D67">
              <w:rPr>
                <w:vertAlign w:val="subscript"/>
              </w:rPr>
              <w:t>2</w:t>
            </w:r>
            <w:r w:rsidRPr="00CC7D67">
              <w:t xml:space="preserve"> dues à l’application des articles 5 et 11 du présent règlement;</w:t>
            </w:r>
          </w:p>
        </w:tc>
        <w:tc>
          <w:tcPr>
            <w:tcW w:w="4876" w:type="dxa"/>
            <w:hideMark/>
          </w:tcPr>
          <w:p w:rsidR="00B0509C" w:rsidRPr="00CC7D67" w:rsidRDefault="00B0509C" w:rsidP="00B0509C">
            <w:pPr>
              <w:pStyle w:val="Normal6"/>
              <w:rPr>
                <w:color w:val="000005"/>
                <w:szCs w:val="24"/>
              </w:rPr>
            </w:pPr>
            <w:r w:rsidRPr="00CC7D67">
              <w:t>WLTP</w:t>
            </w:r>
            <w:r w:rsidRPr="00CC7D67">
              <w:rPr>
                <w:vertAlign w:val="subscript"/>
              </w:rPr>
              <w:t>CO2</w:t>
            </w:r>
            <w:r w:rsidRPr="00CC7D67">
              <w:t xml:space="preserve"> correspond aux émissions spécifiques moyennes de CO</w:t>
            </w:r>
            <w:r w:rsidRPr="00CC7D67">
              <w:rPr>
                <w:vertAlign w:val="subscript"/>
              </w:rPr>
              <w:t>2</w:t>
            </w:r>
            <w:r w:rsidRPr="00CC7D67">
              <w:t xml:space="preserve"> en 2020, déterminées conformément à l’annexe XXI du règlement (UE) 2017/1151</w:t>
            </w:r>
            <w:r w:rsidRPr="00CC7D67">
              <w:rPr>
                <w:vertAlign w:val="superscript"/>
              </w:rPr>
              <w:t>36</w:t>
            </w:r>
            <w:r w:rsidRPr="00CC7D67">
              <w:t xml:space="preserve"> de la Commission et calculées en application des dispositions de l’article 4, paragraphe 3, second tiret, du présent règlement, sans qu’il soit tenu compte des réductions des émissions de CO</w:t>
            </w:r>
            <w:r w:rsidRPr="00CC7D67">
              <w:rPr>
                <w:vertAlign w:val="subscript"/>
              </w:rPr>
              <w:t>2</w:t>
            </w:r>
            <w:r w:rsidRPr="00CC7D67">
              <w:t xml:space="preserve"> dues à l’application des articles 5 et 11 du présent règlement; </w:t>
            </w:r>
            <w:r w:rsidRPr="00CC7D67">
              <w:rPr>
                <w:b/>
                <w:i/>
              </w:rPr>
              <w:t>seule la valeur des émissions de CO</w:t>
            </w:r>
            <w:r w:rsidRPr="00CC7D67">
              <w:rPr>
                <w:b/>
                <w:i/>
                <w:vertAlign w:val="subscript"/>
              </w:rPr>
              <w:t>2</w:t>
            </w:r>
            <w:r w:rsidRPr="00CC7D67">
              <w:rPr>
                <w:b/>
                <w:i/>
              </w:rPr>
              <w:t xml:space="preserve"> WLTP mesurées (et non pas déclarées) est utilisée pour calculer l’objectif d’émissions spécifiques de référence WLTP pour chaque constructeur;</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36</w:t>
            </w:r>
            <w:r w:rsidRPr="00CC7D67">
              <w:t> Règlement (UE) 2017/1151 de la Commission du 1</w:t>
            </w:r>
            <w:r w:rsidRPr="00CC7D67">
              <w:rPr>
                <w:vertAlign w:val="superscript"/>
              </w:rPr>
              <w:t>er</w:t>
            </w:r>
            <w:r w:rsidRPr="00CC7D67">
              <w:t> juin 2017 complétant le règlement (CE) nº 715/2007 du Parlement européen et du Conseil relatif à la réception des véhicules à moteur au regard des émissions des véhicules particuliers et utilitaires légers (Euro 5 et Euro 6) et aux informations sur la réparation et l’entretien des véhicules, modifiant la directive 2007/46/CE du Parlement européen et du Conseil, le règlement (CE) nº 692/2008 de la Commission et le règlement (UE) nº 1230/2012 de la Commission et abrogeant le règlement (CE) nº 692/2008 (JO L 175 du 7.7.2017, p. 1).</w:t>
            </w:r>
          </w:p>
        </w:tc>
        <w:tc>
          <w:tcPr>
            <w:tcW w:w="4876" w:type="dxa"/>
            <w:hideMark/>
          </w:tcPr>
          <w:p w:rsidR="00B0509C" w:rsidRPr="00CC7D67" w:rsidRDefault="00B0509C" w:rsidP="00B0509C">
            <w:pPr>
              <w:pStyle w:val="Normal6"/>
              <w:rPr>
                <w:szCs w:val="24"/>
              </w:rPr>
            </w:pPr>
            <w:r w:rsidRPr="00CC7D67">
              <w:rPr>
                <w:vertAlign w:val="superscript"/>
              </w:rPr>
              <w:t>36</w:t>
            </w:r>
            <w:r w:rsidRPr="00CC7D67">
              <w:t> Règlement (UE) 2017/1151 de la Commission du 1</w:t>
            </w:r>
            <w:r w:rsidRPr="00CC7D67">
              <w:rPr>
                <w:vertAlign w:val="superscript"/>
              </w:rPr>
              <w:t>er</w:t>
            </w:r>
            <w:r w:rsidRPr="00CC7D67">
              <w:t> juin 2017 complétant le règlement (CE) nº 715/2007 du Parlement européen et du Conseil relatif à la réception des véhicules à moteur au regard des émissions des véhicules particuliers et utilitaires légers (Euro 5 et Euro 6) et aux informations sur la réparation et l’entretien des véhicules, modifiant la directive 2007/46/CE du Parlement européen et du Conseil, le règlement (CE) nº 692/2008 de la Commission et le règlement (UE) nº 1230/2012 de la Commission et abrogeant le règlement (CE) nº 692/2008 (JO L 175 du 7.7.2017,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446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3 – alinéa 2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WLTP</w:t>
            </w:r>
            <w:r w:rsidRPr="00CC7D67">
              <w:rPr>
                <w:vertAlign w:val="subscript"/>
              </w:rPr>
              <w:t>CO2</w:t>
            </w:r>
            <w:r w:rsidRPr="00CC7D67">
              <w:t xml:space="preserve"> correspond aux émissions spécifiques moyennes de CO</w:t>
            </w:r>
            <w:r w:rsidRPr="00CC7D67">
              <w:rPr>
                <w:vertAlign w:val="subscript"/>
              </w:rPr>
              <w:t>2</w:t>
            </w:r>
            <w:r w:rsidRPr="00CC7D67">
              <w:t xml:space="preserve"> en 2020, déterminées conformément à l’annexe XXI du règlement (UE) 2017/1151</w:t>
            </w:r>
            <w:r w:rsidRPr="00CC7D67">
              <w:rPr>
                <w:vertAlign w:val="superscript"/>
              </w:rPr>
              <w:t>36</w:t>
            </w:r>
            <w:r w:rsidRPr="00CC7D67">
              <w:t xml:space="preserve"> de la Commission et calculées en application des dispositions de l’article 4, paragraphe 3, second tiret, du présent règlement, sans qu’il soit tenu compte des réductions des émissions de CO</w:t>
            </w:r>
            <w:r w:rsidRPr="00CC7D67">
              <w:rPr>
                <w:vertAlign w:val="subscript"/>
              </w:rPr>
              <w:t>2</w:t>
            </w:r>
            <w:r w:rsidRPr="00CC7D67">
              <w:t xml:space="preserve"> dues à l’application des articles 5 et 11 du présent règlement;</w:t>
            </w:r>
          </w:p>
        </w:tc>
        <w:tc>
          <w:tcPr>
            <w:tcW w:w="4876" w:type="dxa"/>
            <w:hideMark/>
          </w:tcPr>
          <w:p w:rsidR="00B0509C" w:rsidRPr="00CC7D67" w:rsidRDefault="00B0509C" w:rsidP="00B0509C">
            <w:pPr>
              <w:pStyle w:val="Normal6"/>
              <w:rPr>
                <w:color w:val="000005"/>
                <w:szCs w:val="24"/>
              </w:rPr>
            </w:pPr>
            <w:r w:rsidRPr="00CC7D67">
              <w:t>WLTP</w:t>
            </w:r>
            <w:r w:rsidRPr="00CC7D67">
              <w:rPr>
                <w:vertAlign w:val="subscript"/>
              </w:rPr>
              <w:t>CO2</w:t>
            </w:r>
            <w:r w:rsidRPr="00CC7D67">
              <w:t xml:space="preserve"> correspond aux émissions spécifiques moyennes de CO</w:t>
            </w:r>
            <w:r w:rsidRPr="00CC7D67">
              <w:rPr>
                <w:vertAlign w:val="subscript"/>
              </w:rPr>
              <w:t>2</w:t>
            </w:r>
            <w:r w:rsidRPr="00CC7D67">
              <w:t xml:space="preserve"> en 2020, déterminées conformément à l’annexe XXI du règlement (UE) 2017/1151</w:t>
            </w:r>
            <w:r w:rsidRPr="00CC7D67">
              <w:rPr>
                <w:vertAlign w:val="superscript"/>
              </w:rPr>
              <w:t>36</w:t>
            </w:r>
            <w:r w:rsidRPr="00CC7D67">
              <w:t xml:space="preserve"> de la Commission et calculées en application des dispositions de l’article 4, paragraphe 3, second tiret, du présent règlement, sans qu’il soit tenu compte des réductions des émissions de CO</w:t>
            </w:r>
            <w:r w:rsidRPr="00CC7D67">
              <w:rPr>
                <w:vertAlign w:val="subscript"/>
              </w:rPr>
              <w:t>2</w:t>
            </w:r>
            <w:r w:rsidRPr="00CC7D67">
              <w:t xml:space="preserve"> dues à l’application des articles 5 et 11 du présent règlement; </w:t>
            </w:r>
            <w:r w:rsidR="004E0A0F">
              <w:rPr>
                <w:b/>
                <w:i/>
              </w:rPr>
              <w:t>s</w:t>
            </w:r>
            <w:r w:rsidRPr="00CC7D67">
              <w:rPr>
                <w:b/>
                <w:i/>
              </w:rPr>
              <w:t>eule la valeur des émissions de CO</w:t>
            </w:r>
            <w:r w:rsidRPr="00CC7D67">
              <w:rPr>
                <w:b/>
                <w:i/>
                <w:vertAlign w:val="subscript"/>
              </w:rPr>
              <w:t>2</w:t>
            </w:r>
            <w:r w:rsidRPr="00CC7D67">
              <w:rPr>
                <w:b/>
                <w:i/>
              </w:rPr>
              <w:t xml:space="preserve"> WLTP mesurées peut servir à calculer l’objectif d’émissions spécifiques de référence WLTP pour chaque constructeur;</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__________________</w:t>
            </w:r>
          </w:p>
        </w:tc>
        <w:tc>
          <w:tcPr>
            <w:tcW w:w="4876" w:type="dxa"/>
            <w:hideMark/>
          </w:tcPr>
          <w:p w:rsidR="00B0509C" w:rsidRPr="00CC7D67" w:rsidRDefault="00B0509C" w:rsidP="00B0509C">
            <w:pPr>
              <w:pStyle w:val="Normal6"/>
              <w:rPr>
                <w:color w:val="000005"/>
                <w:szCs w:val="24"/>
              </w:rPr>
            </w:pPr>
            <w:r w:rsidRPr="00CC7D67">
              <w:t>__________________</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vertAlign w:val="superscript"/>
              </w:rPr>
              <w:t>36</w:t>
            </w:r>
            <w:r w:rsidRPr="00CC7D67">
              <w:t> Règlement (UE) 2017/1151 de la Commission du 1</w:t>
            </w:r>
            <w:r w:rsidRPr="00CC7D67">
              <w:rPr>
                <w:vertAlign w:val="superscript"/>
              </w:rPr>
              <w:t>er</w:t>
            </w:r>
            <w:r w:rsidRPr="00CC7D67">
              <w:t> juin 2017 complétant le règlement (CE) nº 715/2007 du Parlement européen et du Conseil relatif à la réception des véhicules à moteur au regard des émissions des véhicules particuliers et utilitaires légers (Euro 5 et Euro 6) et aux informations sur la réparation et l’entretien des véhicules, modifiant la directive 2007/46/CE du Parlement européen et du Conseil, le règlement (CE) nº 692/2008 de la Commission et le règlement (UE) nº 1230/2012 de la Commission et abrogeant le règlement (CE) nº 692/2008 (JO L 175 du 7.7.2017, p. 1).</w:t>
            </w:r>
          </w:p>
        </w:tc>
        <w:tc>
          <w:tcPr>
            <w:tcW w:w="4876" w:type="dxa"/>
            <w:hideMark/>
          </w:tcPr>
          <w:p w:rsidR="00B0509C" w:rsidRPr="00CC7D67" w:rsidRDefault="00B0509C" w:rsidP="00B0509C">
            <w:pPr>
              <w:pStyle w:val="Normal6"/>
              <w:rPr>
                <w:szCs w:val="24"/>
              </w:rPr>
            </w:pPr>
            <w:r w:rsidRPr="00CC7D67">
              <w:rPr>
                <w:vertAlign w:val="superscript"/>
              </w:rPr>
              <w:t>36</w:t>
            </w:r>
            <w:r w:rsidRPr="00CC7D67">
              <w:t> Règlement (UE) 2017/1151 de la Commission du 1</w:t>
            </w:r>
            <w:r w:rsidRPr="00CC7D67">
              <w:rPr>
                <w:vertAlign w:val="superscript"/>
              </w:rPr>
              <w:t>er</w:t>
            </w:r>
            <w:r w:rsidRPr="00CC7D67">
              <w:t> juin 2017 complétant le règlement (CE) nº 715/2007 du Parlement européen et du Conseil relatif à la réception des véhicules à moteur au regard des émissions des véhicules particuliers et utilitaires légers (Euro 5 et Euro 6) et aux informations sur la réparation et l’entretien des véhicules, modifiant la directive 2007/46/CE du Parlement européen et du Conseil, le règlement (CE) nº 692/2008 de la Commission et le règlement (UE) nº 1230/2012 de la Commission et abrogeant le règlement (CE) nº 692/2008 (JO L 175 du 7.7.2017, p. 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447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4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Pour les années civiles 2021 à </w:t>
            </w:r>
            <w:r w:rsidRPr="00CC7D67">
              <w:rPr>
                <w:b/>
                <w:i/>
              </w:rPr>
              <w:t>2024</w:t>
            </w:r>
            <w:r w:rsidRPr="00CC7D67">
              <w:t>, l’objectif d’émissions spécifiques d’un constructeur est calculé comme suit:</w:t>
            </w:r>
          </w:p>
        </w:tc>
        <w:tc>
          <w:tcPr>
            <w:tcW w:w="4876" w:type="dxa"/>
            <w:hideMark/>
          </w:tcPr>
          <w:p w:rsidR="00B0509C" w:rsidRPr="00CC7D67" w:rsidRDefault="00B0509C" w:rsidP="00B0509C">
            <w:pPr>
              <w:pStyle w:val="Normal6"/>
              <w:rPr>
                <w:szCs w:val="24"/>
              </w:rPr>
            </w:pPr>
            <w:r w:rsidRPr="00CC7D67">
              <w:t>4.</w:t>
            </w:r>
            <w:r w:rsidRPr="00CC7D67">
              <w:tab/>
              <w:t>Pour les années civiles 2021 à </w:t>
            </w:r>
            <w:r w:rsidRPr="00CC7D67">
              <w:rPr>
                <w:b/>
                <w:i/>
              </w:rPr>
              <w:t>2029</w:t>
            </w:r>
            <w:r w:rsidRPr="00CC7D67">
              <w:t>, l’objectif d’émissions spécifiques d’un constructeur est calculé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448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4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Pour les années civiles 2021 à </w:t>
            </w:r>
            <w:r w:rsidRPr="00CC7D67">
              <w:rPr>
                <w:b/>
                <w:i/>
              </w:rPr>
              <w:t>2024</w:t>
            </w:r>
            <w:r w:rsidRPr="00CC7D67">
              <w:t>, l’objectif d’émissions spécifiques d’un constructeur est calculé comme suit:</w:t>
            </w:r>
          </w:p>
        </w:tc>
        <w:tc>
          <w:tcPr>
            <w:tcW w:w="4876" w:type="dxa"/>
            <w:hideMark/>
          </w:tcPr>
          <w:p w:rsidR="00B0509C" w:rsidRPr="00CC7D67" w:rsidRDefault="00B0509C" w:rsidP="00B0509C">
            <w:pPr>
              <w:pStyle w:val="Normal6"/>
              <w:rPr>
                <w:szCs w:val="24"/>
              </w:rPr>
            </w:pPr>
            <w:r w:rsidRPr="00CC7D67">
              <w:t>4.</w:t>
            </w:r>
            <w:r w:rsidRPr="00CC7D67">
              <w:tab/>
              <w:t>Pour les années civiles 2021 à </w:t>
            </w:r>
            <w:r w:rsidRPr="00CC7D67">
              <w:rPr>
                <w:b/>
                <w:i/>
              </w:rPr>
              <w:t>2029</w:t>
            </w:r>
            <w:r w:rsidRPr="00CC7D67">
              <w:t>, l’objectif d’émissions spécifiques d’un constructeur est calculé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449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4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Pour les années civiles 2021 à </w:t>
            </w:r>
            <w:r w:rsidRPr="00CC7D67">
              <w:rPr>
                <w:b/>
                <w:i/>
              </w:rPr>
              <w:t>2024</w:t>
            </w:r>
            <w:r w:rsidRPr="00CC7D67">
              <w:t>, l’objectif d’émissions spécifiques d’un constructeur est calculé comme suit:</w:t>
            </w:r>
          </w:p>
        </w:tc>
        <w:tc>
          <w:tcPr>
            <w:tcW w:w="4876" w:type="dxa"/>
            <w:hideMark/>
          </w:tcPr>
          <w:p w:rsidR="00B0509C" w:rsidRPr="00CC7D67" w:rsidRDefault="00B0509C" w:rsidP="00B0509C">
            <w:pPr>
              <w:pStyle w:val="Normal6"/>
              <w:rPr>
                <w:szCs w:val="24"/>
              </w:rPr>
            </w:pPr>
            <w:r w:rsidRPr="00CC7D67">
              <w:t>4.</w:t>
            </w:r>
            <w:r w:rsidRPr="00CC7D67">
              <w:tab/>
              <w:t>Pour les années civiles 2021 à </w:t>
            </w:r>
            <w:r w:rsidRPr="00CC7D67">
              <w:rPr>
                <w:b/>
                <w:i/>
              </w:rPr>
              <w:t>2029</w:t>
            </w:r>
            <w:r w:rsidRPr="00CC7D67">
              <w:t>, l’objectif d’émissions spécifiques d’un constructeur est calculé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450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4 – alinéa 2 – ligne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M</w:t>
            </w:r>
            <w:r w:rsidRPr="00CC7D67">
              <w:rPr>
                <w:vertAlign w:val="subscript"/>
              </w:rPr>
              <w:t>0</w:t>
            </w:r>
            <w:r w:rsidRPr="00CC7D67">
              <w:t xml:space="preserve"> est égale à 1379,88 en 2021, et telle que définie à l’article 13, paragraphe 1, point a) pour la période 2022</w:t>
            </w:r>
            <w:r w:rsidRPr="00CC7D67">
              <w:rPr>
                <w:b/>
                <w:i/>
              </w:rPr>
              <w:t>, 2023 et 2024</w:t>
            </w:r>
            <w:r w:rsidRPr="00CC7D67">
              <w:t>;</w:t>
            </w:r>
          </w:p>
        </w:tc>
        <w:tc>
          <w:tcPr>
            <w:tcW w:w="4876" w:type="dxa"/>
            <w:hideMark/>
          </w:tcPr>
          <w:p w:rsidR="00B0509C" w:rsidRPr="00CC7D67" w:rsidRDefault="00B0509C" w:rsidP="00B0509C">
            <w:pPr>
              <w:pStyle w:val="Normal6"/>
              <w:rPr>
                <w:szCs w:val="24"/>
              </w:rPr>
            </w:pPr>
            <w:r w:rsidRPr="00CC7D67">
              <w:t>M</w:t>
            </w:r>
            <w:r w:rsidRPr="00CC7D67">
              <w:rPr>
                <w:vertAlign w:val="subscript"/>
              </w:rPr>
              <w:t>0</w:t>
            </w:r>
            <w:r w:rsidRPr="00CC7D67">
              <w:t xml:space="preserve"> est égale à 1379,88 en 2021, et telle que définie à l’article 13, paragraphe 1, point a) pour la période </w:t>
            </w:r>
            <w:r w:rsidRPr="00CC7D67">
              <w:rPr>
                <w:b/>
                <w:i/>
              </w:rPr>
              <w:t>de</w:t>
            </w:r>
            <w:r w:rsidRPr="00CC7D67">
              <w:t xml:space="preserve"> 2022 </w:t>
            </w:r>
            <w:r w:rsidRPr="00CC7D67">
              <w:rPr>
                <w:b/>
                <w:i/>
              </w:rPr>
              <w:t>à 2029</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451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4 – alinéa 2 – sous-alinéa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M</w:t>
            </w:r>
            <w:r w:rsidRPr="00CC7D67">
              <w:rPr>
                <w:vertAlign w:val="subscript"/>
              </w:rPr>
              <w:t>0</w:t>
            </w:r>
            <w:r w:rsidRPr="00CC7D67">
              <w:t xml:space="preserve"> est égale à 1 379,88 en 2021, et telle que définie à l’article 13, paragraphe 1, point a) pour la période 2022</w:t>
            </w:r>
            <w:r w:rsidRPr="00CC7D67">
              <w:rPr>
                <w:b/>
                <w:i/>
              </w:rPr>
              <w:t>, 2023 et 2024</w:t>
            </w:r>
            <w:r w:rsidRPr="00CC7D67">
              <w:t>;</w:t>
            </w:r>
          </w:p>
        </w:tc>
        <w:tc>
          <w:tcPr>
            <w:tcW w:w="4876" w:type="dxa"/>
            <w:hideMark/>
          </w:tcPr>
          <w:p w:rsidR="00B0509C" w:rsidRPr="00CC7D67" w:rsidRDefault="00B0509C" w:rsidP="00B0509C">
            <w:pPr>
              <w:pStyle w:val="Normal6"/>
              <w:rPr>
                <w:szCs w:val="24"/>
              </w:rPr>
            </w:pPr>
            <w:r w:rsidRPr="00CC7D67">
              <w:t>M</w:t>
            </w:r>
            <w:r w:rsidRPr="00CC7D67">
              <w:rPr>
                <w:vertAlign w:val="subscript"/>
              </w:rPr>
              <w:t>0</w:t>
            </w:r>
            <w:r w:rsidRPr="00CC7D67">
              <w:t xml:space="preserve"> est égale à 1 379,88 en 2021, et telle que définie à l’article 13, paragraphe 1, point a) pour la période </w:t>
            </w:r>
            <w:r w:rsidRPr="00CC7D67">
              <w:rPr>
                <w:b/>
                <w:i/>
              </w:rPr>
              <w:t>de</w:t>
            </w:r>
            <w:r w:rsidRPr="00CC7D67">
              <w:t xml:space="preserve"> 2022 </w:t>
            </w:r>
            <w:r w:rsidRPr="00CC7D67">
              <w:rPr>
                <w:b/>
                <w:i/>
              </w:rPr>
              <w:t>à 2029</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452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4 – alinéa 2 – sous-alinéa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M</w:t>
            </w:r>
            <w:r w:rsidRPr="00CC7D67">
              <w:rPr>
                <w:vertAlign w:val="subscript"/>
              </w:rPr>
              <w:t>0</w:t>
            </w:r>
            <w:r w:rsidRPr="00CC7D67">
              <w:t xml:space="preserve"> est égale à 1 379,88 en 2021, et telle que définie à l’article 13, paragraphe 1, point a) pour la période 2022</w:t>
            </w:r>
            <w:r w:rsidRPr="00CC7D67">
              <w:rPr>
                <w:b/>
                <w:i/>
              </w:rPr>
              <w:t>, 2023 et 2024</w:t>
            </w:r>
            <w:r w:rsidRPr="00CC7D67">
              <w:t>;</w:t>
            </w:r>
          </w:p>
        </w:tc>
        <w:tc>
          <w:tcPr>
            <w:tcW w:w="4876" w:type="dxa"/>
            <w:hideMark/>
          </w:tcPr>
          <w:p w:rsidR="00B0509C" w:rsidRPr="00CC7D67" w:rsidRDefault="00B0509C" w:rsidP="00B0509C">
            <w:pPr>
              <w:pStyle w:val="Normal6"/>
              <w:rPr>
                <w:szCs w:val="24"/>
              </w:rPr>
            </w:pPr>
            <w:r w:rsidRPr="00CC7D67">
              <w:t>M</w:t>
            </w:r>
            <w:r w:rsidRPr="00CC7D67">
              <w:rPr>
                <w:vertAlign w:val="subscript"/>
              </w:rPr>
              <w:t>0</w:t>
            </w:r>
            <w:r w:rsidRPr="00CC7D67">
              <w:t xml:space="preserve"> est égale à 1 379,88 en 2021, et telle que définie à l’article 13, paragraphe 1, point a) pour la période </w:t>
            </w:r>
            <w:r w:rsidRPr="00CC7D67">
              <w:rPr>
                <w:b/>
                <w:i/>
              </w:rPr>
              <w:t>de</w:t>
            </w:r>
            <w:r w:rsidRPr="00CC7D67">
              <w:t xml:space="preserve"> 2022 </w:t>
            </w:r>
            <w:r w:rsidRPr="00CC7D67">
              <w:rPr>
                <w:b/>
                <w:i/>
              </w:rPr>
              <w:t>à 2029</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453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4 – alinéa 2 – sous-alinéa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M</w:t>
            </w:r>
            <w:r w:rsidRPr="00CC7D67">
              <w:rPr>
                <w:vertAlign w:val="subscript"/>
              </w:rPr>
              <w:t>0</w:t>
            </w:r>
            <w:r w:rsidRPr="00CC7D67">
              <w:t xml:space="preserve"> est égale à 1 379,88 en 2021, et telle que définie à l’article 13, paragraphe 1, point a) pour la période 2022, 2023 </w:t>
            </w:r>
            <w:r w:rsidRPr="00CC7D67">
              <w:rPr>
                <w:b/>
                <w:i/>
              </w:rPr>
              <w:t>et </w:t>
            </w:r>
            <w:r w:rsidRPr="00CC7D67">
              <w:t>2024;</w:t>
            </w:r>
          </w:p>
        </w:tc>
        <w:tc>
          <w:tcPr>
            <w:tcW w:w="4876" w:type="dxa"/>
            <w:hideMark/>
          </w:tcPr>
          <w:p w:rsidR="00B0509C" w:rsidRPr="00CC7D67" w:rsidRDefault="00B0509C" w:rsidP="00B0509C">
            <w:pPr>
              <w:pStyle w:val="Normal6"/>
              <w:rPr>
                <w:szCs w:val="24"/>
              </w:rPr>
            </w:pPr>
            <w:r w:rsidRPr="00CC7D67">
              <w:t>M</w:t>
            </w:r>
            <w:r w:rsidRPr="00CC7D67">
              <w:rPr>
                <w:vertAlign w:val="subscript"/>
              </w:rPr>
              <w:t>0</w:t>
            </w:r>
            <w:r w:rsidRPr="00CC7D67">
              <w:t xml:space="preserve"> est égale à 1 379,88 en 2021, et telle que définie à l’article 13, paragraphe 1, point a) pour la période 2022, 2023</w:t>
            </w:r>
            <w:r w:rsidRPr="00CC7D67">
              <w:rPr>
                <w:b/>
                <w:i/>
              </w:rPr>
              <w:t xml:space="preserve">, </w:t>
            </w:r>
            <w:r w:rsidRPr="00CC7D67">
              <w:t xml:space="preserve">2024 </w:t>
            </w:r>
            <w:r w:rsidRPr="00CC7D67">
              <w:rPr>
                <w:b/>
                <w:i/>
              </w:rPr>
              <w:t>et 2025</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454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w:t>
            </w:r>
            <w:r w:rsidRPr="00CC7D67">
              <w:tab/>
              <w:t>À partir du 1</w:t>
            </w:r>
            <w:r w:rsidRPr="00CC7D67">
              <w:rPr>
                <w:vertAlign w:val="superscript"/>
              </w:rPr>
              <w:t>er</w:t>
            </w:r>
            <w:r w:rsidRPr="00CC7D67">
              <w:t> janvier </w:t>
            </w:r>
            <w:r w:rsidRPr="00CC7D67">
              <w:rPr>
                <w:b/>
                <w:i/>
              </w:rPr>
              <w:t>2025</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c>
          <w:tcPr>
            <w:tcW w:w="4876" w:type="dxa"/>
            <w:hideMark/>
          </w:tcPr>
          <w:p w:rsidR="00B0509C" w:rsidRPr="00CC7D67" w:rsidRDefault="00B0509C" w:rsidP="00B0509C">
            <w:pPr>
              <w:pStyle w:val="Normal6"/>
              <w:rPr>
                <w:szCs w:val="24"/>
              </w:rPr>
            </w:pPr>
            <w:r w:rsidRPr="00CC7D67">
              <w:t>6.</w:t>
            </w:r>
            <w:r w:rsidRPr="00CC7D67">
              <w:tab/>
              <w:t>À partir du 1</w:t>
            </w:r>
            <w:r w:rsidRPr="00CC7D67">
              <w:rPr>
                <w:vertAlign w:val="superscript"/>
              </w:rPr>
              <w:t>er</w:t>
            </w:r>
            <w:r w:rsidRPr="00CC7D67">
              <w:t> janvier </w:t>
            </w:r>
            <w:r w:rsidRPr="00CC7D67">
              <w:rPr>
                <w:b/>
                <w:i/>
              </w:rPr>
              <w:t>2030</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455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w:t>
            </w:r>
            <w:r w:rsidRPr="00CC7D67">
              <w:tab/>
              <w:t>À partir du 1</w:t>
            </w:r>
            <w:r w:rsidRPr="00CC7D67">
              <w:rPr>
                <w:vertAlign w:val="superscript"/>
              </w:rPr>
              <w:t>er</w:t>
            </w:r>
            <w:r w:rsidRPr="00CC7D67">
              <w:t> janvier </w:t>
            </w:r>
            <w:r w:rsidRPr="00CC7D67">
              <w:rPr>
                <w:b/>
                <w:i/>
              </w:rPr>
              <w:t>2025</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c>
          <w:tcPr>
            <w:tcW w:w="4876" w:type="dxa"/>
            <w:hideMark/>
          </w:tcPr>
          <w:p w:rsidR="00B0509C" w:rsidRPr="00CC7D67" w:rsidRDefault="00B0509C" w:rsidP="00B0509C">
            <w:pPr>
              <w:pStyle w:val="Normal6"/>
              <w:rPr>
                <w:szCs w:val="24"/>
              </w:rPr>
            </w:pPr>
            <w:r w:rsidRPr="00CC7D67">
              <w:t>6.</w:t>
            </w:r>
            <w:r w:rsidRPr="00CC7D67">
              <w:tab/>
              <w:t>À partir du 1</w:t>
            </w:r>
            <w:r w:rsidRPr="00CC7D67">
              <w:rPr>
                <w:vertAlign w:val="superscript"/>
              </w:rPr>
              <w:t>er</w:t>
            </w:r>
            <w:r w:rsidRPr="00CC7D67">
              <w:t> janvier </w:t>
            </w:r>
            <w:r w:rsidRPr="00CC7D67">
              <w:rPr>
                <w:b/>
                <w:i/>
              </w:rPr>
              <w:t>2030</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456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w:t>
            </w:r>
            <w:r w:rsidRPr="00CC7D67">
              <w:tab/>
              <w:t>À partir du 1</w:t>
            </w:r>
            <w:r w:rsidRPr="00CC7D67">
              <w:rPr>
                <w:vertAlign w:val="superscript"/>
              </w:rPr>
              <w:t>er</w:t>
            </w:r>
            <w:r w:rsidRPr="00CC7D67">
              <w:t> janvier </w:t>
            </w:r>
            <w:r w:rsidRPr="00CC7D67">
              <w:rPr>
                <w:b/>
                <w:i/>
              </w:rPr>
              <w:t>2025</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c>
          <w:tcPr>
            <w:tcW w:w="4876" w:type="dxa"/>
            <w:hideMark/>
          </w:tcPr>
          <w:p w:rsidR="00B0509C" w:rsidRPr="00CC7D67" w:rsidRDefault="00B0509C" w:rsidP="00B0509C">
            <w:pPr>
              <w:pStyle w:val="Normal6"/>
              <w:rPr>
                <w:szCs w:val="24"/>
              </w:rPr>
            </w:pPr>
            <w:r w:rsidRPr="00CC7D67">
              <w:t>6.</w:t>
            </w:r>
            <w:r w:rsidRPr="00CC7D67">
              <w:tab/>
              <w:t>À partir du 1</w:t>
            </w:r>
            <w:r w:rsidRPr="00CC7D67">
              <w:rPr>
                <w:vertAlign w:val="superscript"/>
              </w:rPr>
              <w:t>er</w:t>
            </w:r>
            <w:r w:rsidRPr="00CC7D67">
              <w:t> janvier </w:t>
            </w:r>
            <w:r w:rsidRPr="00CC7D67">
              <w:rPr>
                <w:b/>
                <w:i/>
              </w:rPr>
              <w:t>2030</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457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w:t>
            </w:r>
            <w:r w:rsidRPr="00CC7D67">
              <w:tab/>
              <w:t>À partir du 1</w:t>
            </w:r>
            <w:r w:rsidRPr="00CC7D67">
              <w:rPr>
                <w:vertAlign w:val="superscript"/>
              </w:rPr>
              <w:t>er</w:t>
            </w:r>
            <w:r w:rsidRPr="00CC7D67">
              <w:t> janvier </w:t>
            </w:r>
            <w:r w:rsidRPr="00CC7D67">
              <w:rPr>
                <w:b/>
                <w:i/>
              </w:rPr>
              <w:t>2025</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c>
          <w:tcPr>
            <w:tcW w:w="4876" w:type="dxa"/>
            <w:hideMark/>
          </w:tcPr>
          <w:p w:rsidR="00B0509C" w:rsidRPr="00CC7D67" w:rsidRDefault="00B0509C" w:rsidP="00B0509C">
            <w:pPr>
              <w:pStyle w:val="Normal6"/>
              <w:rPr>
                <w:szCs w:val="24"/>
              </w:rPr>
            </w:pPr>
            <w:r w:rsidRPr="00CC7D67">
              <w:t>6.</w:t>
            </w:r>
            <w:r w:rsidRPr="00CC7D67">
              <w:tab/>
              <w:t>À partir du 1</w:t>
            </w:r>
            <w:r w:rsidRPr="00CC7D67">
              <w:rPr>
                <w:vertAlign w:val="superscript"/>
              </w:rPr>
              <w:t>er</w:t>
            </w:r>
            <w:r w:rsidRPr="00CC7D67">
              <w:t> janvier </w:t>
            </w:r>
            <w:r w:rsidRPr="00CC7D67">
              <w:rPr>
                <w:b/>
                <w:i/>
              </w:rPr>
              <w:t>2026</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458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6.1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6.1.</w:t>
            </w:r>
            <w:r w:rsidRPr="00CC7D67">
              <w:tab/>
              <w:t>Objectifs à l’échelle du parc de l’UE pour</w:t>
            </w:r>
            <w:r w:rsidRPr="00CC7D67">
              <w:rPr>
                <w:b/>
                <w:i/>
              </w:rPr>
              <w:t> 2025 et</w:t>
            </w:r>
            <w:r w:rsidRPr="00CC7D67">
              <w:t> 2030</w:t>
            </w:r>
          </w:p>
        </w:tc>
        <w:tc>
          <w:tcPr>
            <w:tcW w:w="4876" w:type="dxa"/>
            <w:hideMark/>
          </w:tcPr>
          <w:p w:rsidR="00B0509C" w:rsidRPr="00CC7D67" w:rsidRDefault="00B0509C" w:rsidP="00B0509C">
            <w:pPr>
              <w:pStyle w:val="Normal6"/>
              <w:rPr>
                <w:szCs w:val="24"/>
              </w:rPr>
            </w:pPr>
            <w:r w:rsidRPr="00CC7D67">
              <w:t>6.1.</w:t>
            </w:r>
            <w:r w:rsidRPr="00CC7D67">
              <w:tab/>
              <w:t>Objectifs à l’échelle du parc de l’UE pour 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459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6.1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6.1.</w:t>
            </w:r>
            <w:r w:rsidRPr="00CC7D67">
              <w:tab/>
              <w:t>Objectifs à l’échelle du parc de l’UE pour</w:t>
            </w:r>
            <w:r w:rsidRPr="00CC7D67">
              <w:rPr>
                <w:b/>
                <w:i/>
              </w:rPr>
              <w:t> 2025 et</w:t>
            </w:r>
            <w:r w:rsidRPr="00CC7D67">
              <w:t> 2030</w:t>
            </w:r>
          </w:p>
        </w:tc>
        <w:tc>
          <w:tcPr>
            <w:tcW w:w="4876" w:type="dxa"/>
            <w:hideMark/>
          </w:tcPr>
          <w:p w:rsidR="00B0509C" w:rsidRPr="00CC7D67" w:rsidRDefault="00B0509C" w:rsidP="00B0509C">
            <w:pPr>
              <w:pStyle w:val="Normal6"/>
              <w:rPr>
                <w:szCs w:val="24"/>
              </w:rPr>
            </w:pPr>
            <w:r w:rsidRPr="00CC7D67">
              <w:t>6.1.</w:t>
            </w:r>
            <w:r w:rsidRPr="00CC7D67">
              <w:tab/>
              <w:t>Objectifs à l’échelle du parc de l’UE pour 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460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6.1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6.1.</w:t>
            </w:r>
            <w:r w:rsidRPr="00CC7D67">
              <w:tab/>
              <w:t>Objectifs à l’échelle du parc de l’UE pour </w:t>
            </w:r>
            <w:r w:rsidRPr="00CC7D67">
              <w:rPr>
                <w:b/>
                <w:i/>
              </w:rPr>
              <w:t>2025 et</w:t>
            </w:r>
            <w:r w:rsidRPr="00CC7D67">
              <w:t> 2030</w:t>
            </w:r>
          </w:p>
        </w:tc>
        <w:tc>
          <w:tcPr>
            <w:tcW w:w="4876" w:type="dxa"/>
            <w:hideMark/>
          </w:tcPr>
          <w:p w:rsidR="00B0509C" w:rsidRPr="00CC7D67" w:rsidRDefault="00B0509C" w:rsidP="00B0509C">
            <w:pPr>
              <w:pStyle w:val="Normal6"/>
              <w:rPr>
                <w:szCs w:val="24"/>
              </w:rPr>
            </w:pPr>
            <w:r w:rsidRPr="00CC7D67">
              <w:t>6.1.</w:t>
            </w:r>
            <w:r w:rsidRPr="00CC7D67">
              <w:tab/>
              <w:t>Objectifs à l’échelle du parc de l’UE pour 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461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6.1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6.1.</w:t>
            </w:r>
            <w:r w:rsidRPr="00CC7D67">
              <w:tab/>
              <w:t>Objectifs à l’échelle du parc de l’UE pour </w:t>
            </w:r>
            <w:r w:rsidRPr="00CC7D67">
              <w:rPr>
                <w:b/>
                <w:i/>
              </w:rPr>
              <w:t>2025</w:t>
            </w:r>
            <w:r w:rsidRPr="00CC7D67">
              <w:t xml:space="preserve"> et 2030</w:t>
            </w:r>
          </w:p>
        </w:tc>
        <w:tc>
          <w:tcPr>
            <w:tcW w:w="4876" w:type="dxa"/>
            <w:hideMark/>
          </w:tcPr>
          <w:p w:rsidR="00B0509C" w:rsidRPr="00CC7D67" w:rsidRDefault="00B0509C" w:rsidP="00B0509C">
            <w:pPr>
              <w:pStyle w:val="Normal6"/>
              <w:rPr>
                <w:szCs w:val="24"/>
              </w:rPr>
            </w:pPr>
            <w:r w:rsidRPr="00CC7D67">
              <w:t>6.1.</w:t>
            </w:r>
            <w:r w:rsidRPr="00CC7D67">
              <w:tab/>
              <w:t>Objectifs à l’échelle du parc de l’UE pour </w:t>
            </w:r>
            <w:r w:rsidRPr="00CC7D67">
              <w:rPr>
                <w:b/>
                <w:i/>
              </w:rPr>
              <w:t>2026</w:t>
            </w:r>
            <w:r w:rsidRPr="00CC7D67">
              <w:t xml:space="preserve"> et 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462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6.1.1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6.1.1.</w:t>
            </w:r>
            <w:r w:rsidRPr="00CC7D67">
              <w:rPr>
                <w:b/>
                <w:i/>
              </w:rPr>
              <w:tab/>
              <w:t>Objectif à l’échelle du parc de l’UE pour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t> </w:t>
            </w:r>
            <w:r w:rsidRPr="00CC7D67">
              <w:rPr>
                <w:b/>
                <w:i/>
              </w:rPr>
              <w:t>= objectif à l’échelle du parc de l’UE</w:t>
            </w:r>
            <w:r w:rsidRPr="00CC7D67">
              <w:rPr>
                <w:b/>
                <w:i/>
                <w:vertAlign w:val="subscript"/>
              </w:rPr>
              <w:t>2021</w:t>
            </w:r>
            <w:r w:rsidRPr="00CC7D67">
              <w:t xml:space="preserve"> </w:t>
            </w:r>
            <w:r w:rsidR="00D10BFD" w:rsidRPr="00D10BFD">
              <w:rPr>
                <w:b/>
                <w:i/>
              </w:rPr>
              <w:t>·</w:t>
            </w:r>
            <w:r w:rsidR="00D10BFD" w:rsidRPr="00CC7D67">
              <w:rPr>
                <w:b/>
                <w:i/>
              </w:rPr>
              <w:t xml:space="preserve"> </w:t>
            </w:r>
            <w:r w:rsidRPr="00CC7D67">
              <w:rPr>
                <w:b/>
                <w:i/>
              </w:rPr>
              <w:t>(1- facteur de réduction</w:t>
            </w:r>
            <w:r w:rsidRPr="00CC7D67">
              <w:rPr>
                <w:b/>
                <w:i/>
                <w:vertAlign w:val="subscript"/>
              </w:rPr>
              <w:t>2025</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pour le parc de l’UE</w:t>
            </w:r>
            <w:r w:rsidRPr="00CC7D67">
              <w:rPr>
                <w:b/>
                <w:i/>
                <w:vertAlign w:val="subscript"/>
              </w:rPr>
              <w:t>2021</w:t>
            </w:r>
            <w:r w:rsidRPr="00CC7D67">
              <w:t xml:space="preserve"> </w:t>
            </w:r>
            <w:r w:rsidRPr="00CC7D67">
              <w:rPr>
                <w:b/>
                <w:i/>
              </w:rPr>
              <w:t>est la moyenne, pondérée par le nombre de voitures nouvellement immatriculées de chaque constructeur individuel, des objectifs d’émissions spécifiques déterminés pour chaque constructeur individuel en 2021 conformément au point 4 de la présente annexe;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de réduction</w:t>
            </w:r>
            <w:r w:rsidRPr="00CC7D67">
              <w:rPr>
                <w:b/>
                <w:i/>
                <w:vertAlign w:val="subscript"/>
              </w:rPr>
              <w:t>2025</w:t>
            </w:r>
            <w:r w:rsidRPr="00CC7D67">
              <w:t xml:space="preserve"> </w:t>
            </w:r>
            <w:r w:rsidRPr="00CC7D67">
              <w:rPr>
                <w:b/>
                <w:i/>
              </w:rPr>
              <w:t>est la réduction spécifiée à l’article 1</w:t>
            </w:r>
            <w:r w:rsidRPr="00CC7D67">
              <w:rPr>
                <w:b/>
                <w:i/>
                <w:vertAlign w:val="superscript"/>
              </w:rPr>
              <w:t>er</w:t>
            </w:r>
            <w:r w:rsidRPr="00CC7D67">
              <w:rPr>
                <w:b/>
                <w:i/>
              </w:rPr>
              <w:t>, paragraphe 4, point a)</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463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6.1 – point 6.1.1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6.1.1.</w:t>
            </w:r>
            <w:r w:rsidRPr="00CC7D67">
              <w:rPr>
                <w:b/>
                <w:i/>
              </w:rPr>
              <w:tab/>
              <w:t>Objectif à l’échelle du parc de l’UE pour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 objectif à l’échelle du parc de l’UE</w:t>
            </w:r>
            <w:r w:rsidRPr="00CC7D67">
              <w:rPr>
                <w:b/>
                <w:i/>
                <w:vertAlign w:val="subscript"/>
              </w:rPr>
              <w:t>2021</w:t>
            </w:r>
            <w:r w:rsidRPr="00CC7D67">
              <w:rPr>
                <w:b/>
                <w:i/>
              </w:rPr>
              <w:t xml:space="preserve"> </w:t>
            </w:r>
            <w:r w:rsidR="00D10BFD" w:rsidRPr="00D10BFD">
              <w:rPr>
                <w:b/>
                <w:i/>
              </w:rPr>
              <w:t>·</w:t>
            </w:r>
            <w:r w:rsidRPr="00CC7D67">
              <w:rPr>
                <w:b/>
                <w:i/>
              </w:rPr>
              <w:t xml:space="preserve">  (1- facteur de réduction</w:t>
            </w:r>
            <w:r w:rsidRPr="00CC7D67">
              <w:rPr>
                <w:b/>
                <w:i/>
                <w:vertAlign w:val="subscript"/>
              </w:rPr>
              <w:t>2025</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2021</w:t>
            </w:r>
            <w:r w:rsidRPr="00CC7D67">
              <w:rPr>
                <w:b/>
                <w:i/>
              </w:rPr>
              <w:t xml:space="preserve"> est la moyenne, pondérée par le nombre de voitures nouvellement immatriculées de chaque constructeur individuel, des objectifs d’émissions spécifiques déterminés pour chaque constructeur individuel en 2021 conformément au point 4 de la présente annexe;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de réduction</w:t>
            </w:r>
            <w:r w:rsidRPr="00CC7D67">
              <w:rPr>
                <w:b/>
                <w:i/>
                <w:vertAlign w:val="subscript"/>
              </w:rPr>
              <w:t>2025</w:t>
            </w:r>
            <w:r w:rsidRPr="00CC7D67">
              <w:rPr>
                <w:b/>
                <w:i/>
              </w:rPr>
              <w:t xml:space="preserve"> est la réduction spécifiée à l’article 1</w:t>
            </w:r>
            <w:r w:rsidRPr="00CC7D67">
              <w:rPr>
                <w:b/>
                <w:i/>
                <w:vertAlign w:val="superscript"/>
              </w:rPr>
              <w:t>er</w:t>
            </w:r>
            <w:r w:rsidRPr="00CC7D67">
              <w:rPr>
                <w:b/>
                <w:i/>
              </w:rPr>
              <w:t>, paragraphe 4, point a)</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464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6.1 – point 6.1.1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6.1.1.</w:t>
            </w:r>
            <w:r w:rsidRPr="00CC7D67">
              <w:rPr>
                <w:b/>
                <w:i/>
              </w:rPr>
              <w:tab/>
              <w:t>Objectif à l’échelle du parc de l’UE pour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 objectif à l’échelle du parc de l’UE</w:t>
            </w:r>
            <w:r w:rsidRPr="00CC7D67">
              <w:rPr>
                <w:b/>
                <w:i/>
                <w:vertAlign w:val="subscript"/>
              </w:rPr>
              <w:t>2021</w:t>
            </w:r>
            <w:r w:rsidRPr="00CC7D67">
              <w:rPr>
                <w:b/>
                <w:i/>
              </w:rPr>
              <w:t xml:space="preserve"> </w:t>
            </w:r>
            <w:r w:rsidR="00D10BFD" w:rsidRPr="00D10BFD">
              <w:rPr>
                <w:b/>
                <w:i/>
              </w:rPr>
              <w:t>·</w:t>
            </w:r>
            <w:r w:rsidRPr="00CC7D67">
              <w:rPr>
                <w:b/>
                <w:i/>
              </w:rPr>
              <w:t xml:space="preserve">  (1- facteur de réduction</w:t>
            </w:r>
            <w:r w:rsidRPr="00CC7D67">
              <w:rPr>
                <w:b/>
                <w:i/>
                <w:vertAlign w:val="subscript"/>
              </w:rPr>
              <w:t>2025</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2021</w:t>
            </w:r>
            <w:r w:rsidRPr="00CC7D67">
              <w:rPr>
                <w:b/>
                <w:i/>
              </w:rPr>
              <w:t xml:space="preserve"> est la moyenne, pondérée par le nombre de voitures nouvellement immatriculées de chaque constructeur individuel, des objectifs d’émissions spécifiques déterminés pour chaque constructeur individuel en 2021 conformément au point 4 de la présente annexe;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de réduction</w:t>
            </w:r>
            <w:r w:rsidRPr="00CC7D67">
              <w:rPr>
                <w:b/>
                <w:i/>
                <w:vertAlign w:val="subscript"/>
              </w:rPr>
              <w:t>2025</w:t>
            </w:r>
            <w:r w:rsidRPr="00CC7D67">
              <w:rPr>
                <w:b/>
                <w:i/>
              </w:rPr>
              <w:t xml:space="preserve"> est la réduction spécifiée à l’article 1</w:t>
            </w:r>
            <w:r w:rsidRPr="00CC7D67">
              <w:rPr>
                <w:b/>
                <w:i/>
                <w:vertAlign w:val="superscript"/>
              </w:rPr>
              <w:t>er</w:t>
            </w:r>
            <w:r w:rsidRPr="00CC7D67">
              <w:rPr>
                <w:b/>
                <w:i/>
              </w:rPr>
              <w:t>, paragraphe 4, point a)</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465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6.1 – point 6.1.1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à l’échelle du parc de l’UE pour </w:t>
            </w:r>
            <w:r w:rsidRPr="00CC7D67">
              <w:rPr>
                <w:b/>
                <w:i/>
              </w:rPr>
              <w:t>2025</w:t>
            </w:r>
            <w:r w:rsidRPr="00CC7D67">
              <w:t xml:space="preserve"> à 2029</w:t>
            </w:r>
          </w:p>
        </w:tc>
        <w:tc>
          <w:tcPr>
            <w:tcW w:w="4876" w:type="dxa"/>
            <w:hideMark/>
          </w:tcPr>
          <w:p w:rsidR="00B0509C" w:rsidRPr="00CC7D67" w:rsidRDefault="00B0509C" w:rsidP="00B0509C">
            <w:pPr>
              <w:pStyle w:val="Normal6"/>
              <w:rPr>
                <w:szCs w:val="24"/>
              </w:rPr>
            </w:pPr>
            <w:r w:rsidRPr="00CC7D67">
              <w:t>Objectif à l’échelle du parc de l’UE pour </w:t>
            </w:r>
            <w:r w:rsidRPr="00CC7D67">
              <w:rPr>
                <w:b/>
                <w:i/>
              </w:rPr>
              <w:t>2026</w:t>
            </w:r>
            <w:r w:rsidRPr="00CC7D67">
              <w:t xml:space="preserve"> à 2029</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466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6.1 – point 6.1.1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à l’échelle du parc de l’UE</w:t>
            </w:r>
            <w:r w:rsidRPr="00CC7D67">
              <w:rPr>
                <w:b/>
                <w:i/>
                <w:vertAlign w:val="subscript"/>
              </w:rPr>
              <w:t>2025</w:t>
            </w:r>
            <w:r w:rsidRPr="00CC7D67">
              <w:t> = objectif à l’échelle du parc de l’UE</w:t>
            </w:r>
            <w:r w:rsidRPr="00CC7D67">
              <w:rPr>
                <w:vertAlign w:val="subscript"/>
              </w:rPr>
              <w:t>2021</w:t>
            </w:r>
            <w:r w:rsidRPr="00CC7D67">
              <w:t xml:space="preserve">  </w:t>
            </w:r>
            <w:r w:rsidR="00D10BFD">
              <w:t>·</w:t>
            </w:r>
            <w:r w:rsidRPr="00CC7D67">
              <w:t xml:space="preserve"> (1- facteur de réduction</w:t>
            </w:r>
            <w:r w:rsidRPr="00CC7D67">
              <w:rPr>
                <w:b/>
                <w:i/>
                <w:vertAlign w:val="subscript"/>
              </w:rPr>
              <w:t>2025</w:t>
            </w:r>
            <w:r w:rsidRPr="00CC7D67">
              <w:t>)</w:t>
            </w:r>
          </w:p>
        </w:tc>
        <w:tc>
          <w:tcPr>
            <w:tcW w:w="4876" w:type="dxa"/>
            <w:hideMark/>
          </w:tcPr>
          <w:p w:rsidR="00B0509C" w:rsidRPr="00CC7D67" w:rsidRDefault="00B0509C" w:rsidP="00B0509C">
            <w:pPr>
              <w:pStyle w:val="Normal6"/>
              <w:rPr>
                <w:szCs w:val="24"/>
              </w:rPr>
            </w:pPr>
            <w:r w:rsidRPr="00CC7D67">
              <w:t>Objectif à l’échelle du parc de l’UE</w:t>
            </w:r>
            <w:r w:rsidRPr="00CC7D67">
              <w:rPr>
                <w:b/>
                <w:i/>
                <w:vertAlign w:val="subscript"/>
              </w:rPr>
              <w:t>2026</w:t>
            </w:r>
            <w:r w:rsidRPr="00CC7D67">
              <w:t> = objectif à l’échelle du parc de l’UE</w:t>
            </w:r>
            <w:r w:rsidRPr="00CC7D67">
              <w:rPr>
                <w:vertAlign w:val="subscript"/>
              </w:rPr>
              <w:t>2021</w:t>
            </w:r>
            <w:r w:rsidRPr="00CC7D67">
              <w:t xml:space="preserve"> </w:t>
            </w:r>
            <w:r w:rsidR="00D10BFD">
              <w:t>·</w:t>
            </w:r>
            <w:r w:rsidRPr="00CC7D67">
              <w:t xml:space="preserve">  (1- facteur de réduction</w:t>
            </w:r>
            <w:r w:rsidRPr="00CC7D67">
              <w:rPr>
                <w:b/>
                <w:i/>
                <w:vertAlign w:val="subscript"/>
              </w:rPr>
              <w:t>2026</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467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6.1.1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de réduction</w:t>
            </w:r>
            <w:r w:rsidRPr="00CC7D67">
              <w:rPr>
                <w:b/>
                <w:i/>
                <w:vertAlign w:val="subscript"/>
              </w:rPr>
              <w:t>2025</w:t>
            </w:r>
            <w:r w:rsidRPr="00CC7D67">
              <w:t xml:space="preserve"> est la réduction spécifiée à l’article 1</w:t>
            </w:r>
            <w:r w:rsidRPr="00CC7D67">
              <w:rPr>
                <w:vertAlign w:val="superscript"/>
              </w:rPr>
              <w:t>er</w:t>
            </w:r>
            <w:r w:rsidRPr="00CC7D67">
              <w:t>, paragraphe 4, point a)</w:t>
            </w:r>
          </w:p>
        </w:tc>
        <w:tc>
          <w:tcPr>
            <w:tcW w:w="4876" w:type="dxa"/>
            <w:hideMark/>
          </w:tcPr>
          <w:p w:rsidR="00B0509C" w:rsidRPr="00CC7D67" w:rsidRDefault="00B0509C" w:rsidP="00B0509C">
            <w:pPr>
              <w:pStyle w:val="Normal6"/>
              <w:rPr>
                <w:szCs w:val="24"/>
              </w:rPr>
            </w:pPr>
            <w:r w:rsidRPr="00CC7D67">
              <w:t>facteur de réduction</w:t>
            </w:r>
            <w:r w:rsidRPr="00CC7D67">
              <w:rPr>
                <w:b/>
                <w:i/>
                <w:vertAlign w:val="subscript"/>
              </w:rPr>
              <w:t>2026</w:t>
            </w:r>
            <w:r w:rsidRPr="00CC7D67">
              <w:t xml:space="preserve"> est la réduction spécifiée à l’article 1</w:t>
            </w:r>
            <w:r w:rsidRPr="00CC7D67">
              <w:rPr>
                <w:vertAlign w:val="superscript"/>
              </w:rPr>
              <w:t>er</w:t>
            </w:r>
            <w:r w:rsidRPr="00CC7D67">
              <w:t>, paragraphe 4, point a)</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468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w:t>
            </w:r>
            <w:r w:rsidRPr="00CC7D67">
              <w:rPr>
                <w:b/>
                <w:i/>
              </w:rPr>
              <w:tab/>
              <w:t>Objectifs d’émissions spécifiques de référence à partir de 2025</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De 2025 à 2029</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D10BFD">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rPr>
                <w:b/>
                <w:i/>
              </w:rPr>
              <w:t> + a</w:t>
            </w:r>
            <w:r w:rsidRPr="00CC7D67">
              <w:rPr>
                <w:b/>
                <w:i/>
                <w:vertAlign w:val="subscript"/>
              </w:rPr>
              <w:t>2025</w:t>
            </w:r>
            <w:r w:rsidR="00D10BFD">
              <w:rPr>
                <w:b/>
                <w:i/>
                <w:vertAlign w:val="subscript"/>
              </w:rPr>
              <w:t xml:space="preserve"> </w:t>
            </w:r>
            <w:r w:rsidRPr="00CC7D67">
              <w:rPr>
                <w:b/>
                <w:i/>
              </w:rPr>
              <w:t>·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xml:space="preserve"> 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rPr>
                <w:vertAlign w:val="subscript"/>
              </w:rPr>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6.2.2.</w:t>
            </w:r>
            <w:r w:rsidRPr="00CC7D67">
              <w:rPr>
                <w:b/>
                <w:i/>
              </w:rPr>
              <w:tab/>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À partir de 2030</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D10BFD">
            <w:pPr>
              <w:pStyle w:val="Normal6"/>
              <w:rPr>
                <w:color w:val="0000FA"/>
              </w:rPr>
            </w:pPr>
            <w:r w:rsidRPr="00CC7D67">
              <w:rPr>
                <w:b/>
                <w:i/>
              </w:rPr>
              <w:t>Objectif d’émissions spécifiques de référence = objectif à l’échelle du parc de l’UE</w:t>
            </w:r>
            <w:r w:rsidRPr="00CC7D67">
              <w:rPr>
                <w:b/>
                <w:i/>
                <w:vertAlign w:val="subscript"/>
              </w:rPr>
              <w:t>2030</w:t>
            </w:r>
            <w:r w:rsidRPr="00CC7D67">
              <w:rPr>
                <w:b/>
                <w:i/>
              </w:rPr>
              <w:t> + a</w:t>
            </w:r>
            <w:r w:rsidRPr="00CC7D67">
              <w:rPr>
                <w:b/>
                <w:i/>
                <w:vertAlign w:val="subscript"/>
              </w:rPr>
              <w:t>2030</w:t>
            </w:r>
            <w:r w:rsidR="00D10BFD">
              <w:rPr>
                <w:b/>
                <w:i/>
                <w:vertAlign w:val="subscript"/>
              </w:rPr>
              <w:t xml:space="preserve"> </w:t>
            </w:r>
            <w:r w:rsidRPr="00CC7D67">
              <w:rPr>
                <w:b/>
                <w:i/>
              </w:rPr>
              <w:t>·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2030</w:t>
            </w:r>
            <w:r w:rsidRPr="00CC7D67">
              <w:rPr>
                <w:b/>
                <w:i/>
              </w:rPr>
              <w:t xml:space="preserve"> est déterminé conformément au point 6.1.2;</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2030</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469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w:t>
            </w:r>
            <w:r w:rsidRPr="00CC7D67">
              <w:rPr>
                <w:b/>
                <w:i/>
              </w:rPr>
              <w:tab/>
              <w:t>Objectifs d’émissions spécifiques de référence à partir de 2025</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De 2025 à 2029</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D10BFD">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rPr>
                <w:b/>
                <w:i/>
              </w:rPr>
              <w:t> + a</w:t>
            </w:r>
            <w:r w:rsidRPr="00CC7D67">
              <w:rPr>
                <w:b/>
                <w:i/>
                <w:vertAlign w:val="subscript"/>
              </w:rPr>
              <w:t>2025</w:t>
            </w:r>
            <w:r w:rsidR="00D10BFD">
              <w:rPr>
                <w:b/>
                <w:i/>
                <w:vertAlign w:val="subscript"/>
              </w:rPr>
              <w:t xml:space="preserve"> </w:t>
            </w:r>
            <w:r w:rsidRPr="00CC7D67">
              <w:rPr>
                <w:b/>
                <w:i/>
              </w:rPr>
              <w:t>·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xml:space="preserve"> 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rPr>
                <w:vertAlign w:val="subscript"/>
              </w:rPr>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6.2.2.</w:t>
            </w:r>
            <w:r w:rsidRPr="00CC7D67">
              <w:rPr>
                <w:b/>
                <w:i/>
              </w:rPr>
              <w:tab/>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À partir de 2030</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D10BFD">
            <w:pPr>
              <w:pStyle w:val="Normal6"/>
              <w:rPr>
                <w:color w:val="0000FA"/>
              </w:rPr>
            </w:pPr>
            <w:r w:rsidRPr="00CC7D67">
              <w:rPr>
                <w:b/>
                <w:i/>
              </w:rPr>
              <w:t>Objectif d’émissions spécifiques de référence = objectif à l’échelle du parc de l’UE</w:t>
            </w:r>
            <w:r w:rsidRPr="00CC7D67">
              <w:rPr>
                <w:b/>
                <w:i/>
                <w:vertAlign w:val="subscript"/>
              </w:rPr>
              <w:t>2030</w:t>
            </w:r>
            <w:r w:rsidRPr="00CC7D67">
              <w:rPr>
                <w:b/>
                <w:i/>
              </w:rPr>
              <w:t> + a</w:t>
            </w:r>
            <w:r w:rsidRPr="00CC7D67">
              <w:rPr>
                <w:b/>
                <w:i/>
                <w:vertAlign w:val="subscript"/>
              </w:rPr>
              <w:t>2030</w:t>
            </w:r>
            <w:r w:rsidR="00D10BFD">
              <w:rPr>
                <w:b/>
                <w:i/>
                <w:vertAlign w:val="subscript"/>
              </w:rPr>
              <w:t xml:space="preserve"> </w:t>
            </w:r>
            <w:r w:rsidRPr="00CC7D67">
              <w:rPr>
                <w:b/>
                <w:i/>
              </w:rPr>
              <w:t>·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2030</w:t>
            </w:r>
            <w:r w:rsidRPr="00CC7D67">
              <w:rPr>
                <w:b/>
                <w:i/>
              </w:rPr>
              <w:t xml:space="preserve"> est déterminé conformément au point 6.1.2;</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2030</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Il convient de supprimer entièrement le point 6.2 de la partie A de l’annexe I pour retirer le paramètre d’utilité de la masse du champ d’application du présent règlement.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470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Giovanni La Via, Lorenzo Cesa, Andrzej Grzyb</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6.2.</w:t>
            </w:r>
            <w:r w:rsidRPr="00CC7D67">
              <w:tab/>
              <w:t>Objectifs d’émissions spécifiques de référence à partir de </w:t>
            </w:r>
            <w:r w:rsidRPr="00CC7D67">
              <w:rPr>
                <w:b/>
                <w:i/>
              </w:rPr>
              <w:t>2025</w:t>
            </w:r>
          </w:p>
        </w:tc>
        <w:tc>
          <w:tcPr>
            <w:tcW w:w="4876" w:type="dxa"/>
            <w:hideMark/>
          </w:tcPr>
          <w:p w:rsidR="00B0509C" w:rsidRPr="00CC7D67" w:rsidRDefault="00B0509C" w:rsidP="00B0509C">
            <w:pPr>
              <w:pStyle w:val="Normal6"/>
              <w:rPr>
                <w:szCs w:val="24"/>
              </w:rPr>
            </w:pPr>
            <w:r w:rsidRPr="00CC7D67">
              <w:t>6.2.</w:t>
            </w:r>
            <w:r w:rsidRPr="00CC7D67">
              <w:tab/>
              <w:t>Objectifs d’émissions spécifiques de référence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471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6.2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6.2.</w:t>
            </w:r>
            <w:r w:rsidRPr="00CC7D67">
              <w:tab/>
              <w:t>Objectifs d’émissions spécifiques de référence à partir de </w:t>
            </w:r>
            <w:r w:rsidRPr="00CC7D67">
              <w:rPr>
                <w:b/>
                <w:i/>
              </w:rPr>
              <w:t>2025</w:t>
            </w:r>
          </w:p>
        </w:tc>
        <w:tc>
          <w:tcPr>
            <w:tcW w:w="4876" w:type="dxa"/>
            <w:hideMark/>
          </w:tcPr>
          <w:p w:rsidR="00B0509C" w:rsidRPr="00CC7D67" w:rsidRDefault="00B0509C" w:rsidP="00B0509C">
            <w:pPr>
              <w:pStyle w:val="Normal6"/>
              <w:rPr>
                <w:szCs w:val="24"/>
              </w:rPr>
            </w:pPr>
            <w:r w:rsidRPr="00CC7D67">
              <w:t>6.2.</w:t>
            </w:r>
            <w:r w:rsidRPr="00CC7D67">
              <w:tab/>
              <w:t>Objectifs d’émissions spécifiques de référence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472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6.2.</w:t>
            </w:r>
            <w:r w:rsidRPr="00CC7D67">
              <w:tab/>
              <w:t>Objectifs d’émissions spécifiques de référence à partir de </w:t>
            </w:r>
            <w:r w:rsidRPr="00CC7D67">
              <w:rPr>
                <w:b/>
                <w:i/>
              </w:rPr>
              <w:t>2025</w:t>
            </w:r>
          </w:p>
        </w:tc>
        <w:tc>
          <w:tcPr>
            <w:tcW w:w="4876" w:type="dxa"/>
            <w:hideMark/>
          </w:tcPr>
          <w:p w:rsidR="00B0509C" w:rsidRPr="00CC7D67" w:rsidRDefault="00B0509C" w:rsidP="00B0509C">
            <w:pPr>
              <w:pStyle w:val="Normal6"/>
              <w:rPr>
                <w:szCs w:val="24"/>
              </w:rPr>
            </w:pPr>
            <w:r w:rsidRPr="00CC7D67">
              <w:t>6.2.</w:t>
            </w:r>
            <w:r w:rsidRPr="00CC7D67">
              <w:tab/>
              <w:t>Objectifs d’émissions spécifiques de référence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473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6.2.1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t xml:space="preserve"> </w:t>
            </w:r>
            <w:r w:rsidRPr="00CC7D67">
              <w:rPr>
                <w:b/>
                <w:i/>
              </w:rPr>
              <w:t>+ a</w:t>
            </w:r>
            <w:r w:rsidRPr="00CC7D67">
              <w:rPr>
                <w:b/>
                <w:i/>
                <w:vertAlign w:val="subscript"/>
              </w:rPr>
              <w:t>2025</w:t>
            </w:r>
            <w:r w:rsidRPr="00CC7D67">
              <w:t xml:space="preserve"> </w:t>
            </w:r>
            <w:r w:rsidR="00D10BFD">
              <w:t>·</w:t>
            </w:r>
            <w:r w:rsidR="00D10BFD" w:rsidRPr="00CC7D67">
              <w:rPr>
                <w:b/>
                <w:i/>
              </w:rPr>
              <w:t xml:space="preserve"> </w:t>
            </w:r>
            <w:r w:rsidRPr="00CC7D67">
              <w:rPr>
                <w:b/>
                <w:i/>
              </w:rPr>
              <w:t>(TM-TM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t xml:space="preserve"> </w:t>
            </w:r>
            <w:r w:rsidRPr="00CC7D67">
              <w:rPr>
                <w:b/>
                <w:i/>
              </w:rPr>
              <w:t>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t xml:space="preserve"> </w:t>
            </w:r>
            <w:r w:rsidRPr="00CC7D67">
              <w:rPr>
                <w:b/>
                <w:i/>
              </w:rPr>
              <w:t>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t xml:space="preserve"> </w:t>
            </w:r>
            <w:r w:rsidRPr="00CC7D67">
              <w:rPr>
                <w:b/>
                <w:i/>
              </w:rPr>
              <w:t>(variable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t xml:space="preserve"> </w:t>
            </w:r>
            <w:r w:rsidRPr="00CC7D67">
              <w:rPr>
                <w:b/>
                <w:i/>
              </w:rPr>
              <w:t>est la moyenne des émissions spécifiques de CO</w:t>
            </w:r>
            <w:r w:rsidRPr="00CC7D67">
              <w:rPr>
                <w:b/>
                <w:i/>
                <w:vertAlign w:val="subscript"/>
              </w:rPr>
              <w:t>2</w:t>
            </w:r>
            <w:r w:rsidRPr="00CC7D67">
              <w:t xml:space="preserve"> </w:t>
            </w:r>
            <w:r w:rsidRPr="00CC7D67">
              <w:rPr>
                <w:b/>
                <w:i/>
              </w:rPr>
              <w:t>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t xml:space="preserve"> </w:t>
            </w:r>
            <w:r w:rsidRPr="00CC7D67">
              <w:rPr>
                <w:b/>
                <w:i/>
              </w:rPr>
              <w:t>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474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D10BFD">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rPr>
                <w:b/>
                <w:i/>
              </w:rPr>
              <w:t> + a</w:t>
            </w:r>
            <w:r w:rsidRPr="00CC7D67">
              <w:rPr>
                <w:b/>
                <w:i/>
                <w:vertAlign w:val="subscript"/>
              </w:rPr>
              <w:t>2025</w:t>
            </w:r>
            <w:r w:rsidR="00D10BFD">
              <w:rPr>
                <w:b/>
                <w:i/>
                <w:vertAlign w:val="subscript"/>
              </w:rPr>
              <w:t xml:space="preserve"> </w:t>
            </w:r>
            <w:r w:rsidRPr="00CC7D67">
              <w:rPr>
                <w:b/>
                <w:i/>
              </w:rPr>
              <w:t>·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xml:space="preserve"> 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rPr>
                <w:vertAlign w:val="subscript"/>
              </w:rPr>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475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D10BFD">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rPr>
                <w:b/>
                <w:i/>
              </w:rPr>
              <w:t> + a</w:t>
            </w:r>
            <w:r w:rsidRPr="00CC7D67">
              <w:rPr>
                <w:b/>
                <w:i/>
                <w:vertAlign w:val="subscript"/>
              </w:rPr>
              <w:t>2025</w:t>
            </w:r>
            <w:r w:rsidR="00D10BFD">
              <w:rPr>
                <w:b/>
                <w:i/>
                <w:vertAlign w:val="subscript"/>
              </w:rPr>
              <w:t xml:space="preserve"> </w:t>
            </w:r>
            <w:r w:rsidRPr="00CC7D67">
              <w:rPr>
                <w:b/>
                <w:i/>
              </w:rPr>
              <w:t>·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xml:space="preserve"> 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rPr>
                <w:vertAlign w:val="subscript"/>
              </w:rPr>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476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6.2.</w:t>
            </w:r>
            <w:r w:rsidRPr="00CC7D67">
              <w:tab/>
              <w:t>Objectifs d’émissions spécifiques de référence à partir de </w:t>
            </w:r>
            <w:r w:rsidRPr="00CC7D67">
              <w:rPr>
                <w:b/>
                <w:i/>
              </w:rPr>
              <w:t>2025</w:t>
            </w:r>
          </w:p>
        </w:tc>
        <w:tc>
          <w:tcPr>
            <w:tcW w:w="4876" w:type="dxa"/>
            <w:hideMark/>
          </w:tcPr>
          <w:p w:rsidR="00B0509C" w:rsidRPr="00CC7D67" w:rsidRDefault="00B0509C" w:rsidP="00B0509C">
            <w:pPr>
              <w:pStyle w:val="Normal6"/>
              <w:rPr>
                <w:szCs w:val="24"/>
              </w:rPr>
            </w:pPr>
            <w:r w:rsidRPr="00CC7D67">
              <w:t>6.2.</w:t>
            </w:r>
            <w:r w:rsidRPr="00CC7D67">
              <w:tab/>
              <w:t>Objectifs d’émissions spécifiques de référence à partir de </w:t>
            </w:r>
            <w:r w:rsidRPr="00CC7D67">
              <w:rPr>
                <w:b/>
                <w:i/>
              </w:rPr>
              <w:t>2026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477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D10BFD">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rPr>
                <w:b/>
                <w:i/>
              </w:rPr>
              <w:t> + a</w:t>
            </w:r>
            <w:r w:rsidRPr="00CC7D67">
              <w:rPr>
                <w:b/>
                <w:i/>
                <w:vertAlign w:val="subscript"/>
              </w:rPr>
              <w:t>2025</w:t>
            </w:r>
            <w:r w:rsidR="00D10BFD">
              <w:rPr>
                <w:b/>
                <w:i/>
                <w:vertAlign w:val="subscript"/>
              </w:rPr>
              <w:t xml:space="preserve"> </w:t>
            </w:r>
            <w:r w:rsidRPr="00CC7D67">
              <w:rPr>
                <w:b/>
                <w:i/>
              </w:rPr>
              <w:t>·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xml:space="preserve"> 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rPr>
                <w:vertAlign w:val="subscript"/>
              </w:rPr>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478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De </w:t>
            </w:r>
            <w:r w:rsidRPr="00CC7D67">
              <w:rPr>
                <w:b/>
                <w:i/>
              </w:rPr>
              <w:t>2025</w:t>
            </w:r>
            <w:r w:rsidRPr="00CC7D67">
              <w:t xml:space="preserve"> à 2029</w:t>
            </w:r>
          </w:p>
        </w:tc>
        <w:tc>
          <w:tcPr>
            <w:tcW w:w="4876" w:type="dxa"/>
            <w:hideMark/>
          </w:tcPr>
          <w:p w:rsidR="00B0509C" w:rsidRPr="00CC7D67" w:rsidRDefault="00B0509C" w:rsidP="00B0509C">
            <w:pPr>
              <w:pStyle w:val="Normal6"/>
              <w:rPr>
                <w:szCs w:val="24"/>
              </w:rPr>
            </w:pPr>
            <w:r w:rsidRPr="00CC7D67">
              <w:t>De </w:t>
            </w:r>
            <w:r w:rsidRPr="00CC7D67">
              <w:rPr>
                <w:b/>
                <w:i/>
              </w:rPr>
              <w:t>2026</w:t>
            </w:r>
            <w:r w:rsidRPr="00CC7D67">
              <w:t xml:space="preserve"> à 2029</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479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de référence = objectif à l’échelle du parc de l’UE</w:t>
            </w:r>
            <w:r w:rsidRPr="00CC7D67">
              <w:rPr>
                <w:vertAlign w:val="subscript"/>
              </w:rPr>
              <w:t>2025</w:t>
            </w:r>
            <w:r w:rsidRPr="00CC7D67">
              <w:rPr>
                <w:b/>
                <w:i/>
              </w:rPr>
              <w:t> + a</w:t>
            </w:r>
            <w:r w:rsidRPr="00CC7D67">
              <w:rPr>
                <w:b/>
                <w:i/>
                <w:vertAlign w:val="subscript"/>
              </w:rPr>
              <w:t>2025</w:t>
            </w:r>
            <w:r w:rsidR="00D10BFD">
              <w:rPr>
                <w:b/>
                <w:i/>
                <w:vertAlign w:val="subscript"/>
              </w:rPr>
              <w:t xml:space="preserve"> </w:t>
            </w:r>
            <w:r w:rsidRPr="00CC7D67">
              <w:rPr>
                <w:b/>
                <w:i/>
              </w:rPr>
              <w:t>·  (TM-TM</w:t>
            </w:r>
            <w:r w:rsidRPr="00CC7D67">
              <w:rPr>
                <w:b/>
                <w:i/>
                <w:vertAlign w:val="subscript"/>
              </w:rPr>
              <w:t>0</w:t>
            </w:r>
            <w:r w:rsidRPr="00CC7D67">
              <w:rPr>
                <w:b/>
                <w:i/>
              </w:rPr>
              <w:t>)</w:t>
            </w:r>
          </w:p>
        </w:tc>
        <w:tc>
          <w:tcPr>
            <w:tcW w:w="4876" w:type="dxa"/>
            <w:hideMark/>
          </w:tcPr>
          <w:p w:rsidR="00B0509C" w:rsidRPr="00CC7D67" w:rsidRDefault="00B0509C" w:rsidP="00B0509C">
            <w:pPr>
              <w:pStyle w:val="Normal6"/>
              <w:rPr>
                <w:szCs w:val="24"/>
              </w:rPr>
            </w:pPr>
            <w:r w:rsidRPr="00CC7D67">
              <w:t>Objectif d’émissions spécifiques de référence = objectif à l’échelle du parc de l’UE</w:t>
            </w:r>
            <w:r w:rsidRPr="00CC7D67">
              <w:rPr>
                <w:vertAlign w:val="subscript"/>
              </w:rPr>
              <w:t>2025</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480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de référence = objectif à l’échelle du parc de l’UE</w:t>
            </w:r>
            <w:r w:rsidRPr="00CC7D67">
              <w:rPr>
                <w:b/>
                <w:i/>
                <w:vertAlign w:val="subscript"/>
              </w:rPr>
              <w:t>2025</w:t>
            </w:r>
            <w:r w:rsidRPr="00CC7D67">
              <w:t> + a</w:t>
            </w:r>
            <w:r w:rsidRPr="00CC7D67">
              <w:rPr>
                <w:b/>
                <w:i/>
                <w:vertAlign w:val="subscript"/>
              </w:rPr>
              <w:t>2025</w:t>
            </w:r>
            <w:r w:rsidRPr="00CC7D67">
              <w:t xml:space="preserve"> · (TM-TM</w:t>
            </w:r>
            <w:r w:rsidRPr="00CC7D67">
              <w:rPr>
                <w:vertAlign w:val="subscript"/>
              </w:rPr>
              <w:t>0</w:t>
            </w:r>
            <w:r w:rsidRPr="00CC7D67">
              <w:t>)</w:t>
            </w:r>
          </w:p>
        </w:tc>
        <w:tc>
          <w:tcPr>
            <w:tcW w:w="4876" w:type="dxa"/>
            <w:hideMark/>
          </w:tcPr>
          <w:p w:rsidR="00B0509C" w:rsidRPr="00CC7D67" w:rsidRDefault="00B0509C" w:rsidP="00D10BFD">
            <w:pPr>
              <w:pStyle w:val="Normal6"/>
              <w:rPr>
                <w:szCs w:val="24"/>
              </w:rPr>
            </w:pPr>
            <w:r w:rsidRPr="00CC7D67">
              <w:t>Objectif d’émissions spécifiques de référence = objectif à l’échelle du parc de l’UE</w:t>
            </w:r>
            <w:r w:rsidRPr="00CC7D67">
              <w:rPr>
                <w:b/>
                <w:i/>
                <w:vertAlign w:val="subscript"/>
              </w:rPr>
              <w:t>2026</w:t>
            </w:r>
            <w:r w:rsidRPr="00CC7D67">
              <w:t> + a</w:t>
            </w:r>
            <w:r w:rsidRPr="00CC7D67">
              <w:rPr>
                <w:b/>
                <w:i/>
                <w:vertAlign w:val="subscript"/>
              </w:rPr>
              <w:t>2026</w:t>
            </w:r>
            <w:r w:rsidR="00D10BFD">
              <w:rPr>
                <w:b/>
                <w:i/>
                <w:vertAlign w:val="subscript"/>
              </w:rPr>
              <w:t xml:space="preserve"> </w:t>
            </w:r>
            <w:r w:rsidRPr="00CC7D67">
              <w:t>· (TM-TM</w:t>
            </w:r>
            <w:r w:rsidRPr="00CC7D67">
              <w:rPr>
                <w:vertAlign w:val="subscript"/>
              </w:rPr>
              <w:t>0</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481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3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à l’échelle du parc de l’UE</w:t>
            </w:r>
            <w:r w:rsidRPr="00CC7D67">
              <w:rPr>
                <w:b/>
                <w:i/>
                <w:vertAlign w:val="subscript"/>
              </w:rPr>
              <w:t>2025</w:t>
            </w:r>
            <w:r w:rsidRPr="00CC7D67">
              <w:t xml:space="preserve"> est déterminé conformément au point 6.1.1;</w:t>
            </w:r>
          </w:p>
        </w:tc>
        <w:tc>
          <w:tcPr>
            <w:tcW w:w="4876" w:type="dxa"/>
            <w:hideMark/>
          </w:tcPr>
          <w:p w:rsidR="00B0509C" w:rsidRPr="00CC7D67" w:rsidRDefault="00B0509C" w:rsidP="00B0509C">
            <w:pPr>
              <w:pStyle w:val="Normal6"/>
              <w:rPr>
                <w:szCs w:val="24"/>
              </w:rPr>
            </w:pPr>
            <w:r w:rsidRPr="00CC7D67">
              <w:t>objectif à l’échelle du parc de l’UE</w:t>
            </w:r>
            <w:r w:rsidRPr="00CC7D67">
              <w:rPr>
                <w:b/>
                <w:i/>
                <w:vertAlign w:val="subscript"/>
              </w:rPr>
              <w:t>2026</w:t>
            </w:r>
            <w:r w:rsidRPr="00CC7D67">
              <w:t xml:space="preserve"> est déterminé conformément au point 6.1.1;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482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rPr>
                <w:vertAlign w:val="subscript"/>
              </w:rPr>
              <w:t xml:space="preserve"> </w:t>
            </w:r>
            <w:r w:rsidRPr="00CC7D67">
              <w:rPr>
                <w:b/>
                <w:i/>
              </w:rPr>
              <w:t>est égal à</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483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3 – sous-alinéa 2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a</w:t>
            </w:r>
            <w:r w:rsidRPr="00CC7D67">
              <w:rPr>
                <w:b/>
                <w:i/>
                <w:vertAlign w:val="subscript"/>
              </w:rPr>
              <w:t>2025</w:t>
            </w:r>
            <w:r w:rsidRPr="00CC7D67">
              <w:rPr>
                <w:vertAlign w:val="subscript"/>
              </w:rPr>
              <w:t xml:space="preserve"> </w:t>
            </w:r>
            <w:r w:rsidRPr="00CC7D67">
              <w:t>est égal à</w:t>
            </w:r>
          </w:p>
        </w:tc>
        <w:tc>
          <w:tcPr>
            <w:tcW w:w="4876" w:type="dxa"/>
            <w:hideMark/>
          </w:tcPr>
          <w:p w:rsidR="00B0509C" w:rsidRPr="00CC7D67" w:rsidRDefault="00B0509C" w:rsidP="00B0509C">
            <w:pPr>
              <w:pStyle w:val="Normal6"/>
              <w:rPr>
                <w:szCs w:val="24"/>
              </w:rPr>
            </w:pPr>
            <w:r w:rsidRPr="00CC7D67">
              <w:t>a</w:t>
            </w:r>
            <w:r w:rsidRPr="00CC7D67">
              <w:rPr>
                <w:b/>
                <w:i/>
                <w:vertAlign w:val="subscript"/>
              </w:rPr>
              <w:t>2026</w:t>
            </w:r>
            <w:r w:rsidRPr="00CC7D67">
              <w:rPr>
                <w:vertAlign w:val="subscript"/>
              </w:rPr>
              <w:t xml:space="preserve"> </w:t>
            </w:r>
            <w:r w:rsidRPr="00CC7D67">
              <w:t>est égal 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484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485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4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486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4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487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488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6.2.1 – alinéa 4 – sous-alinéa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489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6.2.2.</w:t>
            </w:r>
            <w:r w:rsidRPr="00CC7D67">
              <w:rPr>
                <w:b/>
                <w:i/>
              </w:rPr>
              <w:tab/>
              <w:t>À partir de 2030</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D10BFD">
            <w:pPr>
              <w:pStyle w:val="Normal6"/>
              <w:rPr>
                <w:color w:val="0000FA"/>
              </w:rPr>
            </w:pPr>
            <w:r w:rsidRPr="00CC7D67">
              <w:rPr>
                <w:b/>
                <w:i/>
              </w:rPr>
              <w:t>Objectif d’émissions spécifiques de référence = objectif à l’échelle du parc de l’UE</w:t>
            </w:r>
            <w:r w:rsidRPr="00CC7D67">
              <w:rPr>
                <w:b/>
                <w:i/>
                <w:vertAlign w:val="subscript"/>
              </w:rPr>
              <w:t>2030</w:t>
            </w:r>
            <w:r w:rsidRPr="00CC7D67">
              <w:rPr>
                <w:b/>
                <w:i/>
              </w:rPr>
              <w:t> + a</w:t>
            </w:r>
            <w:r w:rsidRPr="00CC7D67">
              <w:rPr>
                <w:b/>
                <w:i/>
                <w:vertAlign w:val="subscript"/>
              </w:rPr>
              <w:t>2030</w:t>
            </w:r>
            <w:r w:rsidR="00D10BFD">
              <w:rPr>
                <w:b/>
                <w:i/>
                <w:vertAlign w:val="subscript"/>
              </w:rPr>
              <w:t xml:space="preserve"> </w:t>
            </w:r>
            <w:r w:rsidRPr="00CC7D67">
              <w:rPr>
                <w:b/>
                <w:i/>
              </w:rPr>
              <w:t>·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2030</w:t>
            </w:r>
            <w:r w:rsidRPr="00CC7D67">
              <w:rPr>
                <w:b/>
                <w:i/>
              </w:rPr>
              <w:t xml:space="preserve"> est déterminé conformément au point 6.1.2;</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2030</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490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6.2.2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À partir de 2030</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491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6.2.2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D10BFD">
            <w:pPr>
              <w:pStyle w:val="Normal6"/>
              <w:rPr>
                <w:color w:val="0000FA"/>
              </w:rPr>
            </w:pPr>
            <w:r w:rsidRPr="00CC7D67">
              <w:t>Objectif d’émissions spécifiques de référence = objectif à l’échelle du parc de l’UE</w:t>
            </w:r>
            <w:r w:rsidRPr="00CC7D67">
              <w:rPr>
                <w:vertAlign w:val="subscript"/>
              </w:rPr>
              <w:t>2030</w:t>
            </w:r>
            <w:r w:rsidRPr="00CC7D67">
              <w:rPr>
                <w:b/>
                <w:i/>
              </w:rPr>
              <w:t> + a</w:t>
            </w:r>
            <w:r w:rsidRPr="00CC7D67">
              <w:rPr>
                <w:b/>
                <w:i/>
                <w:vertAlign w:val="subscript"/>
              </w:rPr>
              <w:t>2030</w:t>
            </w:r>
            <w:r w:rsidR="00D10BFD">
              <w:rPr>
                <w:b/>
                <w:i/>
                <w:vertAlign w:val="subscript"/>
              </w:rPr>
              <w:t xml:space="preserve"> </w:t>
            </w:r>
            <w:r w:rsidRPr="00CC7D67">
              <w:rPr>
                <w:b/>
                <w:i/>
              </w:rPr>
              <w:t>· (TM-TM</w:t>
            </w:r>
            <w:r w:rsidRPr="00CC7D67">
              <w:rPr>
                <w:b/>
                <w:i/>
                <w:vertAlign w:val="subscript"/>
              </w:rPr>
              <w:t>0</w:t>
            </w:r>
            <w:r w:rsidRPr="00CC7D67">
              <w:rPr>
                <w:b/>
                <w:i/>
              </w:rPr>
              <w:t>)</w:t>
            </w:r>
          </w:p>
        </w:tc>
        <w:tc>
          <w:tcPr>
            <w:tcW w:w="4876" w:type="dxa"/>
            <w:hideMark/>
          </w:tcPr>
          <w:p w:rsidR="00B0509C" w:rsidRPr="00CC7D67" w:rsidRDefault="00B0509C" w:rsidP="00B0509C">
            <w:pPr>
              <w:pStyle w:val="Normal6"/>
              <w:rPr>
                <w:szCs w:val="24"/>
              </w:rPr>
            </w:pPr>
            <w:r w:rsidRPr="00CC7D67">
              <w:t>Objectif d’émissions spécifiques de référence = objectif à l’échelle du parc de l’UE</w:t>
            </w:r>
            <w:r w:rsidRPr="00CC7D67">
              <w:rPr>
                <w:vertAlign w:val="subscript"/>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492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6.2.2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2030</w:t>
            </w:r>
            <w:r w:rsidRPr="00CC7D67">
              <w:t xml:space="preserve"> </w:t>
            </w:r>
            <w:r w:rsidRPr="00CC7D67">
              <w:rPr>
                <w:b/>
                <w:i/>
              </w:rPr>
              <w:t>est égal à</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493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6.2.2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494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6.2.2 – alinéa 4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(variable dépendante) de chaque véhicule individuel du parc de l’UE en 2021;</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495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6.2.2 – alinéa 4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496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6.2.2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497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6.2 – point 6.2.2 – alinéa 4 – sous-alinéa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498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à partir de 2025</w:t>
            </w:r>
          </w:p>
        </w:tc>
        <w:tc>
          <w:tcPr>
            <w:tcW w:w="4876" w:type="dxa"/>
            <w:hideMark/>
          </w:tcPr>
          <w:p w:rsidR="00B0509C" w:rsidRPr="00CC7D67" w:rsidRDefault="00B0509C" w:rsidP="00B0509C">
            <w:pPr>
              <w:pStyle w:val="Normal6"/>
              <w:rPr>
                <w:szCs w:val="24"/>
              </w:rPr>
            </w:pPr>
            <w:r w:rsidRPr="00CC7D67">
              <w:rPr>
                <w:b/>
                <w:i/>
              </w:rPr>
              <w:t>Mandat pour la vente de véhicules à émission nulle et à faibles émissions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499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à partir de 2025</w:t>
            </w:r>
          </w:p>
        </w:tc>
        <w:tc>
          <w:tcPr>
            <w:tcW w:w="4876" w:type="dxa"/>
            <w:hideMark/>
          </w:tcPr>
          <w:p w:rsidR="00B0509C" w:rsidRPr="00CC7D67" w:rsidRDefault="00B0509C" w:rsidP="00B0509C">
            <w:pPr>
              <w:pStyle w:val="Normal6"/>
              <w:rPr>
                <w:szCs w:val="24"/>
              </w:rPr>
            </w:pPr>
            <w:r w:rsidRPr="00CC7D67">
              <w:rPr>
                <w:b/>
                <w:i/>
              </w:rPr>
              <w:t>Mandat pour la vente de véhicules à émission nulle et à faibles émissions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500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à partir de </w:t>
            </w:r>
            <w:r w:rsidRPr="00CC7D67">
              <w:rPr>
                <w:b/>
                <w:i/>
              </w:rPr>
              <w:t>2025</w:t>
            </w:r>
          </w:p>
        </w:tc>
        <w:tc>
          <w:tcPr>
            <w:tcW w:w="4876" w:type="dxa"/>
            <w:hideMark/>
          </w:tcPr>
          <w:p w:rsidR="00B0509C" w:rsidRPr="00CC7D67" w:rsidRDefault="00B0509C" w:rsidP="00B0509C">
            <w:pPr>
              <w:pStyle w:val="Normal6"/>
              <w:rPr>
                <w:szCs w:val="24"/>
              </w:rPr>
            </w:pPr>
            <w:r w:rsidRPr="00CC7D67">
              <w:t>Objectif d’émissions spécifiques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501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6.3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à partir de </w:t>
            </w:r>
            <w:r w:rsidRPr="00CC7D67">
              <w:rPr>
                <w:b/>
                <w:i/>
              </w:rPr>
              <w:t>2025</w:t>
            </w:r>
          </w:p>
        </w:tc>
        <w:tc>
          <w:tcPr>
            <w:tcW w:w="4876" w:type="dxa"/>
            <w:hideMark/>
          </w:tcPr>
          <w:p w:rsidR="00B0509C" w:rsidRPr="00CC7D67" w:rsidRDefault="00B0509C" w:rsidP="00B0509C">
            <w:pPr>
              <w:pStyle w:val="Normal6"/>
              <w:rPr>
                <w:szCs w:val="24"/>
              </w:rPr>
            </w:pPr>
            <w:r w:rsidRPr="00CC7D67">
              <w:t>Objectif d’émissions spécifiques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502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Elisabetta Gardini, Lorenzo Cesa, Giovanni La Via, Stefano Maullu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à partir de </w:t>
            </w:r>
            <w:r w:rsidRPr="00CC7D67">
              <w:rPr>
                <w:b/>
                <w:i/>
              </w:rPr>
              <w:t>2025</w:t>
            </w:r>
          </w:p>
        </w:tc>
        <w:tc>
          <w:tcPr>
            <w:tcW w:w="4876" w:type="dxa"/>
            <w:hideMark/>
          </w:tcPr>
          <w:p w:rsidR="00B0509C" w:rsidRPr="00CC7D67" w:rsidRDefault="00B0509C" w:rsidP="00B0509C">
            <w:pPr>
              <w:pStyle w:val="Normal6"/>
              <w:rPr>
                <w:szCs w:val="24"/>
              </w:rPr>
            </w:pPr>
            <w:r w:rsidRPr="00CC7D67">
              <w:t>Objectif d’émissions spécifiques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503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à partir de </w:t>
            </w:r>
            <w:r w:rsidRPr="00CC7D67">
              <w:rPr>
                <w:b/>
                <w:i/>
              </w:rPr>
              <w:t>2025</w:t>
            </w:r>
          </w:p>
        </w:tc>
        <w:tc>
          <w:tcPr>
            <w:tcW w:w="4876" w:type="dxa"/>
            <w:hideMark/>
          </w:tcPr>
          <w:p w:rsidR="00B0509C" w:rsidRPr="00CC7D67" w:rsidRDefault="00B0509C" w:rsidP="00B0509C">
            <w:pPr>
              <w:pStyle w:val="Normal6"/>
              <w:rPr>
                <w:szCs w:val="24"/>
              </w:rPr>
            </w:pPr>
            <w:r w:rsidRPr="00CC7D67">
              <w:t>Objectif d’émissions spécifiques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504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à partir de </w:t>
            </w:r>
            <w:r w:rsidRPr="00CC7D67">
              <w:rPr>
                <w:b/>
                <w:i/>
              </w:rPr>
              <w:t>2025</w:t>
            </w:r>
          </w:p>
        </w:tc>
        <w:tc>
          <w:tcPr>
            <w:tcW w:w="4876" w:type="dxa"/>
            <w:hideMark/>
          </w:tcPr>
          <w:p w:rsidR="00B0509C" w:rsidRPr="00CC7D67" w:rsidRDefault="00B0509C" w:rsidP="00B0509C">
            <w:pPr>
              <w:pStyle w:val="Normal6"/>
              <w:rPr>
                <w:szCs w:val="24"/>
              </w:rPr>
            </w:pPr>
            <w:r w:rsidRPr="00CC7D67">
              <w:t>Objectif d’émissions spécifiques à partir de </w:t>
            </w:r>
            <w:r w:rsidRPr="00CC7D67">
              <w:rPr>
                <w:b/>
                <w:i/>
              </w:rPr>
              <w:t>2026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505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Miriam Dalli</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Objectif d’émissions spécifiques= objectif spécifique d’émissions spécifiques </w:t>
            </w:r>
            <w:r w:rsidRPr="00CC7D67">
              <w:rPr>
                <w:b/>
                <w:i/>
              </w:rPr>
              <w:t>de référence</w:t>
            </w:r>
            <w:r w:rsidRPr="00CC7D67">
              <w:t xml:space="preserve"> · facteur ZLEV</w:t>
            </w:r>
          </w:p>
        </w:tc>
        <w:tc>
          <w:tcPr>
            <w:tcW w:w="4876" w:type="dxa"/>
            <w:hideMark/>
          </w:tcPr>
          <w:p w:rsidR="00B0509C" w:rsidRPr="00CC7D67" w:rsidRDefault="00B0509C" w:rsidP="004E0A0F">
            <w:pPr>
              <w:pStyle w:val="Normal6"/>
              <w:rPr>
                <w:color w:val="000005"/>
                <w:szCs w:val="24"/>
              </w:rPr>
            </w:pPr>
            <w:r w:rsidRPr="00CC7D67">
              <w:t>Objectif d’émissions spécifiques = </w:t>
            </w:r>
            <w:r w:rsidRPr="00CC7D67">
              <w:rPr>
                <w:b/>
                <w:i/>
              </w:rPr>
              <w:t>(</w:t>
            </w:r>
            <w:r w:rsidRPr="00CC7D67">
              <w:t xml:space="preserve">objectif d’émissions spécifiques </w:t>
            </w:r>
            <w:r w:rsidRPr="00CC7D67">
              <w:rPr>
                <w:b/>
                <w:i/>
              </w:rPr>
              <w:t>pour 2021</w:t>
            </w:r>
            <w:r w:rsidR="004E0A0F">
              <w:rPr>
                <w:b/>
                <w:i/>
              </w:rPr>
              <w:t>) ·</w:t>
            </w:r>
            <w:r w:rsidRPr="00CC7D67">
              <w:rPr>
                <w:b/>
                <w:i/>
              </w:rPr>
              <w:t xml:space="preserve">  (1- facteur de réduction pour  2025)</w:t>
            </w:r>
            <w:r w:rsidRPr="00CC7D67">
              <w:t xml:space="preserve"> </w:t>
            </w:r>
            <w:r w:rsidR="004E0A0F">
              <w:t>·</w:t>
            </w:r>
            <w:r w:rsidRPr="00CC7D67">
              <w:t xml:space="preserve"> facteur ZLEV </w:t>
            </w:r>
            <w:r w:rsidRPr="00CC7D67">
              <w:rPr>
                <w:b/>
                <w:i/>
              </w:rPr>
              <w:t>Pour calculer cette formule, les émissions spécifiques de 2021, telles qu’elles sont définies au point 4, sont corrigées en tenant compte de la différence entre les émissions de CO</w:t>
            </w:r>
            <w:r w:rsidRPr="00CC7D67">
              <w:rPr>
                <w:b/>
                <w:i/>
                <w:vertAlign w:val="subscript"/>
              </w:rPr>
              <w:t>2</w:t>
            </w:r>
            <w:r w:rsidRPr="00CC7D67">
              <w:rPr>
                <w:b/>
                <w:i/>
              </w:rPr>
              <w:t xml:space="preserve"> WLTP mesurées et les émissions de CO</w:t>
            </w:r>
            <w:r w:rsidRPr="00CC7D67">
              <w:rPr>
                <w:b/>
                <w:i/>
                <w:vertAlign w:val="subscript"/>
              </w:rPr>
              <w:t>2</w:t>
            </w:r>
            <w:r w:rsidRPr="00CC7D67">
              <w:rPr>
                <w:b/>
                <w:i/>
              </w:rPr>
              <w:t xml:space="preserve"> WLTP déclarées.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Pour les nouveaux entrants, la Commission devrait élaborer, par voie d’acte délégué, une formule de calcul de l’objectif d’émissions spécifiques pertinent pour 2021 concernant chaque constructeur.</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506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objectif spécifique d’émissions spécifiques de référence · facteur ZLEV</w:t>
            </w:r>
          </w:p>
        </w:tc>
        <w:tc>
          <w:tcPr>
            <w:tcW w:w="4876" w:type="dxa"/>
            <w:hideMark/>
          </w:tcPr>
          <w:p w:rsidR="00B0509C" w:rsidRPr="00CC7D67" w:rsidRDefault="00B0509C" w:rsidP="00B0509C">
            <w:pPr>
              <w:pStyle w:val="Normal6"/>
              <w:rPr>
                <w:szCs w:val="24"/>
              </w:rPr>
            </w:pPr>
            <w:r w:rsidRPr="00CC7D67">
              <w:rPr>
                <w:b/>
                <w:i/>
              </w:rPr>
              <w:t>L’objectif de vente de véhicules à émission nulle et à faibles émissions est calculé conformément à la formule: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507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Objectif d’émissions spécifiques= objectif </w:t>
            </w:r>
            <w:r w:rsidRPr="00CC7D67">
              <w:rPr>
                <w:b/>
                <w:i/>
              </w:rPr>
              <w:t>spécifique</w:t>
            </w:r>
            <w:r w:rsidRPr="00CC7D67">
              <w:t xml:space="preserve"> d’émissions spécifiques </w:t>
            </w:r>
            <w:r w:rsidRPr="00CC7D67">
              <w:rPr>
                <w:b/>
                <w:i/>
              </w:rPr>
              <w:t>de référence</w:t>
            </w:r>
            <w:r w:rsidRPr="00CC7D67">
              <w:t xml:space="preserve"> · facteur </w:t>
            </w:r>
            <w:r w:rsidRPr="00CC7D67">
              <w:rPr>
                <w:b/>
                <w:i/>
              </w:rPr>
              <w:t>ZLEV</w:t>
            </w:r>
          </w:p>
        </w:tc>
        <w:tc>
          <w:tcPr>
            <w:tcW w:w="4876" w:type="dxa"/>
            <w:hideMark/>
          </w:tcPr>
          <w:p w:rsidR="00B0509C" w:rsidRPr="00CC7D67" w:rsidRDefault="00B0509C" w:rsidP="00B0509C">
            <w:pPr>
              <w:pStyle w:val="Normal6"/>
              <w:rPr>
                <w:color w:val="000005"/>
                <w:szCs w:val="24"/>
              </w:rPr>
            </w:pPr>
            <w:r w:rsidRPr="00CC7D67">
              <w:rPr>
                <w:b/>
                <w:i/>
              </w:rPr>
              <w:t>6.3.1. 2025-2029</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t>Objectif d’émissions spécifiques</w:t>
            </w:r>
            <w:r w:rsidRPr="00CC7D67">
              <w:rPr>
                <w:b/>
                <w:i/>
                <w:vertAlign w:val="subscript"/>
              </w:rPr>
              <w:t>2025</w:t>
            </w:r>
            <w:r w:rsidRPr="00CC7D67">
              <w:t> = objectif d’émissions spécifiques</w:t>
            </w:r>
            <w:r w:rsidRPr="00CC7D67">
              <w:rPr>
                <w:b/>
                <w:i/>
                <w:vertAlign w:val="subscript"/>
              </w:rPr>
              <w:t>2021</w:t>
            </w:r>
            <w:r w:rsidRPr="00CC7D67">
              <w:rPr>
                <w:b/>
                <w:i/>
              </w:rPr>
              <w:t xml:space="preserve"> (1-</w:t>
            </w:r>
            <w:r w:rsidRPr="00CC7D67">
              <w:t xml:space="preserve"> facteur </w:t>
            </w:r>
            <w:r w:rsidRPr="00CC7D67">
              <w:rPr>
                <w:b/>
                <w:i/>
              </w:rPr>
              <w:t>de réduction)</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508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objectif spécifique d’émissions spécifiques de référence · facteur ZLEV</w:t>
            </w:r>
          </w:p>
        </w:tc>
        <w:tc>
          <w:tcPr>
            <w:tcW w:w="4876" w:type="dxa"/>
            <w:hideMark/>
          </w:tcPr>
          <w:p w:rsidR="00B0509C" w:rsidRPr="00CC7D67" w:rsidRDefault="00B0509C" w:rsidP="00B0509C">
            <w:pPr>
              <w:pStyle w:val="Normal6"/>
              <w:rPr>
                <w:szCs w:val="24"/>
              </w:rPr>
            </w:pPr>
            <w:r w:rsidRPr="00CC7D67">
              <w:rPr>
                <w:b/>
                <w:i/>
              </w:rPr>
              <w:t>La part des ventes de véhicules à émission nulle et à faibles émissions est calculée conformément à la formule: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509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Miriam Dalli</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51442D">
            <w:pPr>
              <w:pStyle w:val="Normal6"/>
              <w:rPr>
                <w:color w:val="000005"/>
                <w:szCs w:val="24"/>
              </w:rPr>
            </w:pPr>
            <w:r w:rsidRPr="00CC7D67">
              <w:rPr>
                <w:b/>
                <w:i/>
              </w:rPr>
              <w:t xml:space="preserve">Objectif d’émissions spécifiques = (objectif d’émissions spécifiques pour 2021) </w:t>
            </w:r>
            <w:r w:rsidR="0051442D">
              <w:rPr>
                <w:b/>
                <w:i/>
              </w:rPr>
              <w:t>·</w:t>
            </w:r>
            <w:r w:rsidRPr="00CC7D67">
              <w:rPr>
                <w:b/>
                <w:i/>
              </w:rPr>
              <w:t xml:space="preserve"> (1- facteur de réduction de 2030) </w:t>
            </w:r>
            <w:r w:rsidR="0051442D">
              <w:rPr>
                <w:b/>
                <w:i/>
              </w:rPr>
              <w:t>·</w:t>
            </w:r>
            <w:r w:rsidRPr="00CC7D67">
              <w:rPr>
                <w:b/>
                <w:i/>
              </w:rPr>
              <w:t xml:space="preserve"> facteur ZLE</w:t>
            </w:r>
            <w:r w:rsidR="0051442D">
              <w:rPr>
                <w:b/>
                <w:i/>
              </w:rPr>
              <w:t>V</w:t>
            </w:r>
            <w:r w:rsidRPr="00CC7D67">
              <w:rPr>
                <w:b/>
                <w:i/>
              </w:rPr>
              <w:t>. Pour calculer cette formule, les émissions spécifiques de 2021, telles qu’elles sont définies au point 4, sont corrigées en tenant compte de la différence entre les émissions de CO</w:t>
            </w:r>
            <w:r w:rsidRPr="00CC7D67">
              <w:rPr>
                <w:b/>
                <w:i/>
                <w:vertAlign w:val="subscript"/>
              </w:rPr>
              <w:t>2</w:t>
            </w:r>
            <w:r w:rsidRPr="00CC7D67">
              <w:rPr>
                <w:b/>
                <w:i/>
              </w:rPr>
              <w:t xml:space="preserve"> WLTP mesurées et les émissions de CO</w:t>
            </w:r>
            <w:r w:rsidRPr="00CC7D67">
              <w:rPr>
                <w:b/>
                <w:i/>
                <w:vertAlign w:val="subscript"/>
              </w:rPr>
              <w:t>2</w:t>
            </w:r>
            <w:r w:rsidRPr="00CC7D67">
              <w:rPr>
                <w:b/>
                <w:i/>
              </w:rPr>
              <w:t xml:space="preserve"> WLTP déclarées.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Pour les nouveaux entrants, la Commission devrait élaborer, par voie d’acte délégué, une formule de calcul de l’objectif d’émissions spécifiques pertinent pour 2021 concernant chaque constructeur.</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510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est l’objectif d’émissions spécifiques de CO</w:t>
            </w:r>
            <w:r w:rsidRPr="00CC7D67">
              <w:rPr>
                <w:b/>
                <w:i/>
                <w:vertAlign w:val="subscript"/>
              </w:rPr>
              <w:t>2</w:t>
            </w:r>
            <w:r w:rsidRPr="00CC7D67">
              <w:rPr>
                <w:b/>
                <w:i/>
              </w:rPr>
              <w:t xml:space="preserve"> de référence déterminé conformément au point 6.2.1 pour la période 2025 à 2029 et au point 6.2.2 pour 2030 et au-delà;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ZLEV est égal à (1+y-x), à moins que cette somme ne soit supérieure à 1,05 ou inférieure à 1,0, auquel cas le facteur ZLEV est fixé à 1,05 ou 1,0 selon le cas</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511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est l’objectif d’émissions spécifiques de CO</w:t>
            </w:r>
            <w:r w:rsidRPr="00CC7D67">
              <w:rPr>
                <w:b/>
                <w:i/>
                <w:vertAlign w:val="subscript"/>
              </w:rPr>
              <w:t>2</w:t>
            </w:r>
            <w:r w:rsidRPr="00CC7D67">
              <w:rPr>
                <w:b/>
                <w:i/>
              </w:rPr>
              <w:t xml:space="preserve"> de référence déterminé conformément au point 6.2.1 pour la période 2025 à 2029 et au point 6.2.2 pour 2030 et au-delà;</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512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objectif d’émissions spécifiques </w:t>
            </w:r>
            <w:r w:rsidRPr="00CC7D67">
              <w:rPr>
                <w:b/>
                <w:i/>
              </w:rPr>
              <w:t>de référence</w:t>
            </w:r>
            <w:r w:rsidRPr="00CC7D67">
              <w:t xml:space="preserve"> est l’objectif d’émissions spécifiques </w:t>
            </w:r>
            <w:r w:rsidRPr="00CC7D67">
              <w:rPr>
                <w:b/>
                <w:i/>
              </w:rPr>
              <w:t>de CO</w:t>
            </w:r>
            <w:r w:rsidRPr="00CC7D67">
              <w:rPr>
                <w:b/>
                <w:i/>
                <w:vertAlign w:val="subscript"/>
              </w:rPr>
              <w:t>2</w:t>
            </w:r>
            <w:r w:rsidRPr="00CC7D67">
              <w:rPr>
                <w:b/>
                <w:i/>
              </w:rPr>
              <w:t xml:space="preserve"> de référence</w:t>
            </w:r>
            <w:r w:rsidRPr="00CC7D67">
              <w:t xml:space="preserve"> déterminé </w:t>
            </w:r>
            <w:r w:rsidRPr="00CC7D67">
              <w:rPr>
                <w:b/>
                <w:i/>
              </w:rPr>
              <w:t>conformément au point</w:t>
            </w:r>
            <w:r w:rsidRPr="00CC7D67">
              <w:t> </w:t>
            </w:r>
            <w:r w:rsidRPr="00CC7D67">
              <w:rPr>
                <w:b/>
                <w:i/>
              </w:rPr>
              <w:t>6.2.1 pour la période 2025 à 2029 et au point 6.2.2 pour</w:t>
            </w:r>
            <w:r w:rsidRPr="00CC7D67">
              <w:t xml:space="preserve"> 2030 </w:t>
            </w:r>
            <w:r w:rsidRPr="00CC7D67">
              <w:rPr>
                <w:b/>
                <w:i/>
              </w:rPr>
              <w:t>et au-delà</w:t>
            </w:r>
            <w:r w:rsidRPr="00CC7D67">
              <w:t>;</w:t>
            </w:r>
          </w:p>
        </w:tc>
        <w:tc>
          <w:tcPr>
            <w:tcW w:w="4876" w:type="dxa"/>
            <w:hideMark/>
          </w:tcPr>
          <w:p w:rsidR="00B0509C" w:rsidRPr="00CC7D67" w:rsidRDefault="00B0509C" w:rsidP="00B0509C">
            <w:pPr>
              <w:pStyle w:val="Normal6"/>
              <w:rPr>
                <w:color w:val="000005"/>
                <w:szCs w:val="24"/>
              </w:rPr>
            </w:pPr>
            <w:r w:rsidRPr="00CC7D67">
              <w:t>objectif d’émissions spécifiques</w:t>
            </w:r>
            <w:r w:rsidRPr="00CC7D67">
              <w:rPr>
                <w:b/>
                <w:i/>
                <w:vertAlign w:val="subscript"/>
              </w:rPr>
              <w:t>2021</w:t>
            </w:r>
            <w:r w:rsidRPr="00CC7D67">
              <w:t xml:space="preserve"> est l’objectif d’émissions spécifiques déterminé </w:t>
            </w:r>
            <w:r w:rsidRPr="00CC7D67">
              <w:rPr>
                <w:b/>
                <w:i/>
              </w:rPr>
              <w:t>pour chaque constructeur en 2021</w:t>
            </w:r>
            <w:r w:rsidRPr="00CC7D67">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facteur de réduction est égal à la réduction spécifiée à l’article 1</w:t>
            </w:r>
            <w:r w:rsidRPr="00CC7D67">
              <w:rPr>
                <w:b/>
                <w:i/>
                <w:vertAlign w:val="superscript"/>
              </w:rPr>
              <w:t>er</w:t>
            </w:r>
            <w:r w:rsidRPr="00CC7D67">
              <w:rPr>
                <w:b/>
                <w:i/>
              </w:rPr>
              <w:t xml:space="preserve">, paragraphe 4, point a)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6.3.1.</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À partir de</w:t>
            </w:r>
            <w:r w:rsidRPr="00CC7D67">
              <w:t xml:space="preserve"> 2030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Objectif d’émissions spécifiques</w:t>
            </w:r>
            <w:r w:rsidRPr="00CC7D67">
              <w:rPr>
                <w:b/>
                <w:i/>
                <w:vertAlign w:val="subscript"/>
              </w:rPr>
              <w:t>2030</w:t>
            </w:r>
            <w:r w:rsidRPr="00CC7D67">
              <w:rPr>
                <w:b/>
                <w:i/>
              </w:rPr>
              <w:t> = objectif d’émissions spécifiques</w:t>
            </w:r>
            <w:r w:rsidRPr="00CC7D67">
              <w:rPr>
                <w:b/>
                <w:i/>
                <w:vertAlign w:val="subscript"/>
              </w:rPr>
              <w:t>2021</w:t>
            </w:r>
            <w:r w:rsidRPr="00CC7D67">
              <w:rPr>
                <w:b/>
                <w:i/>
              </w:rPr>
              <w:t xml:space="preserve"> (1 - facteur de réduction)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xml:space="preserve">où: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objectif d’émissions spécifiques</w:t>
            </w:r>
            <w:r w:rsidRPr="00CC7D67">
              <w:rPr>
                <w:b/>
                <w:i/>
                <w:vertAlign w:val="subscript"/>
              </w:rPr>
              <w:t>2021</w:t>
            </w:r>
            <w:r w:rsidRPr="00CC7D67">
              <w:rPr>
                <w:b/>
                <w:i/>
              </w:rPr>
              <w:t xml:space="preserve"> est l’objectif d’émissions spécifiques déterminé pour chaque constructeur en 2021;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facteur de réduction est égal à la réduction spécifiée à l’article 1</w:t>
            </w:r>
            <w:r w:rsidRPr="00CC7D67">
              <w:rPr>
                <w:b/>
                <w:i/>
                <w:vertAlign w:val="superscript"/>
              </w:rPr>
              <w:t>er</w:t>
            </w:r>
            <w:r w:rsidRPr="00CC7D67">
              <w:rPr>
                <w:b/>
                <w:i/>
              </w:rPr>
              <w:t xml:space="preserve">, paragraphe 5, point a). </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513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6.3 – alinéa 3 – ligne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de référence est l’objectif d’émissions spécifiques de CO</w:t>
            </w:r>
            <w:r w:rsidRPr="00CC7D67">
              <w:rPr>
                <w:vertAlign w:val="subscript"/>
              </w:rPr>
              <w:t>2</w:t>
            </w:r>
            <w:r w:rsidRPr="00CC7D67">
              <w:t xml:space="preserve"> de référence déterminé conformément au point </w:t>
            </w:r>
            <w:r w:rsidRPr="00CC7D67">
              <w:rPr>
                <w:b/>
                <w:i/>
              </w:rPr>
              <w:t>6.2.1 pour la période 2025 à 2029 et au point </w:t>
            </w:r>
            <w:r w:rsidRPr="00CC7D67">
              <w:t>6.2.2 pour 2030 et au-delà;</w:t>
            </w:r>
          </w:p>
        </w:tc>
        <w:tc>
          <w:tcPr>
            <w:tcW w:w="4876" w:type="dxa"/>
            <w:hideMark/>
          </w:tcPr>
          <w:p w:rsidR="00B0509C" w:rsidRPr="00CC7D67" w:rsidRDefault="00B0509C" w:rsidP="00B0509C">
            <w:pPr>
              <w:pStyle w:val="Normal6"/>
              <w:rPr>
                <w:szCs w:val="24"/>
              </w:rPr>
            </w:pPr>
            <w:r w:rsidRPr="00CC7D67">
              <w:t>objectif d’émissions spécifiques de référence est l’objectif d’émissions spécifiques de CO</w:t>
            </w:r>
            <w:r w:rsidRPr="00CC7D67">
              <w:rPr>
                <w:vertAlign w:val="subscript"/>
              </w:rPr>
              <w:t>2</w:t>
            </w:r>
            <w:r w:rsidRPr="00CC7D67">
              <w:t xml:space="preserve"> de référence déterminé conformément au point 6.2.2 pour 2030 et au-delà;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514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Elisabetta Gardini, Lorenzo Cesa, Giovanni La Via, Stefano Maullu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de référence est l’objectif d’émissions spécifiques de CO</w:t>
            </w:r>
            <w:r w:rsidRPr="00CC7D67">
              <w:rPr>
                <w:vertAlign w:val="subscript"/>
              </w:rPr>
              <w:t>2</w:t>
            </w:r>
            <w:r w:rsidRPr="00CC7D67">
              <w:t xml:space="preserve"> de référence déterminé conformément au point </w:t>
            </w:r>
            <w:r w:rsidRPr="00CC7D67">
              <w:rPr>
                <w:b/>
                <w:i/>
              </w:rPr>
              <w:t>6.2.1 pour la période 2025 à 2029 et au point</w:t>
            </w:r>
            <w:r w:rsidRPr="00CC7D67">
              <w:t> 6.2.2 pour 2030 et au-delà;</w:t>
            </w:r>
          </w:p>
        </w:tc>
        <w:tc>
          <w:tcPr>
            <w:tcW w:w="4876" w:type="dxa"/>
            <w:hideMark/>
          </w:tcPr>
          <w:p w:rsidR="00B0509C" w:rsidRPr="00CC7D67" w:rsidRDefault="00B0509C" w:rsidP="00B0509C">
            <w:pPr>
              <w:pStyle w:val="Normal6"/>
              <w:rPr>
                <w:szCs w:val="24"/>
              </w:rPr>
            </w:pPr>
            <w:r w:rsidRPr="00CC7D67">
              <w:t>objectif d’émissions spécifiques de référence est l’objectif d’émissions spécifiques de CO</w:t>
            </w:r>
            <w:r w:rsidRPr="00CC7D67">
              <w:rPr>
                <w:vertAlign w:val="subscript"/>
              </w:rPr>
              <w:t>2</w:t>
            </w:r>
            <w:r w:rsidRPr="00CC7D67">
              <w:t xml:space="preserve"> de référence déterminé conformément au point 6.2.2 pour 2030 et au-delà;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515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de référence est l’objectif d’émissions spécifiques de CO</w:t>
            </w:r>
            <w:r w:rsidRPr="00CC7D67">
              <w:rPr>
                <w:vertAlign w:val="subscript"/>
              </w:rPr>
              <w:t>2</w:t>
            </w:r>
            <w:r w:rsidRPr="00CC7D67">
              <w:t xml:space="preserve"> de référence déterminé conformément au point </w:t>
            </w:r>
            <w:r w:rsidRPr="00CC7D67">
              <w:rPr>
                <w:b/>
                <w:i/>
              </w:rPr>
              <w:t>6.2.1 pour la période 2025 à 2029 et au point</w:t>
            </w:r>
            <w:r w:rsidRPr="00CC7D67">
              <w:t> 6.2.2 pour 2030 et au-delà;</w:t>
            </w:r>
          </w:p>
        </w:tc>
        <w:tc>
          <w:tcPr>
            <w:tcW w:w="4876" w:type="dxa"/>
            <w:hideMark/>
          </w:tcPr>
          <w:p w:rsidR="00B0509C" w:rsidRPr="00CC7D67" w:rsidRDefault="00B0509C" w:rsidP="00B0509C">
            <w:pPr>
              <w:pStyle w:val="Normal6"/>
              <w:rPr>
                <w:szCs w:val="24"/>
              </w:rPr>
            </w:pPr>
            <w:r w:rsidRPr="00CC7D67">
              <w:t>objectif d’émissions spécifiques de référence est l’objectif d’émissions spécifiques de CO</w:t>
            </w:r>
            <w:r w:rsidRPr="00CC7D67">
              <w:rPr>
                <w:vertAlign w:val="subscript"/>
              </w:rPr>
              <w:t>2</w:t>
            </w:r>
            <w:r w:rsidRPr="00CC7D67">
              <w:t xml:space="preserve"> de référence déterminé conformément au point 6.2.2 pour 2030 et au-delà;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516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de référence est l’objectif d’émissions spécifiques de CO</w:t>
            </w:r>
            <w:r w:rsidRPr="00CC7D67">
              <w:rPr>
                <w:vertAlign w:val="subscript"/>
              </w:rPr>
              <w:t>2</w:t>
            </w:r>
            <w:r w:rsidRPr="00CC7D67">
              <w:t xml:space="preserve"> de référence déterminé conformément au point 6.2.1 pour la période </w:t>
            </w:r>
            <w:r w:rsidRPr="00CC7D67">
              <w:rPr>
                <w:b/>
                <w:i/>
              </w:rPr>
              <w:t>2025</w:t>
            </w:r>
            <w:r w:rsidRPr="00CC7D67">
              <w:t xml:space="preserve"> à 2029 et au point 6.2.2 pour 2030 et au-delà;</w:t>
            </w:r>
          </w:p>
        </w:tc>
        <w:tc>
          <w:tcPr>
            <w:tcW w:w="4876" w:type="dxa"/>
            <w:hideMark/>
          </w:tcPr>
          <w:p w:rsidR="00B0509C" w:rsidRPr="00CC7D67" w:rsidRDefault="00B0509C" w:rsidP="00B0509C">
            <w:pPr>
              <w:pStyle w:val="Normal6"/>
              <w:rPr>
                <w:szCs w:val="24"/>
              </w:rPr>
            </w:pPr>
            <w:r w:rsidRPr="00CC7D67">
              <w:t>objectif d’émissions spécifiques de référence est l’objectif d’émissions spécifiques de CO</w:t>
            </w:r>
            <w:r w:rsidRPr="00CC7D67">
              <w:rPr>
                <w:vertAlign w:val="subscript"/>
              </w:rPr>
              <w:t>2</w:t>
            </w:r>
            <w:r w:rsidRPr="00CC7D67">
              <w:t xml:space="preserve"> de référence déterminé conformément au point 6.2.1 pour la période </w:t>
            </w:r>
            <w:r w:rsidRPr="00CC7D67">
              <w:rPr>
                <w:b/>
                <w:i/>
              </w:rPr>
              <w:t>2026</w:t>
            </w:r>
            <w:r w:rsidRPr="00CC7D67">
              <w:t xml:space="preserve"> à 2029 et au point 6.2.2 pour 2030 et au-delà;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517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ZLEV est égal à (1+y-x), à moins que cette somme ne soit supérieure à 1,05 ou inférieure à 1,0, auquel cas le facteur ZLEV est fixé à 1,05 ou 1,0 selon le cas</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518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ZLEV est égal à (1+y-x)</w:t>
            </w:r>
            <w:r w:rsidRPr="00CC7D67">
              <w:rPr>
                <w:b/>
                <w:i/>
              </w:rPr>
              <w:t>, à moins que cette somme ne soit supérieure à 1,05 ou inférieure à 1,0, auquel cas le facteur ZLEV est fixé à 1,05 ou 1,0 selon le cas</w:t>
            </w:r>
          </w:p>
        </w:tc>
        <w:tc>
          <w:tcPr>
            <w:tcW w:w="4876" w:type="dxa"/>
            <w:hideMark/>
          </w:tcPr>
          <w:p w:rsidR="00B0509C" w:rsidRPr="00CC7D67" w:rsidRDefault="00B0509C" w:rsidP="00B0509C">
            <w:pPr>
              <w:pStyle w:val="Normal6"/>
              <w:rPr>
                <w:szCs w:val="24"/>
              </w:rPr>
            </w:pPr>
            <w:r w:rsidRPr="00CC7D67">
              <w:t>Facteur ZLEV est égal à (1+y-x)</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519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José Inácio Faria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ZLEV est égal à (1+y-x), à moins que cette somme ne soit supérieure à 1,05 ou inférieure à </w:t>
            </w:r>
            <w:r w:rsidRPr="00CC7D67">
              <w:rPr>
                <w:b/>
                <w:i/>
              </w:rPr>
              <w:t>1,0</w:t>
            </w:r>
            <w:r w:rsidRPr="00CC7D67">
              <w:t>, auquel cas le facteur ZLEV est fixé à 1,05 ou </w:t>
            </w:r>
            <w:r w:rsidRPr="00CC7D67">
              <w:rPr>
                <w:b/>
                <w:i/>
              </w:rPr>
              <w:t>1,0</w:t>
            </w:r>
            <w:r w:rsidRPr="00CC7D67">
              <w:t xml:space="preserve"> selon le cas  </w:t>
            </w:r>
          </w:p>
        </w:tc>
        <w:tc>
          <w:tcPr>
            <w:tcW w:w="4876" w:type="dxa"/>
            <w:hideMark/>
          </w:tcPr>
          <w:p w:rsidR="00B0509C" w:rsidRPr="00CC7D67" w:rsidRDefault="00B0509C" w:rsidP="00B0509C">
            <w:pPr>
              <w:pStyle w:val="Normal6"/>
              <w:rPr>
                <w:szCs w:val="24"/>
              </w:rPr>
            </w:pPr>
            <w:r w:rsidRPr="00CC7D67">
              <w:t>Facteur ZLEV est égal à (1+y-x), à moins que cette somme ne soit supérieure à 1,05 ou inférieure à </w:t>
            </w:r>
            <w:r w:rsidRPr="00CC7D67">
              <w:rPr>
                <w:b/>
                <w:i/>
              </w:rPr>
              <w:t>0,95</w:t>
            </w:r>
            <w:r w:rsidRPr="00CC7D67">
              <w:t>, auquel cas le facteur ZLEV est fixé à 1,05 ou </w:t>
            </w:r>
            <w:r w:rsidRPr="00CC7D67">
              <w:rPr>
                <w:b/>
                <w:i/>
              </w:rPr>
              <w:t>0,95</w:t>
            </w:r>
            <w:r w:rsidRPr="00CC7D67">
              <w:t xml:space="preserve"> selon le cas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L’Europe doit accélérer sa transition vers l’électromobilité pour rattraper son retard par rapport à d’autres marchés mondiaux, comme la Chine, les États-Unis et le Japon. Comme la Commission l’a recommandé dans son analyse d’impact, il convient d’effectuer un ajustement bidirectionnel de la référence ZLEV pour garantir la réalisation opportune d’investissements dans la production de véhicules, les infrastructures et la chaîne d’approvisionnement. C’est la perspective du désavantage qui poussera les constructeurs automobiles à commercialiser comme il se doit et à vendre des véhicules à émission zéro. Les prévisions de ventes pour les années 2020 dépassent largement les propositions de la Commission et devraient être revues à la hausse afin d’être alignées sur les prévisions de croissance des véhicules électriques.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520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Gesine Meissner, Ulrike Müller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ZLEV est égal à (1+y-x), à moins que cette somme ne soit supérieure à </w:t>
            </w:r>
            <w:r w:rsidRPr="00CC7D67">
              <w:rPr>
                <w:b/>
                <w:i/>
              </w:rPr>
              <w:t>1,05</w:t>
            </w:r>
            <w:r w:rsidRPr="00CC7D67">
              <w:t xml:space="preserve"> ou inférieure à 1,0, auquel cas le facteur ZLEV est fixé à </w:t>
            </w:r>
            <w:r w:rsidRPr="00CC7D67">
              <w:rPr>
                <w:b/>
                <w:i/>
              </w:rPr>
              <w:t>1,05</w:t>
            </w:r>
            <w:r w:rsidRPr="00CC7D67">
              <w:t xml:space="preserve"> ou 1,0 selon le cas</w:t>
            </w:r>
          </w:p>
        </w:tc>
        <w:tc>
          <w:tcPr>
            <w:tcW w:w="4876" w:type="dxa"/>
            <w:hideMark/>
          </w:tcPr>
          <w:p w:rsidR="00B0509C" w:rsidRPr="00CC7D67" w:rsidRDefault="00B0509C" w:rsidP="00B0509C">
            <w:pPr>
              <w:pStyle w:val="Normal6"/>
              <w:rPr>
                <w:szCs w:val="24"/>
              </w:rPr>
            </w:pPr>
            <w:r w:rsidRPr="00CC7D67">
              <w:t>Facteur ZLEV est égal à (1+y-x), à moins que cette somme ne soit supérieure à </w:t>
            </w:r>
            <w:r w:rsidRPr="00CC7D67">
              <w:rPr>
                <w:b/>
                <w:i/>
              </w:rPr>
              <w:t>1,15</w:t>
            </w:r>
            <w:r w:rsidRPr="00CC7D67">
              <w:t xml:space="preserve"> ou inférieure à 1,0, auquel cas le facteur ZLEV est fixé à </w:t>
            </w:r>
            <w:r w:rsidRPr="00CC7D67">
              <w:rPr>
                <w:b/>
                <w:i/>
              </w:rPr>
              <w:t>1,15</w:t>
            </w:r>
            <w:r w:rsidRPr="00CC7D67">
              <w:t xml:space="preserve"> ou 1,0 selon le cas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521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ZLEV est égal à (1+y-x), à moins que cette somme ne soit supérieure à </w:t>
            </w:r>
            <w:r w:rsidRPr="00CC7D67">
              <w:rPr>
                <w:b/>
                <w:i/>
              </w:rPr>
              <w:t>1,05</w:t>
            </w:r>
            <w:r w:rsidRPr="00CC7D67">
              <w:t xml:space="preserve"> ou inférieure à 1,0, auquel cas le facteur ZLEV est fixé à 1,05 ou 1,0 selon le cas</w:t>
            </w:r>
          </w:p>
        </w:tc>
        <w:tc>
          <w:tcPr>
            <w:tcW w:w="4876" w:type="dxa"/>
            <w:hideMark/>
          </w:tcPr>
          <w:p w:rsidR="00B0509C" w:rsidRPr="00CC7D67" w:rsidRDefault="00B0509C" w:rsidP="00B0509C">
            <w:pPr>
              <w:pStyle w:val="Normal6"/>
              <w:rPr>
                <w:szCs w:val="24"/>
              </w:rPr>
            </w:pPr>
            <w:r w:rsidRPr="00CC7D67">
              <w:t>Facteur ZLEV est égal à (1+y-x), à moins que cette somme ne soit supérieure à </w:t>
            </w:r>
            <w:r w:rsidRPr="00CC7D67">
              <w:rPr>
                <w:b/>
                <w:i/>
              </w:rPr>
              <w:t>1,10</w:t>
            </w:r>
            <w:r w:rsidRPr="00CC7D67">
              <w:t xml:space="preserve"> ou inférieure à 1,0, auquel cas le facteur ZLEV est fixé à 1,05 ou 1,0 selon le cas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L’essor de la commercialisation des véhicules électriques étant toujours incertain, il conviendrait d’inciter davantage les constructeurs à investir dans le développement et la mise sur le marché de ces technologies.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522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3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où:</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y est la part de véhicules à émission nulle et à faibles émissions dans le parc de voitures particulières nouvellement immatriculées du constructeur, calculée comme le nombre total de véhicules à émission nulle et à faibles émissions, chacun d’entre eux étant compté comme ZLEV</w:t>
            </w:r>
            <w:r w:rsidRPr="00CC7D67">
              <w:rPr>
                <w:b/>
                <w:i/>
                <w:vertAlign w:val="subscript"/>
              </w:rPr>
              <w:t>spécifique</w:t>
            </w:r>
            <w:r w:rsidRPr="00CC7D67">
              <w:rPr>
                <w:b/>
                <w:i/>
              </w:rPr>
              <w:t xml:space="preserve"> conformément à la formule ci-après, divisé par le nombre total de voitures particulières immatriculées au cours de l’année civile concernée</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ZLEV</w:t>
            </w:r>
            <w:r w:rsidRPr="00CC7D67">
              <w:rPr>
                <w:b/>
                <w:i/>
                <w:vertAlign w:val="subscript"/>
              </w:rPr>
              <w:t>spécifique</w:t>
            </w:r>
            <w:r w:rsidRPr="00CC7D67">
              <w:rPr>
                <w:b/>
                <w:i/>
              </w:rPr>
              <w:t> = 1- (émissions spécifiques divisées par 50)</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x est égal à 20 % pour les années 2025 à 2029 et de 40 à 60 % pour les années 2030 et au-delà (en fonction de la révision de l’article 14).</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523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y est la part de véhicules à émission nulle et à faibles émissions dans le parc de voitures particulières nouvellement immatriculées du constructeur, calculée comme le nombre total de véhicules à émission nulle et à faibles émissions, chacun d’entre eux étant compté comme ZLEV</w:t>
            </w:r>
            <w:r w:rsidRPr="00CC7D67">
              <w:rPr>
                <w:b/>
                <w:i/>
                <w:vertAlign w:val="subscript"/>
              </w:rPr>
              <w:t>spécifique</w:t>
            </w:r>
            <w:r w:rsidRPr="00CC7D67">
              <w:rPr>
                <w:b/>
                <w:i/>
              </w:rPr>
              <w:t xml:space="preserve"> conformément à la formule ci-après, divisé par le nombre total de voitures particulières immatriculées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x est égal à 15 % pour les années 2025 à 2029 et à 30 % pour les années 2030 et au-delà.</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524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Gesine Meissner, Ulrike Müller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y est la part de véhicules à émission nulle et à faibles émissions dans le parc de voitures particulières nouvellement immatriculées du constructeur, calculée comme le nombre total de véhicules à émission nulle et à faibles émissions, chacun d’entre eux étant compté comme </w:t>
            </w:r>
            <w:r w:rsidRPr="00CC7D67">
              <w:rPr>
                <w:b/>
                <w:i/>
              </w:rPr>
              <w:t>ZLEV</w:t>
            </w:r>
            <w:r w:rsidRPr="00CC7D67">
              <w:rPr>
                <w:b/>
                <w:i/>
                <w:vertAlign w:val="subscript"/>
              </w:rPr>
              <w:t>spécifique</w:t>
            </w:r>
            <w:r w:rsidRPr="00CC7D67">
              <w:rPr>
                <w:b/>
                <w:i/>
              </w:rPr>
              <w:t xml:space="preserve"> conformément à la formule ci-après,</w:t>
            </w:r>
            <w:r w:rsidRPr="00CC7D67">
              <w:t xml:space="preserve"> divisé par le nombre total de voitures particulières immatriculées au cours de l’année civile concernée</w:t>
            </w:r>
          </w:p>
        </w:tc>
        <w:tc>
          <w:tcPr>
            <w:tcW w:w="4876" w:type="dxa"/>
            <w:hideMark/>
          </w:tcPr>
          <w:p w:rsidR="00B0509C" w:rsidRPr="00CC7D67" w:rsidRDefault="00B0509C" w:rsidP="00B0509C">
            <w:pPr>
              <w:pStyle w:val="Normal6"/>
              <w:rPr>
                <w:color w:val="000005"/>
                <w:szCs w:val="24"/>
              </w:rPr>
            </w:pPr>
            <w:r w:rsidRPr="00CC7D67">
              <w:t>y est la part de véhicules à émission nulle et à faibles émissions dans le parc de voitures particulières nouvellement immatriculées du constructeur, calculée comme le nombre total de véhicules à émission nulle et à faibles émissions, chacun d’entre eux étant compté comme</w:t>
            </w:r>
            <w:r w:rsidRPr="00CC7D67">
              <w:rPr>
                <w:b/>
                <w:i/>
              </w:rPr>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0,5 voiture, si sa plage sans émission dépasse 50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1 voiture, si sa plage sans émission dépasse 100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2 voitures, si sa plage sans émission dépasse 200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3 voitures, si sa plage sans émission dépasse 300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4 voitures, si sa plage sans émission dépasse 400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t>divisé par le nombre total de voitures particulières immatriculées au cours de l’année civile concernée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525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y est la part de véhicules à émission nulle et à faibles émissions dans le parc de voitures particulières nouvellement immatriculées du constructeur, calculée comme le nombre total de véhicules à émission nulle et à faibles émissions, chacun d’entre eux étant compté comme ZLEV</w:t>
            </w:r>
            <w:r w:rsidRPr="00CC7D67">
              <w:rPr>
                <w:vertAlign w:val="subscript"/>
              </w:rPr>
              <w:t>spécifique</w:t>
            </w:r>
            <w:r w:rsidRPr="00CC7D67">
              <w:t xml:space="preserve"> conformément à la formule ci-après, divisé par le nombre total de voitures particulières immatriculées au cours de l’année civile concernée</w:t>
            </w:r>
          </w:p>
        </w:tc>
        <w:tc>
          <w:tcPr>
            <w:tcW w:w="4876" w:type="dxa"/>
            <w:hideMark/>
          </w:tcPr>
          <w:p w:rsidR="00B0509C" w:rsidRPr="00CC7D67" w:rsidRDefault="00B0509C" w:rsidP="00B0509C">
            <w:pPr>
              <w:pStyle w:val="Normal6"/>
              <w:rPr>
                <w:szCs w:val="24"/>
              </w:rPr>
            </w:pPr>
            <w:r w:rsidRPr="00CC7D67">
              <w:t>y est la part de véhicules à émission nulle et à faibles émissions dans le parc de voitures particulières nouvellement immatriculées du constructeur, calculée comme le nombre total de véhicules à émission nulle et à faibles émissions, chacun d’entre eux étant compté comme ZLEV</w:t>
            </w:r>
            <w:r w:rsidRPr="00CC7D67">
              <w:rPr>
                <w:vertAlign w:val="subscript"/>
              </w:rPr>
              <w:t>spécifique</w:t>
            </w:r>
            <w:r w:rsidRPr="00CC7D67">
              <w:t xml:space="preserve"> conformément à la formule ci-après, divisé par le nombre total de voitures particulières immatriculées au cours de l’année civile concernée</w:t>
            </w:r>
            <w:r w:rsidRPr="00CC7D67">
              <w:rPr>
                <w:b/>
                <w:i/>
              </w:rPr>
              <w:t>. Seuls les véhicules électriques hybrides OVC d’une autonomie en mode tout électrique minimale de 50 km sont pris en compte dans le facteur ZLEV de chaque constructeur, tel que défini dans le règlement (UE) 2017/1151 de la Commission.</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526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Gesine Meissner, Ulrike Müller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2</w:t>
      </w:r>
      <w:r w:rsidRPr="00CC7D67">
        <w:rPr>
          <w:rStyle w:val="HideTWBExt"/>
          <w:b w:val="0"/>
          <w:noProof w:val="0"/>
        </w:rPr>
        <w:t>&lt;/Article&gt;</w:t>
      </w:r>
    </w:p>
    <w:tbl>
      <w:tblPr>
        <w:tblW w:w="10109" w:type="dxa"/>
        <w:jc w:val="center"/>
        <w:tblLayout w:type="fixed"/>
        <w:tblCellMar>
          <w:left w:w="340" w:type="dxa"/>
          <w:right w:w="340" w:type="dxa"/>
        </w:tblCellMar>
        <w:tblLook w:val="04A0" w:firstRow="1" w:lastRow="0" w:firstColumn="1" w:lastColumn="0" w:noHBand="0" w:noVBand="1"/>
      </w:tblPr>
      <w:tblGrid>
        <w:gridCol w:w="5233"/>
        <w:gridCol w:w="4876"/>
      </w:tblGrid>
      <w:tr w:rsidR="00B0509C" w:rsidRPr="00CC7D67" w:rsidTr="0051442D">
        <w:trPr>
          <w:jc w:val="center"/>
        </w:trPr>
        <w:tc>
          <w:tcPr>
            <w:tcW w:w="10109" w:type="dxa"/>
            <w:gridSpan w:val="2"/>
          </w:tcPr>
          <w:p w:rsidR="00B0509C" w:rsidRPr="00CC7D67" w:rsidRDefault="00B0509C" w:rsidP="00B0509C">
            <w:pPr>
              <w:keepNext/>
            </w:pPr>
          </w:p>
        </w:tc>
      </w:tr>
      <w:tr w:rsidR="00B0509C" w:rsidRPr="00CC7D67" w:rsidTr="0051442D">
        <w:trPr>
          <w:jc w:val="center"/>
        </w:trPr>
        <w:tc>
          <w:tcPr>
            <w:tcW w:w="5233"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51442D">
        <w:trPr>
          <w:jc w:val="center"/>
        </w:trPr>
        <w:tc>
          <w:tcPr>
            <w:tcW w:w="5233" w:type="dxa"/>
            <w:hideMark/>
          </w:tcPr>
          <w:p w:rsidR="00B0509C" w:rsidRPr="00CC7D67" w:rsidRDefault="00E454A5" w:rsidP="00B0509C">
            <w:pPr>
              <w:pStyle w:val="Normal6"/>
              <w:rPr>
                <w:color w:val="0000FA"/>
              </w:rPr>
            </w:pPr>
            <w:r>
              <w:pict>
                <v:shape id="_x0000_i1026" type="#_x0000_t75" style="width:239.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35A4&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2A35A4&quot; wsp:rsidRDefault=&quot;002A35A4&quot; wsp:rsidP=&quot;002A35A4&quot;&gt;&lt;m:oMathPara&gt;&lt;m:oMath&gt;&lt;m:sSub&gt;&lt;m:sSubPr&gt;&lt;m:ctrlPr&gt;&lt;w:rPr&gt;&lt;w:rFonts w:ascii=&quot;Cambria Math&quot; w:h-ansi=&quot;Cambria Math&quot;/&gt;&lt;wx:font wx:val=&quot;Cambria Math&quot;/&gt;&lt;w:i/&gt;&lt;w:highlight w:val=&quot;light-gray&quot;/&gt;&lt;/w:rPr&gt;&lt;/m:ctrlPr&gt;&lt;/m:sSubPr&gt;&lt;m:e&gt;&lt;m:r&gt;&lt;w:rPr&gt;&lt;w:rFonts w:ascii=&quot;Cambria Math&quot; w:h-ansi=&quot;Cambria Math&quot;/&gt;&lt;wx:font wx:val=&quot;Cambria Math&quot;/&gt;&lt;w:i/&gt;&lt;w:highlight w:val=&quot;light-gray&quot;/&gt;&lt;/w:rPr&gt;&lt;m:t&gt;ZLEV&lt;/m:t&gt;&lt;/m:r&gt;&lt;/m:e&gt;&lt;m:sub&gt;&lt;m:r&gt;&lt;w:rPr&gt;&lt;w:rFonts w:ascii=&quot;Cambria Math&quot; w:h-ansi=&quot;Cambria Math&quot;/&gt;&lt;wx:font wx:val=&quot;Cambria Math&quot;/&gt;&lt;w:i/&gt;&lt;w:highlight w:val=&quot;light-gray&quot;/&gt;&lt;/w:rPr&gt;&lt;m:t&gt;spÃ©cifique&lt;/m:t&gt;&lt;/m:r&gt;&lt;/m:sub&gt;&lt;/m:sSub&gt;&lt;m:r&gt;&lt;w:rPr&gt;&lt;w:rFonts w:ascii=&quot;Cambria Math&quot; w:h-ansi=&quot;Cambria Math&quot;/&gt;&lt;wx:font wx:val=&quot;Cambria Math&quot;/&gt;&lt;w:i/&gt;&lt;w:highlight w:val=&quot;light-gray&quot;/&gt;&lt;/w:rPr&gt;&lt;m:t&gt;=1-&lt;/m:t&gt;&lt;/m:r&gt;&lt;m:d&gt;&lt;m:dPr&gt;&lt;m:ctrlPr&gt;&lt;w:rPr&gt;&lt;w:rFonts w:ascii=&quot;Cambria Math&quot; w:h-ansi=&quot;Cambria Math&quot;/&gt;&lt;wx:font wx:val=&quot;Cambria Math&quot;/&gt;&lt;w:i/&gt;&lt;w:highlight w:val=&quot;light-gray&quot;/&gt;&lt;/w:rPr&gt;&lt;/m:ctrlPr&gt;&lt;/m:dPr&gt;&lt;m:e&gt;&lt;m:f&gt;&lt;m:fPr&gt;&lt;m:ctrlPr&gt;&lt;w:rPr&gt;&lt;w:rFonts w:ascii=&quot;Cambria Math&quot; w:h-ansi=&quot;Cambria Math&quot;/&gt;&lt;wx:font wx:val=&quot;Cambria Math&quot;/&gt;&lt;w:i/&gt;&lt;w:highlight w:val=&quot;light-gray&quot;/&gt;&lt;/w:rPr&gt;&lt;/m:ctrlPr&gt;&lt;/m:fPr&gt;&lt;m:num&gt;&lt;m:r&gt;&lt;w:rPr&gt;&lt;w:rFonts w:ascii=&quot;Cambria Math&quot; w:h-ansi=&quot;Cambria Math&quot;/&gt;&lt;wx:font wx:val=&quot;Cambria Math&quot;/&gt;&lt;w:i/&gt;&lt;w:highlight w:val=&quot;light-gray&quot;/&gt;&lt;/w:rPr&gt;&lt;m:t&gt;Ã©missions spÃ©cifiques&lt;/m:t&gt;&lt;/m:r&gt;&lt;/m:num&gt;&lt;m:den&gt;&lt;m:r&gt;&lt;w:rPr&gt;&lt;w:rFonts w:ascii=&quot;Cambria Math&quot; w:h-ansi=&quot;Cambria Math&quot;/&gt;&lt;wx:font wx:val=&quot;Cambria Math&quot;/&gt;&lt;w:i/&gt;&lt;w:highlight w:val=&quot;light-gray&quot;/&gt;&lt;/w:rPr&gt;&lt;m:t&gt;50&lt;/m:t&gt;&lt;/m:r&gt;&lt;/m:den&gt;&lt;/m:f&gt;&lt;/m:e&gt;&lt;/m:d&gt;&lt;/m:oMath&gt;&lt;/m:oMathPara&gt;&lt;/w:p&gt;&lt;w:sectPr wsp:rsidR=&quot;00000000&quot; wsp:rsidRPr=&quot;002A35A4&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527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Françoise Grossetête, Michel Dantin, Angélique Delahaye</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E454A5" w:rsidP="00B0509C">
            <w:pPr>
              <w:pStyle w:val="Normal6"/>
              <w:rPr>
                <w:color w:val="0000FA"/>
              </w:rPr>
            </w:pPr>
            <w:r>
              <w:pict>
                <v:shape id="_x0000_i1027"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2C7CD2&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2C7CD2&quot; wsp:rsidRDefault=&quot;002C7CD2&quot; wsp:rsidP=&quot;002C7CD2&quot;&gt;&lt;m:oMathPara&gt;&lt;m:oMath&gt;&lt;m:sSub&gt;&lt;m:sSubPr&gt;&lt;m:ctrlPr&gt;&lt;w:rPr&gt;&lt;w:rFonts w:ascii=&quot;Cambria Math&quot; w:h-ansi=&quot;Cambria Math&quot;/&gt;&lt;wx:font wx:val=&quot;Cambria Math&quot;/&gt;&lt;w:i/&gt;&lt;w:highlight w:val=&quot;light-gray&quot;/&gt;&lt;/w:rPr&gt;&lt;/m:ctrlPr&gt;&lt;/m:sSubPr&gt;&lt;m:e&gt;&lt;m:r&gt;&lt;w:rPr&gt;&lt;w:rFonts w:ascii=&quot;Cambria Math&quot; w:h-ansi=&quot;Cambria Math&quot;/&gt;&lt;wx:font wx:val=&quot;Cambria Math&quot;/&gt;&lt;w:i/&gt;&lt;w:highlight w:val=&quot;light-gray&quot;/&gt;&lt;/w:rPr&gt;&lt;m:t&gt;ZLEV&lt;/m:t&gt;&lt;/m:r&gt;&lt;/m:e&gt;&lt;m:sub&gt;&lt;m:r&gt;&lt;w:rPr&gt;&lt;w:rFonts w:ascii=&quot;Cambria Math&quot; w:h-ansi=&quot;Cambria Math&quot;/&gt;&lt;wx:font wx:val=&quot;Cambria Math&quot;/&gt;&lt;w:i/&gt;&lt;w:highlight w:val=&quot;light-gray&quot;/&gt;&lt;/w:rPr&gt;&lt;m:t&gt;spÃ©cifique&lt;/m:t&gt;&lt;/m:r&gt;&lt;/m:sub&gt;&lt;/m:sSub&gt;&lt;m:r&gt;&lt;w:rPr&gt;&lt;w:rFonts w:ascii=&quot;Cambria Math&quot; w:h-ansi=&quot;Cambria Math&quot;/&gt;&lt;wx:font wx:val=&quot;Cambria Math&quot;/&gt;&lt;w:i/&gt;&lt;w:highlight w:val=&quot;light-gray&quot;/&gt;&lt;/w:rPr&gt;&lt;m:t&gt;=1-&lt;/m:t&gt;&lt;/m:r&gt;&lt;m:d&gt;&lt;m:dPr&gt;&lt;m:ctrlPr&gt;&lt;w:rPr&gt;&lt;w:rFonts w:ascii=&quot;Cambria Math&quot; w:h-ansi=&quot;Cambria Math&quot;/&gt;&lt;wx:font wx:val=&quot;Cambria Math&quot;/&gt;&lt;w:i/&gt;&lt;w:highlight w:val=&quot;light-gray&quot;/&gt;&lt;/w:rPr&gt;&lt;/m:ctrlPr&gt;&lt;/m:dPr&gt;&lt;m:e&gt;&lt;m:f&gt;&lt;m:fPr&gt;&lt;m:ctrlPr&gt;&lt;w:rPr&gt;&lt;w:rFonts w:ascii=&quot;Cambria Math&quot; w:h-ansi=&quot;Cambria Math&quot;/&gt;&lt;wx:font wx:val=&quot;Cambria Math&quot;/&gt;&lt;w:i/&gt;&lt;w:highlight w:val=&quot;light-gray&quot;/&gt;&lt;/w:rPr&gt;&lt;/m:ctrlPr&gt;&lt;/m:fPr&gt;&lt;m:num&gt;&lt;m:r&gt;&lt;w:rPr&gt;&lt;w:rFonts w:ascii=&quot;Cambria Math&quot; w:h-ansi=&quot;Cambria Math&quot;/&gt;&lt;wx:font wx:val=&quot;Cambria Math&quot;/&gt;&lt;w:i/&gt;&lt;w:highlight w:val=&quot;light-gray&quot;/&gt;&lt;/w:rPr&gt;&lt;m:t&gt;Ã©missions spÃ©cifiques&lt;/m:t&gt;&lt;/m:r&gt;&lt;/m:num&gt;&lt;m:den&gt;&lt;m:r&gt;&lt;w:rPr&gt;&lt;w:rFonts w:ascii=&quot;Cambria Math&quot; w:h-ansi=&quot;Cambria Math&quot;/&gt;&lt;wx:font wx:val=&quot;Cambria Math&quot;/&gt;&lt;w:i/&gt;&lt;w:highlight w:val=&quot;light-gray&quot;/&gt;&lt;/w:rPr&gt;&lt;m:t&gt;50&lt;/m:t&gt;&lt;/m:r&gt;&lt;/m:den&gt;&lt;/m:f&gt;&lt;/m:e&gt;&lt;/m:d&gt;&lt;/m:oMath&gt;&lt;/m:oMathPara&gt;&lt;/w:p&gt;&lt;w:sectPr wsp:rsidR=&quot;00000000&quot; wsp:rsidRPr=&quot;002C7CD2&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p>
        </w:tc>
        <w:tc>
          <w:tcPr>
            <w:tcW w:w="4876" w:type="dxa"/>
            <w:hideMark/>
          </w:tcPr>
          <w:p w:rsidR="00B0509C" w:rsidRPr="00CC7D67" w:rsidRDefault="00E454A5" w:rsidP="00B0509C">
            <w:pPr>
              <w:pStyle w:val="Normal6"/>
              <w:rPr>
                <w:szCs w:val="24"/>
              </w:rPr>
            </w:pPr>
            <w:r>
              <w:pict>
                <v:shape id="_x0000_i1028" type="#_x0000_t75" style="width:221.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83CE6&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083CE6&quot; wsp:rsidRDefault=&quot;00083CE6&quot; wsp:rsidP=&quot;00083CE6&quot;&gt;&lt;m:oMathPara&gt;&lt;m:oMath&gt;&lt;m:sSub&gt;&lt;m:sSubPr&gt;&lt;m:ctrlPr&gt;&lt;w:rPr&gt;&lt;w:rFonts w:ascii=&quot;Cambria Math&quot; w:h-ansi=&quot;Cambria Math&quot;/&gt;&lt;wx:font wx:val=&quot;Cambria Math&quot;/&gt;&lt;w:i/&gt;&lt;w:highlight w:val=&quot;light-gray&quot;/&gt;&lt;/w:rPr&gt;&lt;/m:ctrlPr&gt;&lt;/m:sSubPr&gt;&lt;m:e&gt;&lt;m:r&gt;&lt;w:rPr&gt;&lt;w:rFonts w:ascii=&quot;Cambria Math&quot; w:h-ansi=&quot;Cambria Math&quot;/&gt;&lt;wx:font wx:val=&quot;Cambria Math&quot;/&gt;&lt;w:i/&gt;&lt;w:highlight w:val=&quot;light-gray&quot;/&gt;&lt;/w:rPr&gt;&lt;m:t&gt;ZLEV&lt;/m:t&gt;&lt;/m:r&gt;&lt;/m:e&gt;&lt;m:sub&gt;&lt;m:r&gt;&lt;w:rPr&gt;&lt;w:rFonts w:ascii=&quot;Cambria Math&quot; w:h-ansi=&quot;Cambria Math&quot;/&gt;&lt;wx:font wx:val=&quot;Cambria Math&quot;/&gt;&lt;w:i/&gt;&lt;w:highlight w:val=&quot;light-gray&quot;/&gt;&lt;/w:rPr&gt;&lt;m:t&gt;spÃ©cifique&lt;/m:t&gt;&lt;/m:r&gt;&lt;/m:sub&gt;&lt;/m:sSub&gt;&lt;m:r&gt;&lt;w:rPr&gt;&lt;w:rFonts w:ascii=&quot;Cambria Math&quot; w:h-ansi=&quot;Cambria Math&quot;/&gt;&lt;wx:font wx:val=&quot;Cambria Math&quot;/&gt;&lt;w:i/&gt;&lt;w:highlight w:val=&quot;light-gray&quot;/&gt;&lt;/w:rPr&gt;&lt;m:t&gt;=1-&lt;/m:t&gt;&lt;/m:r&gt;&lt;m:d&gt;&lt;m:dPr&gt;&lt;m:ctrlPr&gt;&lt;w:rPr&gt;&lt;w:rFonts w:ascii=&quot;Cambria Math&quot; w:h-ansi=&quot;Cambria Math&quot;/&gt;&lt;wx:font wx:val=&quot;Cambria Math&quot;/&gt;&lt;w:i/&gt;&lt;w:highlight w:val=&quot;light-gray&quot;/&gt;&lt;/w:rPr&gt;&lt;/m:ctrlPr&gt;&lt;/m:dPr&gt;&lt;m:e&gt;&lt;m:f&gt;&lt;m:fPr&gt;&lt;m:ctrlPr&gt;&lt;w:rPr&gt;&lt;w:rFonts w:ascii=&quot;Cambria Math&quot; w:h-ansi=&quot;Cambria Math&quot;/&gt;&lt;wx:font wx:val=&quot;Cambria Math&quot;/&gt;&lt;w:i/&gt;&lt;w:highlight w:val=&quot;light-gray&quot;/&gt;&lt;/w:rPr&gt;&lt;/m:ctrlPr&gt;&lt;/m:fPr&gt;&lt;m:num&gt;&lt;m:r&gt;&lt;w:rPr&gt;&lt;w:rFonts w:ascii=&quot;Cambria Math&quot; w:h-ansi=&quot;Cambria Math&quot;/&gt;&lt;wx:font wx:val=&quot;Cambria Math&quot;/&gt;&lt;w:i/&gt;&lt;w:highlight w:val=&quot;light-gray&quot;/&gt;&lt;/w:rPr&gt;&lt;m:t&gt;Ã©missions spÃ©cifiques &lt;/m:t&gt;&lt;/m:r&gt;&lt;m:r&gt;&lt;m:rPr&gt;&lt;m:sty m:val=&quot;bi&quot;/&gt;&lt;/m:rPr&gt;&lt;w:rPr&gt;&lt;w:rFonts w:ascii=&quot;Cambria Math&quot; w:h-ansi=&quot;Cambria Math&quot;/&gt;&lt;wx:font wx:val=&quot;Cambria Math&quot;/&gt;&lt;w:b/&gt;&lt;w:i/&gt;&lt;w:highlight w:val=&quot;light-gray&quot;/&gt;&lt;/w:rPr&gt;&lt;m:t&gt;x 0,5&lt;/m:t&gt;&lt;/m:r&gt;&lt;/m:num&gt;&lt;m:den&gt;&lt;m:r&gt;&lt;w:rPr&gt;&lt;w:rFonts w:ascii=&quot;Cambria Math&quot; w:h-ansi=&quot;Cambria Math&quot;/&gt;&lt;wx:font wx:val=&quot;Cambria Math&quot;/&gt;&lt;w:i/&gt;&lt;w:highlight w:val=&quot;light-gray&quot;/&gt;&lt;/w:rPr&gt;&lt;m:t&gt;50&lt;/m:t&gt;&lt;/m:r&gt;&lt;/m:den&gt;&lt;/m:f&gt;&lt;/m:e&gt;&lt;/m:d&gt;&lt;/m:oMath&gt;&lt;/m:oMathPara&gt;&lt;/w:p&gt;&lt;w:sectPr wsp:rsidR=&quot;00000000&quot; wsp:rsidRPr=&quot;00083CE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{FR}</w:t>
      </w:r>
      <w:r w:rsidRPr="00CC7D67">
        <w:rPr>
          <w:noProof w:val="0"/>
        </w:rPr>
        <w:t>fr</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 méthode de calcul proposée ne prend pas suffisamment en compte toutes les technologies alternatives qui peuvent participer à la réduction des émissions, au-delà du tout électrique. Il est nécessaire de proposer une méthode de calcul qui soit technologiquement neutre.</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528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Pavel Poc, Daciana Octavia Sârbu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E454A5" w:rsidP="00B0509C">
            <w:pPr>
              <w:pStyle w:val="Normal6"/>
              <w:rPr>
                <w:color w:val="0000FA"/>
              </w:rPr>
            </w:pPr>
            <w:r>
              <w:pict>
                <v:shape id="_x0000_i1029"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2C7CD2&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2C7CD2&quot; wsp:rsidRDefault=&quot;002C7CD2&quot; wsp:rsidP=&quot;002C7CD2&quot;&gt;&lt;m:oMathPara&gt;&lt;m:oMath&gt;&lt;m:sSub&gt;&lt;m:sSubPr&gt;&lt;m:ctrlPr&gt;&lt;w:rPr&gt;&lt;w:rFonts w:ascii=&quot;Cambria Math&quot; w:h-ansi=&quot;Cambria Math&quot;/&gt;&lt;wx:font wx:val=&quot;Cambria Math&quot;/&gt;&lt;w:i/&gt;&lt;w:highlight w:val=&quot;light-gray&quot;/&gt;&lt;/w:rPr&gt;&lt;/m:ctrlPr&gt;&lt;/m:sSubPr&gt;&lt;m:e&gt;&lt;m:r&gt;&lt;w:rPr&gt;&lt;w:rFonts w:ascii=&quot;Cambria Math&quot; w:h-ansi=&quot;Cambria Math&quot;/&gt;&lt;wx:font wx:val=&quot;Cambria Math&quot;/&gt;&lt;w:i/&gt;&lt;w:highlight w:val=&quot;light-gray&quot;/&gt;&lt;/w:rPr&gt;&lt;m:t&gt;ZLEV&lt;/m:t&gt;&lt;/m:r&gt;&lt;/m:e&gt;&lt;m:sub&gt;&lt;m:r&gt;&lt;w:rPr&gt;&lt;w:rFonts w:ascii=&quot;Cambria Math&quot; w:h-ansi=&quot;Cambria Math&quot;/&gt;&lt;wx:font wx:val=&quot;Cambria Math&quot;/&gt;&lt;w:i/&gt;&lt;w:highlight w:val=&quot;light-gray&quot;/&gt;&lt;/w:rPr&gt;&lt;m:t&gt;spÃ©cifique&lt;/m:t&gt;&lt;/m:r&gt;&lt;/m:sub&gt;&lt;/m:sSub&gt;&lt;m:r&gt;&lt;w:rPr&gt;&lt;w:rFonts w:ascii=&quot;Cambria Math&quot; w:h-ansi=&quot;Cambria Math&quot;/&gt;&lt;wx:font wx:val=&quot;Cambria Math&quot;/&gt;&lt;w:i/&gt;&lt;w:highlight w:val=&quot;light-gray&quot;/&gt;&lt;/w:rPr&gt;&lt;m:t&gt;=1-&lt;/m:t&gt;&lt;/m:r&gt;&lt;m:d&gt;&lt;m:dPr&gt;&lt;m:ctrlPr&gt;&lt;w:rPr&gt;&lt;w:rFonts w:ascii=&quot;Cambria Math&quot; w:h-ansi=&quot;Cambria Math&quot;/&gt;&lt;wx:font wx:val=&quot;Cambria Math&quot;/&gt;&lt;w:i/&gt;&lt;w:highlight w:val=&quot;light-gray&quot;/&gt;&lt;/w:rPr&gt;&lt;/m:ctrlPr&gt;&lt;/m:dPr&gt;&lt;m:e&gt;&lt;m:f&gt;&lt;m:fPr&gt;&lt;m:ctrlPr&gt;&lt;w:rPr&gt;&lt;w:rFonts w:ascii=&quot;Cambria Math&quot; w:h-ansi=&quot;Cambria Math&quot;/&gt;&lt;wx:font wx:val=&quot;Cambria Math&quot;/&gt;&lt;w:i/&gt;&lt;w:highlight w:val=&quot;light-gray&quot;/&gt;&lt;/w:rPr&gt;&lt;/m:ctrlPr&gt;&lt;/m:fPr&gt;&lt;m:num&gt;&lt;m:r&gt;&lt;w:rPr&gt;&lt;w:rFonts w:ascii=&quot;Cambria Math&quot; w:h-ansi=&quot;Cambria Math&quot;/&gt;&lt;wx:font wx:val=&quot;Cambria Math&quot;/&gt;&lt;w:i/&gt;&lt;w:highlight w:val=&quot;light-gray&quot;/&gt;&lt;/w:rPr&gt;&lt;m:t&gt;Ã©missions spÃ©cifiques&lt;/m:t&gt;&lt;/m:r&gt;&lt;/m:num&gt;&lt;m:den&gt;&lt;m:r&gt;&lt;w:rPr&gt;&lt;w:rFonts w:ascii=&quot;Cambria Math&quot; w:h-ansi=&quot;Cambria Math&quot;/&gt;&lt;wx:font wx:val=&quot;Cambria Math&quot;/&gt;&lt;w:i/&gt;&lt;w:highlight w:val=&quot;light-gray&quot;/&gt;&lt;/w:rPr&gt;&lt;m:t&gt;50&lt;/m:t&gt;&lt;/m:r&gt;&lt;/m:den&gt;&lt;/m:f&gt;&lt;/m:e&gt;&lt;/m:d&gt;&lt;/m:oMath&gt;&lt;/m:oMathPara&gt;&lt;/w:p&gt;&lt;w:sectPr wsp:rsidR=&quot;00000000&quot; wsp:rsidRPr=&quot;002C7CD2&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p>
        </w:tc>
        <w:tc>
          <w:tcPr>
            <w:tcW w:w="4876" w:type="dxa"/>
            <w:hideMark/>
          </w:tcPr>
          <w:p w:rsidR="00B0509C" w:rsidRPr="00CC7D67" w:rsidRDefault="00E454A5" w:rsidP="00B0509C">
            <w:pPr>
              <w:pStyle w:val="Normal6"/>
              <w:rPr>
                <w:szCs w:val="24"/>
              </w:rPr>
            </w:pPr>
            <w:r>
              <w:pict>
                <v:shape id="_x0000_i1030" type="#_x0000_t75" style="width:22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6117&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16B0&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AC16B0&quot; wsp:rsidRDefault=&quot;00AC16B0&quot; wsp:rsidP=&quot;00AC16B0&quot;&gt;&lt;m:oMathPara&gt;&lt;m:oMath&gt;&lt;m:sSub&gt;&lt;m:sSubPr&gt;&lt;m:ctrlPr&gt;&lt;w:rPr&gt;&lt;w:rFonts w:ascii=&quot;Cambria Math&quot; w:h-ansi=&quot;Cambria Math&quot;/&gt;&lt;wx:font wx:val=&quot;Cambria Math&quot;/&gt;&lt;w:i/&gt;&lt;w:highlight w:val=&quot;light-gray&quot;/&gt;&lt;/w:rPr&gt;&lt;/m:ctrlPr&gt;&lt;/m:sSubPr&gt;&lt;m:e&gt;&lt;m:r&gt;&lt;w:rPr&gt;&lt;w:rFonts w:ascii=&quot;Cambria Math&quot; w:h-ansi=&quot;Cambria Math&quot;/&gt;&lt;wx:font wx:val=&quot;Cambria Math&quot;/&gt;&lt;w:i/&gt;&lt;w:highlight w:val=&quot;light-gray&quot;/&gt;&lt;/w:rPr&gt;&lt;m:t&gt;ZLEV&lt;/m:t&gt;&lt;/m:r&gt;&lt;/m:e&gt;&lt;m:sub&gt;&lt;m:r&gt;&lt;w:rPr&gt;&lt;w:rFonts w:ascii=&quot;Cambria Math&quot; w:h-ansi=&quot;Cambria Math&quot;/&gt;&lt;wx:font wx:val=&quot;Cambria Math&quot;/&gt;&lt;w:i/&gt;&lt;w:highlight w:val=&quot;light-gray&quot;/&gt;&lt;/w:rPr&gt;&lt;m:t&gt;spÃ©cifique&lt;/m:t&gt;&lt;/m:r&gt;&lt;/m:sub&gt;&lt;/m:sSub&gt;&lt;m:r&gt;&lt;w:rPr&gt;&lt;w:rFonts w:ascii=&quot;Cambria Math&quot; w:h-ansi=&quot;Cambria Math&quot;/&gt;&lt;wx:font wx:val=&quot;Cambria Math&quot;/&gt;&lt;w:i/&gt;&lt;w:highlight w:val=&quot;light-gray&quot;/&gt;&lt;/w:rPr&gt;&lt;m:t&gt;=1-&lt;/m:t&gt;&lt;/m:r&gt;&lt;m:d&gt;&lt;m:dPr&gt;&lt;m:ctrlPr&gt;&lt;w:rPr&gt;&lt;w:rFonts w:ascii=&quot;Cambria Math&quot; w:h-ansi=&quot;Cambria Math&quot;/&gt;&lt;wx:font wx:val=&quot;Cambria Math&quot;/&gt;&lt;w:i/&gt;&lt;w:highlight w:val=&quot;light-gray&quot;/&gt;&lt;/w:rPr&gt;&lt;/m:ctrlPr&gt;&lt;/m:dPr&gt;&lt;m:e&gt;&lt;m:f&gt;&lt;m:fPr&gt;&lt;m:ctrlPr&gt;&lt;w:rPr&gt;&lt;w:rFonts w:ascii=&quot;Cambria Math&quot; w:h-ansi=&quot;Cambria Math&quot;/&gt;&lt;wx:font wx:val=&quot;Cambria Math&quot;/&gt;&lt;w:i/&gt;&lt;w:highlight w:val=&quot;light-gray&quot;/&gt;&lt;/w:rPr&gt;&lt;/m:ctrlPr&gt;&lt;/m:fPr&gt;&lt;m:num&gt;&lt;m:r&gt;&lt;w:rPr&gt;&lt;w:rFonts w:ascii=&quot;Cambria Math&quot; w:h-ansi=&quot;Cambria Math&quot;/&gt;&lt;wx:font wx:val=&quot;Cambria Math&quot;/&gt;&lt;w:i/&gt;&lt;w:highlight w:val=&quot;light-gray&quot;/&gt;&lt;/w:rPr&gt;&lt;m:t&gt;Ã©missions spÃ©cifiques &lt;/m:t&gt;&lt;/m:r&gt;&lt;m:r&gt;&lt;m:rPr&gt;&lt;m:sty m:val=&quot;bi&quot;/&gt;&lt;/m:rPr&gt;&lt;w:rPr&gt;&lt;w:rFonts w:ascii=&quot;Cambria Math&quot; w:h-ansi=&quot;Cambria Math&quot;/&gt;&lt;wx:font wx:val=&quot;Cambria Math&quot;/&gt;&lt;w:b/&gt;&lt;w:i/&gt;&lt;w:highlight w:val=&quot;light-gray&quot;/&gt;&lt;/w:rPr&gt;&lt;m:t&gt;x 0,5&lt;/m:t&gt;&lt;/m:r&gt;&lt;/m:num&gt;&lt;m:den&gt;&lt;m:r&gt;&lt;w:rPr&gt;&lt;w:rFonts w:ascii=&quot;Cambria Math&quot; w:h-ansi=&quot;Cambria Math&quot;/&gt;&lt;wx:font wx:val=&quot;Cambria Math&quot;/&gt;&lt;w:i/&gt;&lt;w:highlight w:val=&quot;light-gray&quot;/&gt;&lt;/w:rPr&gt;&lt;m:t&gt;50&lt;/m:t&gt;&lt;/m:r&gt;&lt;/m:den&gt;&lt;/m:f&gt;&lt;/m:e&gt;&lt;/m:d&gt;&lt;/m:oMath&gt;&lt;/m:oMathPara&gt;&lt;/w:p&gt;&lt;w:sectPr wsp:rsidR=&quot;00000000&quot; wsp:rsidRPr=&quot;00AC16B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 calcul proposé pour le système de référence ne récompense pas suffisamment toutes les technologies qui contribuent à la décarbonisation et sont en dessous du seuil convenu. La technologie des véhicules rechargeables, notamment, doit être mieux récompensée car elle contribue notablement à la baisse des émissions et constitue une technologie de transition vers une mobilité à émission nulle.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529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Andrzej Grzyb, Giovanni La Via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avec ZLEV spécifique = 1 pour les voitures qui:</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a) fonctionnent entièrement avec du carburant de synthèse ou du gaz de synthèse produits à partir d’électricité renouvelable, et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b) répondent aux exigences de la phase II en matière d’émissions en conditions de conduite réelles.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Les véhicules fonctionnant avec des carburants et gaz de synthèse sont des solutions qui viennent s’ajouter à l’électrification. Fondées sur le principe de la neutralité technologique, ces innovations ne doivent pas être exclues de la catégorie des véhicules à émission nulle.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530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Andrzej Grzyb, Giovanni La Via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2 ter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avec ZLEV spécifique = 1 uniquement pour les voitures pour lesquelles il est prouvé à la Commission, au cours de la surveillance visée par le présent règlement, que le constructeur garantit que ces véhicules consomment uniquement des énergies renouvelables.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Les véhicules électriques ne doivent être considérés comme des véhicules à émission nulle que si l’énergie utilisée pour recharger les batteries est renouvelable.</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531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w:t>
            </w:r>
            <w:r w:rsidRPr="00CC7D67">
              <w:t xml:space="preserve"> pour les années 2025 à 2029 et à </w:t>
            </w:r>
            <w:r w:rsidRPr="00CC7D67">
              <w:rPr>
                <w:b/>
                <w:i/>
              </w:rPr>
              <w:t>30 %</w:t>
            </w:r>
            <w:r w:rsidRPr="00CC7D67">
              <w:t xml:space="preserve"> pour les années 2030 et au-delà.</w:t>
            </w:r>
          </w:p>
        </w:tc>
        <w:tc>
          <w:tcPr>
            <w:tcW w:w="4876" w:type="dxa"/>
            <w:hideMark/>
          </w:tcPr>
          <w:p w:rsidR="00B0509C" w:rsidRPr="00CC7D67" w:rsidRDefault="00B0509C" w:rsidP="00B0509C">
            <w:pPr>
              <w:pStyle w:val="Normal6"/>
              <w:rPr>
                <w:szCs w:val="24"/>
              </w:rPr>
            </w:pPr>
            <w:r w:rsidRPr="00CC7D67">
              <w:t>x est égal à </w:t>
            </w:r>
            <w:r w:rsidRPr="00CC7D67">
              <w:rPr>
                <w:b/>
                <w:i/>
              </w:rPr>
              <w:t>20 %</w:t>
            </w:r>
            <w:r w:rsidRPr="00CC7D67">
              <w:t xml:space="preserve"> pour les années 2025 à 2029 et à </w:t>
            </w:r>
            <w:r w:rsidRPr="00CC7D67">
              <w:rPr>
                <w:b/>
                <w:i/>
              </w:rPr>
              <w:t>60 %</w:t>
            </w:r>
            <w:r w:rsidRPr="00CC7D67">
              <w:t xml:space="preserve"> pour les années 2030 et au-delà </w:t>
            </w:r>
            <w:r w:rsidRPr="00CC7D67">
              <w:rPr>
                <w:b/>
                <w:i/>
              </w:rPr>
              <w:t>(à réviser conformément à l’article 14)</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532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Jytte Guteland</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w:t>
            </w:r>
            <w:r w:rsidRPr="00CC7D67">
              <w:t xml:space="preserve"> pour les années 2025 à 2029 et à </w:t>
            </w:r>
            <w:r w:rsidRPr="00CC7D67">
              <w:rPr>
                <w:b/>
                <w:i/>
              </w:rPr>
              <w:t>30 %</w:t>
            </w:r>
            <w:r w:rsidRPr="00CC7D67">
              <w:t xml:space="preserve"> pour les années 2030 et au-delà.</w:t>
            </w:r>
          </w:p>
        </w:tc>
        <w:tc>
          <w:tcPr>
            <w:tcW w:w="4876" w:type="dxa"/>
            <w:hideMark/>
          </w:tcPr>
          <w:p w:rsidR="00B0509C" w:rsidRPr="00CC7D67" w:rsidRDefault="00B0509C" w:rsidP="00B0509C">
            <w:pPr>
              <w:pStyle w:val="Normal6"/>
              <w:rPr>
                <w:szCs w:val="24"/>
              </w:rPr>
            </w:pPr>
            <w:r w:rsidRPr="00CC7D67">
              <w:t>x est égal à </w:t>
            </w:r>
            <w:r w:rsidRPr="00CC7D67">
              <w:rPr>
                <w:b/>
                <w:i/>
              </w:rPr>
              <w:t>25 %</w:t>
            </w:r>
            <w:r w:rsidRPr="00CC7D67">
              <w:t xml:space="preserve"> pour les années 2025 à 2029 et à </w:t>
            </w:r>
            <w:r w:rsidRPr="00CC7D67">
              <w:rPr>
                <w:b/>
                <w:i/>
              </w:rPr>
              <w:t>55 %</w:t>
            </w:r>
            <w:r w:rsidRPr="00CC7D67">
              <w:t xml:space="preserve"> pour les années 2030 et au-delà.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533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José Inácio Faria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w:t>
            </w:r>
            <w:r w:rsidRPr="00CC7D67">
              <w:t xml:space="preserve"> pour les années 2025 à 2029 et à </w:t>
            </w:r>
            <w:r w:rsidRPr="00CC7D67">
              <w:rPr>
                <w:b/>
                <w:i/>
              </w:rPr>
              <w:t>30 %</w:t>
            </w:r>
            <w:r w:rsidRPr="00CC7D67">
              <w:t xml:space="preserve"> pour les années 2030 et au-delà.</w:t>
            </w:r>
          </w:p>
        </w:tc>
        <w:tc>
          <w:tcPr>
            <w:tcW w:w="4876" w:type="dxa"/>
            <w:hideMark/>
          </w:tcPr>
          <w:p w:rsidR="00B0509C" w:rsidRPr="00CC7D67" w:rsidRDefault="00B0509C" w:rsidP="00B0509C">
            <w:pPr>
              <w:pStyle w:val="Normal6"/>
              <w:rPr>
                <w:szCs w:val="24"/>
              </w:rPr>
            </w:pPr>
            <w:r w:rsidRPr="00CC7D67">
              <w:t>x est égal à </w:t>
            </w:r>
            <w:r w:rsidRPr="00CC7D67">
              <w:rPr>
                <w:b/>
                <w:i/>
              </w:rPr>
              <w:t>20 %</w:t>
            </w:r>
            <w:r w:rsidRPr="00CC7D67">
              <w:t xml:space="preserve"> pour les années 2025 à 2029 et à </w:t>
            </w:r>
            <w:r w:rsidRPr="00CC7D67">
              <w:rPr>
                <w:b/>
                <w:i/>
              </w:rPr>
              <w:t>40-60 %</w:t>
            </w:r>
            <w:r w:rsidRPr="00CC7D67">
              <w:t xml:space="preserve"> pour les années 2030 et au-delà. </w:t>
            </w:r>
            <w:r w:rsidRPr="00CC7D67">
              <w:rPr>
                <w:b/>
                <w:i/>
              </w:rPr>
              <w:t>(À confirmer en fonction de la révision de l’article 14)</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L’Europe doit accélérer sa transition vers l’électromobilité pour rattraper son retard par rapport à d’autres marchés mondiaux, comme la Chine, les États-Unis et le Japon. Comme la Commission l’a recommandé dans son analyse d’impact, il convient d’effectuer un ajustement bidirectionnel de la référence ZLEV pour garantir la réalisation opportune d’investissements dans la production de véhicules, les infrastructures et la chaîne d’approvisionnement. C’est la perspective du désavantage qui poussera les constructeurs automobiles à commercialiser comme il se doit et à vendre des véhicules à émission zéro. Les prévisions de ventes pour les années 2020 dépassent largement les propositions de la Commission et devraient être revues à la hausse afin d’être alignées sur les prévisions de croissance des véhicules électriques.</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534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 pour les années 2025 à 2029 et à 30 %</w:t>
            </w:r>
            <w:r w:rsidRPr="00CC7D67">
              <w:t xml:space="preserve"> pour les années 2030 et au-delà.</w:t>
            </w:r>
          </w:p>
        </w:tc>
        <w:tc>
          <w:tcPr>
            <w:tcW w:w="4876" w:type="dxa"/>
            <w:hideMark/>
          </w:tcPr>
          <w:p w:rsidR="00B0509C" w:rsidRPr="00CC7D67" w:rsidRDefault="00B0509C" w:rsidP="00B0509C">
            <w:pPr>
              <w:pStyle w:val="Normal6"/>
              <w:rPr>
                <w:szCs w:val="24"/>
              </w:rPr>
            </w:pPr>
            <w:r w:rsidRPr="00CC7D67">
              <w:t>x est égal à </w:t>
            </w:r>
            <w:r w:rsidRPr="00CC7D67">
              <w:rPr>
                <w:b/>
                <w:i/>
              </w:rPr>
              <w:t>25 %</w:t>
            </w:r>
            <w:r w:rsidRPr="00CC7D67">
              <w:t xml:space="preserve"> pour les années 2030 et au-delà.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En raison de la longue durée des cycles de production dans l’industrie automobile, nous devons définir des objectifs à la fois ambitieux et réalisables.</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535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Pavel Poc, Daciana Octavia Sârbu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w:t>
            </w:r>
            <w:r w:rsidRPr="00CC7D67">
              <w:t xml:space="preserve"> pour </w:t>
            </w:r>
            <w:r w:rsidRPr="00CC7D67">
              <w:rPr>
                <w:b/>
                <w:i/>
              </w:rPr>
              <w:t>les années 2025 à 2029 et à 30 % pour les années</w:t>
            </w:r>
            <w:r w:rsidRPr="00CC7D67">
              <w:t xml:space="preserve"> 2030 </w:t>
            </w:r>
            <w:r w:rsidRPr="00CC7D67">
              <w:rPr>
                <w:b/>
                <w:i/>
              </w:rPr>
              <w:t>et au-delà</w:t>
            </w:r>
            <w:r w:rsidRPr="00CC7D67">
              <w:t>.</w:t>
            </w:r>
          </w:p>
        </w:tc>
        <w:tc>
          <w:tcPr>
            <w:tcW w:w="4876" w:type="dxa"/>
            <w:hideMark/>
          </w:tcPr>
          <w:p w:rsidR="00B0509C" w:rsidRPr="00CC7D67" w:rsidRDefault="00B0509C" w:rsidP="00B0509C">
            <w:pPr>
              <w:pStyle w:val="Normal6"/>
              <w:rPr>
                <w:szCs w:val="24"/>
              </w:rPr>
            </w:pPr>
            <w:r w:rsidRPr="00CC7D67">
              <w:t>x est égal à </w:t>
            </w:r>
            <w:r w:rsidRPr="00CC7D67">
              <w:rPr>
                <w:b/>
                <w:i/>
              </w:rPr>
              <w:t>20 %</w:t>
            </w:r>
            <w:r w:rsidRPr="00CC7D67">
              <w:t xml:space="preserve"> pour 2030</w:t>
            </w:r>
            <w:r w:rsidRPr="00CC7D67">
              <w:rPr>
                <w:b/>
                <w:i/>
              </w:rPr>
              <w:t>. En ce qui concerne la valeur de 2030, une valeur ajustée, appropriée et conforme aux spécifications de l’annexe V bis est appliquée</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 principe de conditionnalité doit garantir que les objectifs établis sont atteints dans des conditions réalistes et qu’ils reflètent la réalité du marché ainsi que le déploiement de l’infrastructure de la part des autorités publiques. La modification de l’objectif proposé pour 2030 dépend de la commercialisation des véhicules rechargeables électriquement (conformément à la définition des véhicules à faibles émissions).</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536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 pour les années 2025 à 2029 et à 30 %</w:t>
            </w:r>
            <w:r w:rsidRPr="00CC7D67">
              <w:t xml:space="preserve"> pour les années 2030 et au-delà.</w:t>
            </w:r>
          </w:p>
        </w:tc>
        <w:tc>
          <w:tcPr>
            <w:tcW w:w="4876" w:type="dxa"/>
            <w:hideMark/>
          </w:tcPr>
          <w:p w:rsidR="00B0509C" w:rsidRPr="00CC7D67" w:rsidRDefault="00B0509C" w:rsidP="00B0509C">
            <w:pPr>
              <w:pStyle w:val="Normal6"/>
              <w:rPr>
                <w:szCs w:val="24"/>
              </w:rPr>
            </w:pPr>
            <w:r w:rsidRPr="00CC7D67">
              <w:t>x est égal à </w:t>
            </w:r>
            <w:r w:rsidRPr="00CC7D67">
              <w:rPr>
                <w:b/>
                <w:i/>
              </w:rPr>
              <w:t>20 %</w:t>
            </w:r>
            <w:r w:rsidRPr="00CC7D67">
              <w:t xml:space="preserve"> pour les années 2030 et au-delà.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537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Elisabetta Gardini, Lorenzo Cesa, Giovanni La Via, Stefano Maullu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 – point 6.3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 pour les années 2025 à 2029 et à 30 %</w:t>
            </w:r>
            <w:r w:rsidRPr="00CC7D67">
              <w:t xml:space="preserve"> pour les années 2030 et au-delà.</w:t>
            </w:r>
          </w:p>
        </w:tc>
        <w:tc>
          <w:tcPr>
            <w:tcW w:w="4876" w:type="dxa"/>
            <w:hideMark/>
          </w:tcPr>
          <w:p w:rsidR="00B0509C" w:rsidRPr="00CC7D67" w:rsidRDefault="00B0509C" w:rsidP="00B0509C">
            <w:pPr>
              <w:pStyle w:val="Normal6"/>
              <w:rPr>
                <w:szCs w:val="24"/>
              </w:rPr>
            </w:pPr>
            <w:r w:rsidRPr="00CC7D67">
              <w:t>x est égal à </w:t>
            </w:r>
            <w:r w:rsidRPr="00CC7D67">
              <w:rPr>
                <w:b/>
                <w:i/>
              </w:rPr>
              <w:t>20 %</w:t>
            </w:r>
            <w:r w:rsidRPr="00CC7D67">
              <w:t xml:space="preserve"> pour les années 2030 et au-delà.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538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 point 6.3 – alinéa 4 – ligne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x est égal à 15 % </w:t>
            </w:r>
            <w:r w:rsidRPr="00CC7D67">
              <w:rPr>
                <w:b/>
                <w:i/>
              </w:rPr>
              <w:t>pour les années 2025 à 2029 et à 30 %</w:t>
            </w:r>
            <w:r w:rsidRPr="00CC7D67">
              <w:t xml:space="preserve"> pour les années 2030 et au-delà.</w:t>
            </w:r>
          </w:p>
        </w:tc>
        <w:tc>
          <w:tcPr>
            <w:tcW w:w="4876" w:type="dxa"/>
            <w:hideMark/>
          </w:tcPr>
          <w:p w:rsidR="00B0509C" w:rsidRPr="00CC7D67" w:rsidRDefault="00B0509C" w:rsidP="00B0509C">
            <w:pPr>
              <w:pStyle w:val="Normal6"/>
              <w:rPr>
                <w:szCs w:val="24"/>
              </w:rPr>
            </w:pPr>
            <w:r w:rsidRPr="00CC7D67">
              <w:t>x est égal à 15% pour les années 2030 et au-delà.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539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György Hölvényi, András Gyürk, Andor Deli, Norbert Erdős, József Szájer, László Tőkés, Kinga Gál, Ádám Kósa, György Schöpflin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A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PARTIE A bis</w:t>
            </w:r>
            <w:r w:rsidRPr="00CC7D67">
              <w:rPr>
                <w:b/>
                <w:i/>
              </w:rPr>
              <w:tab/>
            </w:r>
            <w:r w:rsidR="00546117">
              <w:rPr>
                <w:b/>
                <w:i/>
              </w:rPr>
              <w:t xml:space="preserve"> </w:t>
            </w:r>
            <w:r w:rsidRPr="00CC7D67">
              <w:rPr>
                <w:b/>
                <w:i/>
              </w:rPr>
              <w:t>Pour un constructeur ayant obtenu une dérogation à l’objectif d’émissions spécifiques pour les années 2030 et au-delà, l’objectif tenant compte de cette dérogation est calculé comme suit: Objectif tenant compte de la dérogation à partir de 2030 = WLTP</w:t>
            </w:r>
            <w:r w:rsidRPr="00CC7D67">
              <w:rPr>
                <w:b/>
                <w:i/>
                <w:vertAlign w:val="subscript"/>
              </w:rPr>
              <w:t>CO2</w:t>
            </w:r>
            <w:r w:rsidRPr="00CC7D67">
              <w:rPr>
                <w:b/>
                <w:i/>
              </w:rPr>
              <w:t xml:space="preserve"> </w:t>
            </w:r>
            <w:r w:rsidRPr="00CC7D67">
              <w:rPr>
                <w:rFonts w:ascii="MS Mincho" w:hAnsi="MS Mincho"/>
                <w:b/>
                <w:i/>
              </w:rPr>
              <w:t>・</w:t>
            </w:r>
            <w:r w:rsidRPr="00CC7D67">
              <w:rPr>
                <w:b/>
                <w:i/>
              </w:rPr>
              <w:t>(1- [facteur de réduction 2030]) où: WLTP</w:t>
            </w:r>
            <w:r w:rsidRPr="00CC7D67">
              <w:rPr>
                <w:b/>
                <w:i/>
                <w:vertAlign w:val="subscript"/>
              </w:rPr>
              <w:t>CO2</w:t>
            </w:r>
            <w:r w:rsidRPr="00CC7D67">
              <w:rPr>
                <w:b/>
                <w:i/>
              </w:rPr>
              <w:t xml:space="preserve"> correspond aux émissions spécifiques moyennes de CO</w:t>
            </w:r>
            <w:r w:rsidRPr="00CC7D67">
              <w:rPr>
                <w:b/>
                <w:i/>
                <w:vertAlign w:val="subscript"/>
              </w:rPr>
              <w:t>2</w:t>
            </w:r>
            <w:r w:rsidRPr="00CC7D67">
              <w:rPr>
                <w:b/>
                <w:i/>
              </w:rPr>
              <w:t xml:space="preserve"> en 2021, déterminées conformément à l’annexe XXI du règlement (UE) 2017/1151 de la Commission, sans qu’il soit tenu compte de la réduction des émissions de CO</w:t>
            </w:r>
            <w:r w:rsidRPr="00CC7D67">
              <w:rPr>
                <w:b/>
                <w:i/>
                <w:vertAlign w:val="subscript"/>
              </w:rPr>
              <w:t>2</w:t>
            </w:r>
            <w:r w:rsidRPr="00CC7D67">
              <w:rPr>
                <w:b/>
                <w:i/>
              </w:rPr>
              <w:t xml:space="preserve"> dues à l’application des articles 5 et 11 du présent règlement; facteur de réduction 2030 est la réduction spécifiée à l’article 1</w:t>
            </w:r>
            <w:r w:rsidRPr="00CC7D67">
              <w:rPr>
                <w:b/>
                <w:i/>
                <w:vertAlign w:val="superscript"/>
              </w:rPr>
              <w:t>er</w:t>
            </w:r>
            <w:r w:rsidRPr="00CC7D67">
              <w:rPr>
                <w:b/>
                <w:i/>
              </w:rPr>
              <w:t>, paragraphe 5, point a).</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540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 Leinen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3 – alinéa 2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WLTP</w:t>
            </w:r>
            <w:r w:rsidRPr="00CC7D67">
              <w:rPr>
                <w:vertAlign w:val="subscript"/>
              </w:rPr>
              <w:t>CO2</w:t>
            </w:r>
            <w:r w:rsidRPr="00CC7D67">
              <w:t xml:space="preserve"> correspond aux émissions spécifiques moyennes de CO</w:t>
            </w:r>
            <w:r w:rsidRPr="00CC7D67">
              <w:rPr>
                <w:vertAlign w:val="subscript"/>
              </w:rPr>
              <w:t>2</w:t>
            </w:r>
            <w:r w:rsidRPr="00CC7D67">
              <w:t xml:space="preserve"> en 2020, déterminées conformément à l’annexe XXI du règlement (UE) 2017/1151 de la Commission, sans qu’il soit tenu compte des réductions des émissions de CO</w:t>
            </w:r>
            <w:r w:rsidRPr="00CC7D67">
              <w:rPr>
                <w:vertAlign w:val="subscript"/>
              </w:rPr>
              <w:t>2</w:t>
            </w:r>
            <w:r w:rsidRPr="00CC7D67">
              <w:t xml:space="preserve"> dues à l’application de l’article 11 du présent règlement;</w:t>
            </w:r>
          </w:p>
        </w:tc>
        <w:tc>
          <w:tcPr>
            <w:tcW w:w="4876" w:type="dxa"/>
            <w:hideMark/>
          </w:tcPr>
          <w:p w:rsidR="00B0509C" w:rsidRPr="00CC7D67" w:rsidRDefault="00B0509C" w:rsidP="00B0509C">
            <w:pPr>
              <w:pStyle w:val="Normal6"/>
              <w:rPr>
                <w:szCs w:val="24"/>
              </w:rPr>
            </w:pPr>
            <w:r w:rsidRPr="00CC7D67">
              <w:t>WLTP</w:t>
            </w:r>
            <w:r w:rsidRPr="00CC7D67">
              <w:rPr>
                <w:vertAlign w:val="subscript"/>
              </w:rPr>
              <w:t>CO2</w:t>
            </w:r>
            <w:r w:rsidRPr="00CC7D67">
              <w:t xml:space="preserve"> correspond aux émissions spécifiques moyennes de CO</w:t>
            </w:r>
            <w:r w:rsidRPr="00CC7D67">
              <w:rPr>
                <w:vertAlign w:val="subscript"/>
              </w:rPr>
              <w:t>2</w:t>
            </w:r>
            <w:r w:rsidRPr="00CC7D67">
              <w:t xml:space="preserve"> en 2020, déterminées conformément à l’annexe XXI du règlement (UE) 2017/1151 de la Commission, sans qu’il soit tenu compte des réductions des émissions de CO</w:t>
            </w:r>
            <w:r w:rsidRPr="00CC7D67">
              <w:rPr>
                <w:vertAlign w:val="subscript"/>
              </w:rPr>
              <w:t>2</w:t>
            </w:r>
            <w:r w:rsidRPr="00CC7D67">
              <w:t xml:space="preserve"> dues à l’application de l’article 11 du présent règlement; </w:t>
            </w:r>
            <w:r w:rsidRPr="00CC7D67">
              <w:rPr>
                <w:b/>
                <w:i/>
              </w:rPr>
              <w:t>seule la valeur des émissions de CO</w:t>
            </w:r>
            <w:r w:rsidRPr="00CC7D67">
              <w:rPr>
                <w:b/>
                <w:i/>
                <w:vertAlign w:val="subscript"/>
              </w:rPr>
              <w:t>2</w:t>
            </w:r>
            <w:r w:rsidRPr="00CC7D67">
              <w:rPr>
                <w:b/>
                <w:i/>
              </w:rPr>
              <w:t xml:space="preserve"> WLTP mesurées (et non pas déclarées) est utilisée pour calculer l’objectif d’émissions spécifiques de référence WLTP pour chaque constructeur;</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541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4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Pour les années civiles 2021 à </w:t>
            </w:r>
            <w:r w:rsidRPr="00CC7D67">
              <w:rPr>
                <w:b/>
                <w:i/>
              </w:rPr>
              <w:t>2024</w:t>
            </w:r>
            <w:r w:rsidRPr="00CC7D67">
              <w:t>, l’objectif d’émissions spécifiques d’un constructeur est calculé comme suit:</w:t>
            </w:r>
          </w:p>
        </w:tc>
        <w:tc>
          <w:tcPr>
            <w:tcW w:w="4876" w:type="dxa"/>
            <w:hideMark/>
          </w:tcPr>
          <w:p w:rsidR="00B0509C" w:rsidRPr="00CC7D67" w:rsidRDefault="00B0509C" w:rsidP="00B0509C">
            <w:pPr>
              <w:pStyle w:val="Normal6"/>
              <w:rPr>
                <w:szCs w:val="24"/>
              </w:rPr>
            </w:pPr>
            <w:r w:rsidRPr="00CC7D67">
              <w:t>4.</w:t>
            </w:r>
            <w:r w:rsidRPr="00CC7D67">
              <w:tab/>
              <w:t>Pour les années civiles 2021 à </w:t>
            </w:r>
            <w:r w:rsidRPr="00CC7D67">
              <w:rPr>
                <w:b/>
                <w:i/>
              </w:rPr>
              <w:t>2029</w:t>
            </w:r>
            <w:r w:rsidRPr="00CC7D67">
              <w:t>, l’objectif d’émissions spécifiques d’un constructeur est calculé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542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4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Pour les années civiles 2021 à </w:t>
            </w:r>
            <w:r w:rsidRPr="00CC7D67">
              <w:rPr>
                <w:b/>
                <w:i/>
              </w:rPr>
              <w:t>2024</w:t>
            </w:r>
            <w:r w:rsidRPr="00CC7D67">
              <w:t>, l’objectif d’émissions spécifiques d’un constructeur est calculé comme suit:</w:t>
            </w:r>
          </w:p>
        </w:tc>
        <w:tc>
          <w:tcPr>
            <w:tcW w:w="4876" w:type="dxa"/>
            <w:hideMark/>
          </w:tcPr>
          <w:p w:rsidR="00B0509C" w:rsidRPr="00CC7D67" w:rsidRDefault="00B0509C" w:rsidP="00B0509C">
            <w:pPr>
              <w:pStyle w:val="Normal6"/>
              <w:rPr>
                <w:szCs w:val="24"/>
              </w:rPr>
            </w:pPr>
            <w:r w:rsidRPr="00CC7D67">
              <w:t>4.</w:t>
            </w:r>
            <w:r w:rsidRPr="00CC7D67">
              <w:tab/>
              <w:t>Pour les années civiles 2021 à </w:t>
            </w:r>
            <w:r w:rsidRPr="00CC7D67">
              <w:rPr>
                <w:b/>
                <w:i/>
              </w:rPr>
              <w:t>2029</w:t>
            </w:r>
            <w:r w:rsidRPr="00CC7D67">
              <w:t>, l’objectif d’émissions spécifiques d’un constructeur est calculé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543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4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Pour les années civiles 2021 à </w:t>
            </w:r>
            <w:r w:rsidRPr="00CC7D67">
              <w:rPr>
                <w:b/>
                <w:i/>
              </w:rPr>
              <w:t>2024</w:t>
            </w:r>
            <w:r w:rsidRPr="00CC7D67">
              <w:t>, l’objectif d’émissions spécifiques d’un constructeur est calculé comme suit:</w:t>
            </w:r>
          </w:p>
        </w:tc>
        <w:tc>
          <w:tcPr>
            <w:tcW w:w="4876" w:type="dxa"/>
            <w:hideMark/>
          </w:tcPr>
          <w:p w:rsidR="00B0509C" w:rsidRPr="00CC7D67" w:rsidRDefault="00B0509C" w:rsidP="00B0509C">
            <w:pPr>
              <w:pStyle w:val="Normal6"/>
              <w:rPr>
                <w:szCs w:val="24"/>
              </w:rPr>
            </w:pPr>
            <w:r w:rsidRPr="00CC7D67">
              <w:t>4.</w:t>
            </w:r>
            <w:r w:rsidRPr="00CC7D67">
              <w:tab/>
              <w:t>Pour les années civiles 2021 à </w:t>
            </w:r>
            <w:r w:rsidRPr="00CC7D67">
              <w:rPr>
                <w:b/>
                <w:i/>
              </w:rPr>
              <w:t>2029</w:t>
            </w:r>
            <w:r w:rsidRPr="00CC7D67">
              <w:t>, l’objectif d’émissions spécifiques d’un constructeur est calculé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544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4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Pour les années civiles 2021 à </w:t>
            </w:r>
            <w:r w:rsidRPr="00CC7D67">
              <w:rPr>
                <w:b/>
                <w:i/>
              </w:rPr>
              <w:t>2024</w:t>
            </w:r>
            <w:r w:rsidRPr="00CC7D67">
              <w:t>, l’objectif d’émissions spécifiques d’un constructeur est calculé comme suit:</w:t>
            </w:r>
          </w:p>
        </w:tc>
        <w:tc>
          <w:tcPr>
            <w:tcW w:w="4876" w:type="dxa"/>
            <w:hideMark/>
          </w:tcPr>
          <w:p w:rsidR="00B0509C" w:rsidRPr="00CC7D67" w:rsidRDefault="00B0509C" w:rsidP="00B0509C">
            <w:pPr>
              <w:pStyle w:val="Normal6"/>
              <w:rPr>
                <w:szCs w:val="24"/>
              </w:rPr>
            </w:pPr>
            <w:r w:rsidRPr="00CC7D67">
              <w:t>4.</w:t>
            </w:r>
            <w:r w:rsidRPr="00CC7D67">
              <w:tab/>
              <w:t>Pour les années civiles 2021 à </w:t>
            </w:r>
            <w:r w:rsidRPr="00CC7D67">
              <w:rPr>
                <w:b/>
                <w:i/>
              </w:rPr>
              <w:t>2029</w:t>
            </w:r>
            <w:r w:rsidRPr="00CC7D67">
              <w:t>, l’objectif d’émissions spécifiques d’un constructeur est calculé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545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4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4.</w:t>
            </w:r>
            <w:r w:rsidRPr="00CC7D67">
              <w:tab/>
              <w:t>Pour les années civiles 2021 à </w:t>
            </w:r>
            <w:r w:rsidRPr="00CC7D67">
              <w:rPr>
                <w:b/>
                <w:i/>
              </w:rPr>
              <w:t>2024</w:t>
            </w:r>
            <w:r w:rsidRPr="00CC7D67">
              <w:t>, l’objectif d’émissions spécifiques d’un constructeur est calculé comme suit:</w:t>
            </w:r>
          </w:p>
        </w:tc>
        <w:tc>
          <w:tcPr>
            <w:tcW w:w="4876" w:type="dxa"/>
            <w:hideMark/>
          </w:tcPr>
          <w:p w:rsidR="00B0509C" w:rsidRPr="00CC7D67" w:rsidRDefault="00B0509C" w:rsidP="00B0509C">
            <w:pPr>
              <w:pStyle w:val="Normal6"/>
              <w:rPr>
                <w:szCs w:val="24"/>
              </w:rPr>
            </w:pPr>
            <w:r w:rsidRPr="00CC7D67">
              <w:t>4.</w:t>
            </w:r>
            <w:r w:rsidRPr="00CC7D67">
              <w:tab/>
              <w:t>Pour les années civiles 2021 à </w:t>
            </w:r>
            <w:r w:rsidRPr="00CC7D67">
              <w:rPr>
                <w:b/>
                <w:i/>
              </w:rPr>
              <w:t>2025</w:t>
            </w:r>
            <w:r w:rsidRPr="00CC7D67">
              <w:t>, l’objectif d’émissions spécifiques d’un constructeur est calculé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546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4 – alinéa 2 – sous-alinéa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M</w:t>
            </w:r>
            <w:r w:rsidRPr="00CC7D67">
              <w:rPr>
                <w:vertAlign w:val="subscript"/>
              </w:rPr>
              <w:t>0</w:t>
            </w:r>
            <w:r w:rsidRPr="00CC7D67">
              <w:t xml:space="preserve"> est égale à 1 766,4 en 2020 et, pour la période 2021, 2022 et 2023, à la valeur adoptée conformément à l’article 13, paragraphe 5, du règlement (UE) nº 510/2011, et pour 2024, à la valeur adoptée conformément à l’article 13, paragraphe 1, point b), du présent règlement;</w:t>
            </w:r>
          </w:p>
        </w:tc>
        <w:tc>
          <w:tcPr>
            <w:tcW w:w="4876" w:type="dxa"/>
            <w:hideMark/>
          </w:tcPr>
          <w:p w:rsidR="00B0509C" w:rsidRPr="00CC7D67" w:rsidRDefault="00B0509C" w:rsidP="00B0509C">
            <w:pPr>
              <w:pStyle w:val="Normal6"/>
              <w:rPr>
                <w:szCs w:val="24"/>
              </w:rPr>
            </w:pPr>
            <w:r w:rsidRPr="00CC7D67">
              <w:t>M</w:t>
            </w:r>
            <w:r w:rsidRPr="00CC7D67">
              <w:rPr>
                <w:vertAlign w:val="subscript"/>
              </w:rPr>
              <w:t>0</w:t>
            </w:r>
            <w:r w:rsidRPr="00CC7D67">
              <w:t xml:space="preserve"> est égale à 1 766,4 en 2020 et, pour la période 2021, 2022 et 2023, à la valeur adoptée conformément à l’article 13, paragraphe 5, du règlement (UE) nº 510/2011, et pour </w:t>
            </w:r>
            <w:r w:rsidRPr="00CC7D67">
              <w:rPr>
                <w:b/>
                <w:i/>
              </w:rPr>
              <w:t>la période de</w:t>
            </w:r>
            <w:r w:rsidRPr="00CC7D67">
              <w:t xml:space="preserve"> 2024 </w:t>
            </w:r>
            <w:r w:rsidRPr="00CC7D67">
              <w:rPr>
                <w:b/>
                <w:i/>
              </w:rPr>
              <w:t>à 2029</w:t>
            </w:r>
            <w:r w:rsidRPr="00CC7D67">
              <w:t>, à la valeur adoptée conformément à l’article 13, paragraphe 1, point b), du présent règlement;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547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4 – alinéa 2 – ligne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M</w:t>
            </w:r>
            <w:r w:rsidRPr="00CC7D67">
              <w:rPr>
                <w:vertAlign w:val="subscript"/>
              </w:rPr>
              <w:t>0</w:t>
            </w:r>
            <w:r w:rsidRPr="00CC7D67">
              <w:t xml:space="preserve"> est égale à 1 766,4 en 2020 et, pour la période 2021, 2022 et 2023, à la valeur adoptée conformément à l’article 13, paragraphe 5, du règlement (UE) nº 510/2011, et pour 2024, à la valeur adoptée conformément à l’article 13, paragraphe 1, point b), du présent règlement;</w:t>
            </w:r>
          </w:p>
        </w:tc>
        <w:tc>
          <w:tcPr>
            <w:tcW w:w="4876" w:type="dxa"/>
            <w:hideMark/>
          </w:tcPr>
          <w:p w:rsidR="00B0509C" w:rsidRPr="00CC7D67" w:rsidRDefault="00B0509C" w:rsidP="00B0509C">
            <w:pPr>
              <w:pStyle w:val="Normal6"/>
              <w:rPr>
                <w:szCs w:val="24"/>
              </w:rPr>
            </w:pPr>
            <w:r w:rsidRPr="00CC7D67">
              <w:t>M</w:t>
            </w:r>
            <w:r w:rsidRPr="00CC7D67">
              <w:rPr>
                <w:vertAlign w:val="subscript"/>
              </w:rPr>
              <w:t>0</w:t>
            </w:r>
            <w:r w:rsidRPr="00CC7D67">
              <w:t xml:space="preserve"> est égale à 1 766,4 en 2020 et, pour la période 2021, 2022 et 2023, à la valeur adoptée conformément à l’article 13, paragraphe 5, du règlement (UE) nº 510/2011, et pour </w:t>
            </w:r>
            <w:r w:rsidRPr="00CC7D67">
              <w:rPr>
                <w:b/>
                <w:i/>
              </w:rPr>
              <w:t>la période allant de</w:t>
            </w:r>
            <w:r w:rsidRPr="00CC7D67">
              <w:t xml:space="preserve"> 2024 </w:t>
            </w:r>
            <w:r w:rsidRPr="00CC7D67">
              <w:rPr>
                <w:b/>
                <w:i/>
              </w:rPr>
              <w:t>à 2029</w:t>
            </w:r>
            <w:r w:rsidRPr="00CC7D67">
              <w:t>, à la valeur adoptée conformément à l’article 13, paragraphe 1, point b), du présent règlement;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548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w:t>
            </w:r>
            <w:r w:rsidRPr="00CC7D67">
              <w:tab/>
              <w:t>À partir du 1</w:t>
            </w:r>
            <w:r w:rsidRPr="00CC7D67">
              <w:rPr>
                <w:vertAlign w:val="superscript"/>
              </w:rPr>
              <w:t>er</w:t>
            </w:r>
            <w:r w:rsidRPr="00CC7D67">
              <w:t> janvier </w:t>
            </w:r>
            <w:r w:rsidRPr="00CC7D67">
              <w:rPr>
                <w:b/>
                <w:i/>
              </w:rPr>
              <w:t>2025</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c>
          <w:tcPr>
            <w:tcW w:w="4876" w:type="dxa"/>
            <w:hideMark/>
          </w:tcPr>
          <w:p w:rsidR="00B0509C" w:rsidRPr="00CC7D67" w:rsidRDefault="00B0509C" w:rsidP="00B0509C">
            <w:pPr>
              <w:pStyle w:val="Normal6"/>
              <w:rPr>
                <w:szCs w:val="24"/>
              </w:rPr>
            </w:pPr>
            <w:r w:rsidRPr="00CC7D67">
              <w:t>6.</w:t>
            </w:r>
            <w:r w:rsidRPr="00CC7D67">
              <w:tab/>
              <w:t>À partir du 1</w:t>
            </w:r>
            <w:r w:rsidRPr="00CC7D67">
              <w:rPr>
                <w:vertAlign w:val="superscript"/>
              </w:rPr>
              <w:t>er</w:t>
            </w:r>
            <w:r w:rsidRPr="00CC7D67">
              <w:t> janvier </w:t>
            </w:r>
            <w:r w:rsidRPr="00CC7D67">
              <w:rPr>
                <w:b/>
                <w:i/>
              </w:rPr>
              <w:t>2030</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549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w:t>
            </w:r>
            <w:r w:rsidRPr="00CC7D67">
              <w:tab/>
              <w:t>À partir du 1</w:t>
            </w:r>
            <w:r w:rsidRPr="00CC7D67">
              <w:rPr>
                <w:vertAlign w:val="superscript"/>
              </w:rPr>
              <w:t>er</w:t>
            </w:r>
            <w:r w:rsidRPr="00CC7D67">
              <w:t> janvier </w:t>
            </w:r>
            <w:r w:rsidRPr="00CC7D67">
              <w:rPr>
                <w:b/>
                <w:i/>
              </w:rPr>
              <w:t>2025</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c>
          <w:tcPr>
            <w:tcW w:w="4876" w:type="dxa"/>
            <w:hideMark/>
          </w:tcPr>
          <w:p w:rsidR="00B0509C" w:rsidRPr="00CC7D67" w:rsidRDefault="00B0509C" w:rsidP="00B0509C">
            <w:pPr>
              <w:pStyle w:val="Normal6"/>
              <w:rPr>
                <w:szCs w:val="24"/>
              </w:rPr>
            </w:pPr>
            <w:r w:rsidRPr="00CC7D67">
              <w:t>6.</w:t>
            </w:r>
            <w:r w:rsidRPr="00CC7D67">
              <w:tab/>
              <w:t>À partir du 1</w:t>
            </w:r>
            <w:r w:rsidRPr="00CC7D67">
              <w:rPr>
                <w:vertAlign w:val="superscript"/>
              </w:rPr>
              <w:t>er</w:t>
            </w:r>
            <w:r w:rsidRPr="00CC7D67">
              <w:t> janvier </w:t>
            </w:r>
            <w:r w:rsidRPr="00CC7D67">
              <w:rPr>
                <w:b/>
                <w:i/>
              </w:rPr>
              <w:t>2030</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550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w:t>
            </w:r>
            <w:r w:rsidRPr="00CC7D67">
              <w:tab/>
              <w:t>À partir du 1</w:t>
            </w:r>
            <w:r w:rsidRPr="00CC7D67">
              <w:rPr>
                <w:vertAlign w:val="superscript"/>
              </w:rPr>
              <w:t>er</w:t>
            </w:r>
            <w:r w:rsidRPr="00CC7D67">
              <w:t> janvier </w:t>
            </w:r>
            <w:r w:rsidRPr="00CC7D67">
              <w:rPr>
                <w:b/>
                <w:i/>
              </w:rPr>
              <w:t>2025</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c>
          <w:tcPr>
            <w:tcW w:w="4876" w:type="dxa"/>
            <w:hideMark/>
          </w:tcPr>
          <w:p w:rsidR="00B0509C" w:rsidRPr="00CC7D67" w:rsidRDefault="00B0509C" w:rsidP="00B0509C">
            <w:pPr>
              <w:pStyle w:val="Normal6"/>
              <w:rPr>
                <w:szCs w:val="24"/>
              </w:rPr>
            </w:pPr>
            <w:r w:rsidRPr="00CC7D67">
              <w:t>6.</w:t>
            </w:r>
            <w:r w:rsidRPr="00CC7D67">
              <w:tab/>
              <w:t>À partir du 1</w:t>
            </w:r>
            <w:r w:rsidRPr="00CC7D67">
              <w:rPr>
                <w:vertAlign w:val="superscript"/>
              </w:rPr>
              <w:t>er</w:t>
            </w:r>
            <w:r w:rsidRPr="00CC7D67">
              <w:t> janvier </w:t>
            </w:r>
            <w:r w:rsidRPr="00CC7D67">
              <w:rPr>
                <w:b/>
                <w:i/>
              </w:rPr>
              <w:t>2030</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pPr>
        <w:rPr>
          <w:rFonts w:ascii="Arial" w:hAnsi="Arial"/>
          <w:vanish/>
          <w:color w:val="000080"/>
          <w:sz w:val="2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551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w:t>
            </w:r>
            <w:r w:rsidRPr="00CC7D67">
              <w:tab/>
              <w:t>À partir du 1</w:t>
            </w:r>
            <w:r w:rsidRPr="00CC7D67">
              <w:rPr>
                <w:vertAlign w:val="superscript"/>
              </w:rPr>
              <w:t>er</w:t>
            </w:r>
            <w:r w:rsidRPr="00CC7D67">
              <w:t> janvier </w:t>
            </w:r>
            <w:r w:rsidRPr="00CC7D67">
              <w:rPr>
                <w:b/>
                <w:i/>
              </w:rPr>
              <w:t>2025</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c>
          <w:tcPr>
            <w:tcW w:w="4876" w:type="dxa"/>
            <w:hideMark/>
          </w:tcPr>
          <w:p w:rsidR="00B0509C" w:rsidRPr="00CC7D67" w:rsidRDefault="00B0509C" w:rsidP="00B0509C">
            <w:pPr>
              <w:pStyle w:val="Normal6"/>
              <w:rPr>
                <w:szCs w:val="24"/>
              </w:rPr>
            </w:pPr>
            <w:r w:rsidRPr="00CC7D67">
              <w:t>6.</w:t>
            </w:r>
            <w:r w:rsidRPr="00CC7D67">
              <w:tab/>
              <w:t>À partir du 1</w:t>
            </w:r>
            <w:r w:rsidRPr="00CC7D67">
              <w:rPr>
                <w:vertAlign w:val="superscript"/>
              </w:rPr>
              <w:t>er</w:t>
            </w:r>
            <w:r w:rsidRPr="00CC7D67">
              <w:t> janvier </w:t>
            </w:r>
            <w:r w:rsidRPr="00CC7D67">
              <w:rPr>
                <w:b/>
                <w:i/>
              </w:rPr>
              <w:t>2026</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552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Gerben-Jan Gerbrandy</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w:t>
            </w:r>
            <w:r w:rsidRPr="00CC7D67">
              <w:tab/>
              <w:t>À partir du 1</w:t>
            </w:r>
            <w:r w:rsidRPr="00CC7D67">
              <w:rPr>
                <w:vertAlign w:val="superscript"/>
              </w:rPr>
              <w:t>er</w:t>
            </w:r>
            <w:r w:rsidRPr="00CC7D67">
              <w:t> janvier </w:t>
            </w:r>
            <w:r w:rsidRPr="00CC7D67">
              <w:rPr>
                <w:b/>
                <w:i/>
              </w:rPr>
              <w:t>2025</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c>
          <w:tcPr>
            <w:tcW w:w="4876" w:type="dxa"/>
            <w:hideMark/>
          </w:tcPr>
          <w:p w:rsidR="00B0509C" w:rsidRPr="00CC7D67" w:rsidRDefault="00B0509C" w:rsidP="00B0509C">
            <w:pPr>
              <w:pStyle w:val="Normal6"/>
              <w:rPr>
                <w:szCs w:val="24"/>
              </w:rPr>
            </w:pPr>
            <w:r w:rsidRPr="00CC7D67">
              <w:t>6.</w:t>
            </w:r>
            <w:r w:rsidRPr="00CC7D67">
              <w:tab/>
              <w:t>À partir du 1</w:t>
            </w:r>
            <w:r w:rsidRPr="00CC7D67">
              <w:rPr>
                <w:vertAlign w:val="superscript"/>
              </w:rPr>
              <w:t>er</w:t>
            </w:r>
            <w:r w:rsidRPr="00CC7D67">
              <w:t> janvier </w:t>
            </w:r>
            <w:r w:rsidRPr="00CC7D67">
              <w:rPr>
                <w:b/>
                <w:i/>
              </w:rPr>
              <w:t>2022</w:t>
            </w:r>
            <w:r w:rsidRPr="00CC7D67">
              <w:t>, les objectifs à l’échelle du parc de l’UE et les objectifs d’émissions spécifiques de CO</w:t>
            </w:r>
            <w:r w:rsidRPr="00CC7D67">
              <w:rPr>
                <w:vertAlign w:val="subscript"/>
              </w:rPr>
              <w:t>2</w:t>
            </w:r>
            <w:r w:rsidRPr="00CC7D67">
              <w:t xml:space="preserve"> d’un constructeur sont calculés comme suit: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Modifications techniques de l’annexe pour l’introduction de trajectoires de réduction linéaires entre 2022 et 2025 ainsi qu’entre 2026 et 2029 (voir les amendements à l’article premier).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553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6.1.</w:t>
            </w:r>
            <w:r w:rsidRPr="00CC7D67">
              <w:tab/>
              <w:t>Objectifs à l’échelle du parc de l’UE pour </w:t>
            </w:r>
            <w:r w:rsidRPr="00CC7D67">
              <w:rPr>
                <w:b/>
                <w:i/>
              </w:rPr>
              <w:t>2025 et</w:t>
            </w:r>
            <w:r w:rsidRPr="00CC7D67">
              <w:t> 2030</w:t>
            </w:r>
          </w:p>
        </w:tc>
        <w:tc>
          <w:tcPr>
            <w:tcW w:w="4876" w:type="dxa"/>
            <w:hideMark/>
          </w:tcPr>
          <w:p w:rsidR="00B0509C" w:rsidRPr="00CC7D67" w:rsidRDefault="00B0509C" w:rsidP="00B0509C">
            <w:pPr>
              <w:pStyle w:val="Normal6"/>
              <w:rPr>
                <w:szCs w:val="24"/>
              </w:rPr>
            </w:pPr>
            <w:r w:rsidRPr="00CC7D67">
              <w:t>6.1.</w:t>
            </w:r>
            <w:r w:rsidRPr="00CC7D67">
              <w:tab/>
              <w:t>Objectifs à l’échelle du parc de l’UE pour 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554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6.1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6.1.</w:t>
            </w:r>
            <w:r w:rsidRPr="00CC7D67">
              <w:tab/>
              <w:t>Objectifs à l’échelle du parc de l’UE pour </w:t>
            </w:r>
            <w:r w:rsidRPr="00CC7D67">
              <w:rPr>
                <w:b/>
                <w:i/>
              </w:rPr>
              <w:t>2025 et</w:t>
            </w:r>
            <w:r w:rsidRPr="00CC7D67">
              <w:t> 2030</w:t>
            </w:r>
          </w:p>
        </w:tc>
        <w:tc>
          <w:tcPr>
            <w:tcW w:w="4876" w:type="dxa"/>
            <w:hideMark/>
          </w:tcPr>
          <w:p w:rsidR="00B0509C" w:rsidRPr="00CC7D67" w:rsidRDefault="00B0509C" w:rsidP="00B0509C">
            <w:pPr>
              <w:pStyle w:val="Normal6"/>
              <w:rPr>
                <w:szCs w:val="24"/>
              </w:rPr>
            </w:pPr>
            <w:r w:rsidRPr="00CC7D67">
              <w:t>6.1.</w:t>
            </w:r>
            <w:r w:rsidRPr="00CC7D67">
              <w:tab/>
              <w:t>Objectifs à l’échelle du parc de l’UE pour 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555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6.1.</w:t>
            </w:r>
            <w:r w:rsidRPr="00CC7D67">
              <w:tab/>
              <w:t>Objectifs à l’échelle du parc de l’UE pour </w:t>
            </w:r>
            <w:r w:rsidRPr="00CC7D67">
              <w:rPr>
                <w:b/>
                <w:i/>
              </w:rPr>
              <w:t>2025</w:t>
            </w:r>
            <w:r w:rsidRPr="00CC7D67">
              <w:t xml:space="preserve"> et 2030</w:t>
            </w:r>
          </w:p>
        </w:tc>
        <w:tc>
          <w:tcPr>
            <w:tcW w:w="4876" w:type="dxa"/>
            <w:hideMark/>
          </w:tcPr>
          <w:p w:rsidR="00B0509C" w:rsidRPr="00CC7D67" w:rsidRDefault="00B0509C" w:rsidP="00B0509C">
            <w:pPr>
              <w:pStyle w:val="Normal6"/>
              <w:rPr>
                <w:szCs w:val="24"/>
              </w:rPr>
            </w:pPr>
            <w:r w:rsidRPr="00CC7D67">
              <w:t>6.1.</w:t>
            </w:r>
            <w:r w:rsidRPr="00CC7D67">
              <w:tab/>
              <w:t>Objectifs à l’échelle du parc de l’UE pour </w:t>
            </w:r>
            <w:r w:rsidRPr="00CC7D67">
              <w:rPr>
                <w:b/>
                <w:i/>
              </w:rPr>
              <w:t>2026</w:t>
            </w:r>
            <w:r w:rsidRPr="00CC7D67">
              <w:t xml:space="preserve"> et 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556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Gerben-Jan Gerbrandy</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6.1.</w:t>
            </w:r>
            <w:r w:rsidRPr="00CC7D67">
              <w:tab/>
              <w:t xml:space="preserve">Objectifs à l’échelle du parc de l’UE </w:t>
            </w:r>
            <w:r w:rsidRPr="00CC7D67">
              <w:rPr>
                <w:b/>
                <w:i/>
              </w:rPr>
              <w:t>pour </w:t>
            </w:r>
            <w:r w:rsidRPr="00CC7D67">
              <w:t>2025</w:t>
            </w:r>
            <w:r w:rsidRPr="00CC7D67">
              <w:rPr>
                <w:b/>
                <w:i/>
              </w:rPr>
              <w:t xml:space="preserve"> et 2030</w:t>
            </w:r>
          </w:p>
        </w:tc>
        <w:tc>
          <w:tcPr>
            <w:tcW w:w="4876" w:type="dxa"/>
            <w:hideMark/>
          </w:tcPr>
          <w:p w:rsidR="00B0509C" w:rsidRPr="00CC7D67" w:rsidRDefault="00B0509C" w:rsidP="00B0509C">
            <w:pPr>
              <w:pStyle w:val="Normal6"/>
              <w:rPr>
                <w:szCs w:val="24"/>
              </w:rPr>
            </w:pPr>
            <w:r w:rsidRPr="00CC7D67">
              <w:t>6.1.</w:t>
            </w:r>
            <w:r w:rsidRPr="00CC7D67">
              <w:tab/>
              <w:t xml:space="preserve">Objectifs à l’échelle du parc de l’UE </w:t>
            </w:r>
            <w:r w:rsidRPr="00CC7D67">
              <w:rPr>
                <w:b/>
                <w:i/>
              </w:rPr>
              <w:t>entre 2022 et </w:t>
            </w:r>
            <w:r w:rsidRPr="00CC7D67">
              <w:t>2025</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Modifications techniques de l’annexe pour l’introduction de trajectoires de réduction linéaires entre 2022 et 2025 ainsi qu’entre 2026 et 2029 (voir les amendements à l’article premier).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557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6.1.1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6.1.1.</w:t>
            </w:r>
            <w:r w:rsidRPr="00CC7D67">
              <w:rPr>
                <w:b/>
                <w:i/>
              </w:rPr>
              <w:tab/>
              <w:t>Objectif à l’échelle du parc de l’UE pour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t> </w:t>
            </w:r>
            <w:r w:rsidRPr="00CC7D67">
              <w:rPr>
                <w:b/>
                <w:i/>
              </w:rPr>
              <w:t>= objectif à l’échelle du parc de l’UE</w:t>
            </w:r>
            <w:r w:rsidRPr="00CC7D67">
              <w:rPr>
                <w:b/>
                <w:i/>
                <w:vertAlign w:val="subscript"/>
              </w:rPr>
              <w:t>2021</w:t>
            </w:r>
            <w:r w:rsidRPr="00CC7D67">
              <w:t xml:space="preserve"> </w:t>
            </w:r>
            <w:r w:rsidR="00D10BFD">
              <w:t>·</w:t>
            </w:r>
            <w:r w:rsidR="00D10BFD" w:rsidRPr="00CC7D67">
              <w:rPr>
                <w:b/>
                <w:i/>
              </w:rPr>
              <w:t xml:space="preserve"> </w:t>
            </w:r>
            <w:r w:rsidRPr="00CC7D67">
              <w:rPr>
                <w:b/>
                <w:i/>
              </w:rPr>
              <w:t>(1- facteur de réduction</w:t>
            </w:r>
            <w:r w:rsidRPr="00CC7D67">
              <w:rPr>
                <w:b/>
                <w:i/>
                <w:vertAlign w:val="subscript"/>
              </w:rPr>
              <w:t>2025</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pour le parc de l’UE</w:t>
            </w:r>
            <w:r w:rsidRPr="00CC7D67">
              <w:rPr>
                <w:b/>
                <w:i/>
                <w:vertAlign w:val="subscript"/>
              </w:rPr>
              <w:t>2021</w:t>
            </w:r>
            <w:r w:rsidRPr="00CC7D67">
              <w:t xml:space="preserve"> </w:t>
            </w:r>
            <w:r w:rsidRPr="00CC7D67">
              <w:rPr>
                <w:b/>
                <w:i/>
              </w:rPr>
              <w:t>est la moyenne, pondérée par le nombre de véhicules utilitaires légers nouvellement immatriculés de chaque constructeur individuel, des objectifs d’émissions spécifiques déterminés pour chaque constructeur individuel en 2021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de réduction</w:t>
            </w:r>
            <w:r w:rsidRPr="00CC7D67">
              <w:rPr>
                <w:b/>
                <w:i/>
                <w:vertAlign w:val="subscript"/>
              </w:rPr>
              <w:t>2025</w:t>
            </w:r>
            <w:r w:rsidRPr="00CC7D67">
              <w:t xml:space="preserve"> </w:t>
            </w:r>
            <w:r w:rsidRPr="00CC7D67">
              <w:rPr>
                <w:b/>
                <w:i/>
              </w:rPr>
              <w:t>est la réduction spécifiée à l’article 1</w:t>
            </w:r>
            <w:r w:rsidRPr="00CC7D67">
              <w:rPr>
                <w:b/>
                <w:i/>
                <w:vertAlign w:val="superscript"/>
              </w:rPr>
              <w:t>er</w:t>
            </w:r>
            <w:r w:rsidRPr="00CC7D67">
              <w:rPr>
                <w:b/>
                <w:i/>
              </w:rPr>
              <w:t>, paragraphe 4, point b).</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558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6.1.1.</w:t>
            </w:r>
            <w:r w:rsidRPr="00CC7D67">
              <w:rPr>
                <w:b/>
                <w:i/>
              </w:rPr>
              <w:tab/>
              <w:t>Objectif à l’échelle du parc de l’UE pour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 objectif à l’échelle du parc de l’UE</w:t>
            </w:r>
            <w:r w:rsidRPr="00CC7D67">
              <w:rPr>
                <w:b/>
                <w:i/>
                <w:vertAlign w:val="subscript"/>
              </w:rPr>
              <w:t>2021</w:t>
            </w:r>
            <w:r w:rsidRPr="00CC7D67">
              <w:rPr>
                <w:b/>
                <w:i/>
              </w:rPr>
              <w:t xml:space="preserve">  </w:t>
            </w:r>
            <w:r w:rsidR="00D10BFD">
              <w:t>·</w:t>
            </w:r>
            <w:r w:rsidRPr="00CC7D67">
              <w:rPr>
                <w:b/>
                <w:i/>
              </w:rPr>
              <w:t xml:space="preserve"> (1- facteur de réduction</w:t>
            </w:r>
            <w:r w:rsidRPr="00CC7D67">
              <w:rPr>
                <w:b/>
                <w:i/>
                <w:vertAlign w:val="subscript"/>
              </w:rPr>
              <w:t>2025</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2021</w:t>
            </w:r>
            <w:r w:rsidRPr="00CC7D67">
              <w:rPr>
                <w:b/>
                <w:i/>
              </w:rPr>
              <w:t xml:space="preserve"> est la moyenne, pondérée par le nombre de véhicules utilitaires légers nouvellement immatriculés de chaque constructeur individuel, des objectifs d’émissions spécifiques déterminés pour chaque constructeur individuel en 2021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de réduction</w:t>
            </w:r>
            <w:r w:rsidRPr="00CC7D67">
              <w:rPr>
                <w:b/>
                <w:i/>
                <w:vertAlign w:val="subscript"/>
              </w:rPr>
              <w:t>2025</w:t>
            </w:r>
            <w:r w:rsidRPr="00CC7D67">
              <w:rPr>
                <w:b/>
                <w:i/>
              </w:rPr>
              <w:t xml:space="preserve"> est la réduction spécifiée à l’article 1</w:t>
            </w:r>
            <w:r w:rsidRPr="00CC7D67">
              <w:rPr>
                <w:b/>
                <w:i/>
                <w:vertAlign w:val="superscript"/>
              </w:rPr>
              <w:t>er</w:t>
            </w:r>
            <w:r w:rsidRPr="00CC7D67">
              <w:rPr>
                <w:b/>
                <w:i/>
              </w:rPr>
              <w:t>, paragraphe 4, point b).</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559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6.1.1.</w:t>
            </w:r>
            <w:r w:rsidRPr="00CC7D67">
              <w:rPr>
                <w:b/>
                <w:i/>
              </w:rPr>
              <w:tab/>
              <w:t>Objectif à l’échelle du parc de l’UE pour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 objectif à l’échelle du parc de l’UE</w:t>
            </w:r>
            <w:r w:rsidRPr="00CC7D67">
              <w:rPr>
                <w:b/>
                <w:i/>
                <w:vertAlign w:val="subscript"/>
              </w:rPr>
              <w:t>2021</w:t>
            </w:r>
            <w:r w:rsidRPr="00CC7D67">
              <w:rPr>
                <w:b/>
                <w:i/>
              </w:rPr>
              <w:t xml:space="preserve">  </w:t>
            </w:r>
            <w:r w:rsidR="00D10BFD">
              <w:t>·</w:t>
            </w:r>
            <w:r w:rsidRPr="00CC7D67">
              <w:rPr>
                <w:b/>
                <w:i/>
              </w:rPr>
              <w:t xml:space="preserve"> (1- facteur de réduction</w:t>
            </w:r>
            <w:r w:rsidRPr="00CC7D67">
              <w:rPr>
                <w:b/>
                <w:i/>
                <w:vertAlign w:val="subscript"/>
              </w:rPr>
              <w:t>2025</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2021</w:t>
            </w:r>
            <w:r w:rsidRPr="00CC7D67">
              <w:rPr>
                <w:b/>
                <w:i/>
              </w:rPr>
              <w:t xml:space="preserve"> est la moyenne, pondérée par le nombre de véhicules utilitaires légers nouvellement immatriculés de chaque constructeur individuel, des objectifs d’émissions spécifiques déterminés pour chaque constructeur individuel en 2021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de réduction</w:t>
            </w:r>
            <w:r w:rsidRPr="00CC7D67">
              <w:rPr>
                <w:b/>
                <w:i/>
                <w:vertAlign w:val="subscript"/>
              </w:rPr>
              <w:t>2025</w:t>
            </w:r>
            <w:r w:rsidRPr="00CC7D67">
              <w:rPr>
                <w:b/>
                <w:i/>
              </w:rPr>
              <w:t xml:space="preserve"> est la réduction spécifiée à l’article 1</w:t>
            </w:r>
            <w:r w:rsidRPr="00CC7D67">
              <w:rPr>
                <w:b/>
                <w:i/>
                <w:vertAlign w:val="superscript"/>
              </w:rPr>
              <w:t>er</w:t>
            </w:r>
            <w:r w:rsidRPr="00CC7D67">
              <w:rPr>
                <w:b/>
                <w:i/>
              </w:rPr>
              <w:t>, paragraphe 4, point b).</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560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6.1.1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à l’échelle du parc de l’UE pour </w:t>
            </w:r>
            <w:r w:rsidRPr="00CC7D67">
              <w:rPr>
                <w:b/>
                <w:i/>
              </w:rPr>
              <w:t>2025</w:t>
            </w:r>
            <w:r w:rsidRPr="00CC7D67">
              <w:t xml:space="preserve"> à 2029</w:t>
            </w:r>
          </w:p>
        </w:tc>
        <w:tc>
          <w:tcPr>
            <w:tcW w:w="4876" w:type="dxa"/>
            <w:hideMark/>
          </w:tcPr>
          <w:p w:rsidR="00B0509C" w:rsidRPr="00CC7D67" w:rsidRDefault="00B0509C" w:rsidP="00B0509C">
            <w:pPr>
              <w:pStyle w:val="Normal6"/>
              <w:rPr>
                <w:szCs w:val="24"/>
              </w:rPr>
            </w:pPr>
            <w:r w:rsidRPr="00CC7D67">
              <w:t>Objectif à l’échelle du parc de l’UE pour </w:t>
            </w:r>
            <w:r w:rsidRPr="00CC7D67">
              <w:rPr>
                <w:b/>
                <w:i/>
              </w:rPr>
              <w:t>2026</w:t>
            </w:r>
            <w:r w:rsidRPr="00CC7D67">
              <w:t xml:space="preserve"> à 2029</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561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Gerben-Jan Gerbrandy</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6.1.1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w:t>
            </w:r>
            <w:r w:rsidRPr="00CC7D67">
              <w:t xml:space="preserve"> à l’échelle du parc de l’UE pour </w:t>
            </w:r>
            <w:r w:rsidRPr="00CC7D67">
              <w:rPr>
                <w:b/>
                <w:i/>
              </w:rPr>
              <w:t>2025 à 2029</w:t>
            </w:r>
          </w:p>
        </w:tc>
        <w:tc>
          <w:tcPr>
            <w:tcW w:w="4876" w:type="dxa"/>
            <w:hideMark/>
          </w:tcPr>
          <w:p w:rsidR="00B0509C" w:rsidRPr="00CC7D67" w:rsidRDefault="00B0509C" w:rsidP="00B0509C">
            <w:pPr>
              <w:pStyle w:val="Normal6"/>
              <w:rPr>
                <w:szCs w:val="24"/>
              </w:rPr>
            </w:pPr>
            <w:r w:rsidRPr="00CC7D67">
              <w:rPr>
                <w:b/>
                <w:i/>
              </w:rPr>
              <w:t>Objectifs</w:t>
            </w:r>
            <w:r w:rsidRPr="00CC7D67">
              <w:t xml:space="preserve"> à l’échelle du parc de l’UE pour </w:t>
            </w:r>
            <w:r w:rsidRPr="00CC7D67">
              <w:rPr>
                <w:b/>
                <w:i/>
              </w:rPr>
              <w:t>2022 et 2025</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Modifications techniques de l’annexe pour l’introduction de trajectoires de réduction linéaires entre 2022 et 2025 ainsi qu’entre 2026 et 2029 (voir les amendements à l’article premier).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562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Gerben-Jan Gerbrandy</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546117">
            <w:pPr>
              <w:pStyle w:val="Normal6"/>
              <w:rPr>
                <w:color w:val="0000FA"/>
              </w:rPr>
            </w:pPr>
            <w:r w:rsidRPr="00CC7D67">
              <w:t>Objectif à l’échelle du parc de l’UE</w:t>
            </w:r>
            <w:r w:rsidRPr="00CC7D67">
              <w:rPr>
                <w:vertAlign w:val="subscript"/>
              </w:rPr>
              <w:t>2025</w:t>
            </w:r>
            <w:r w:rsidRPr="00CC7D67">
              <w:t> = objectif à l’échelle du parc de l’UE</w:t>
            </w:r>
            <w:r w:rsidRPr="00CC7D67">
              <w:rPr>
                <w:vertAlign w:val="subscript"/>
              </w:rPr>
              <w:t>2021</w:t>
            </w:r>
            <w:r w:rsidRPr="00CC7D67">
              <w:t xml:space="preserve"> </w:t>
            </w:r>
            <w:r w:rsidR="00546117">
              <w:t>·</w:t>
            </w:r>
            <w:r w:rsidRPr="00CC7D67">
              <w:t xml:space="preserve"> (1- facteur de réduction</w:t>
            </w:r>
            <w:r w:rsidRPr="00CC7D67">
              <w:rPr>
                <w:vertAlign w:val="subscript"/>
              </w:rPr>
              <w:t>2025</w:t>
            </w:r>
            <w:r w:rsidRPr="00CC7D67">
              <w:t>)</w:t>
            </w:r>
          </w:p>
        </w:tc>
        <w:tc>
          <w:tcPr>
            <w:tcW w:w="4876" w:type="dxa"/>
            <w:hideMark/>
          </w:tcPr>
          <w:p w:rsidR="00B0509C" w:rsidRPr="00CC7D67" w:rsidRDefault="00B0509C" w:rsidP="00B0509C">
            <w:pPr>
              <w:pStyle w:val="Normal6"/>
              <w:rPr>
                <w:color w:val="000005"/>
                <w:szCs w:val="24"/>
              </w:rPr>
            </w:pPr>
            <w:r w:rsidRPr="00CC7D67">
              <w:rPr>
                <w:b/>
                <w:i/>
              </w:rPr>
              <w:t>Objectif à l’échelle du parc de l’UE</w:t>
            </w:r>
            <w:r w:rsidRPr="00CC7D67">
              <w:rPr>
                <w:b/>
                <w:i/>
                <w:vertAlign w:val="subscript"/>
              </w:rPr>
              <w:t>2022</w:t>
            </w:r>
            <w:r w:rsidRPr="00CC7D67">
              <w:rPr>
                <w:b/>
                <w:i/>
              </w:rPr>
              <w:t> = objectif à l’échelle du parc de l’UE</w:t>
            </w:r>
            <w:r w:rsidRPr="00CC7D67">
              <w:rPr>
                <w:b/>
                <w:i/>
                <w:vertAlign w:val="subscript"/>
              </w:rPr>
              <w:t>2021</w:t>
            </w:r>
            <w:r w:rsidR="00546117">
              <w:rPr>
                <w:b/>
                <w:i/>
              </w:rPr>
              <w:t xml:space="preserve"> ·</w:t>
            </w:r>
            <w:r w:rsidRPr="00CC7D67">
              <w:rPr>
                <w:b/>
                <w:i/>
              </w:rPr>
              <w:t xml:space="preserve"> (1- facteur de réduction</w:t>
            </w:r>
            <w:r w:rsidRPr="00CC7D67">
              <w:rPr>
                <w:b/>
                <w:i/>
                <w:vertAlign w:val="subscript"/>
              </w:rPr>
              <w:t>2022</w:t>
            </w:r>
            <w:r w:rsidRPr="00CC7D67">
              <w:rPr>
                <w:b/>
                <w:i/>
              </w:rPr>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546117">
            <w:pPr>
              <w:pStyle w:val="Normal6"/>
              <w:rPr>
                <w:color w:val="000005"/>
                <w:szCs w:val="24"/>
              </w:rPr>
            </w:pPr>
            <w:r w:rsidRPr="00CC7D67">
              <w:rPr>
                <w:b/>
                <w:i/>
              </w:rPr>
              <w:t>Objectif à l’échelle du parc de l’UE</w:t>
            </w:r>
            <w:r w:rsidRPr="00CC7D67">
              <w:rPr>
                <w:b/>
                <w:i/>
                <w:vertAlign w:val="subscript"/>
              </w:rPr>
              <w:t>2023</w:t>
            </w:r>
            <w:r w:rsidRPr="00CC7D67">
              <w:rPr>
                <w:b/>
                <w:i/>
              </w:rPr>
              <w:t> = objectif à l’échelle du parc de l’UE</w:t>
            </w:r>
            <w:r w:rsidRPr="00CC7D67">
              <w:rPr>
                <w:b/>
                <w:i/>
                <w:vertAlign w:val="subscript"/>
              </w:rPr>
              <w:t>2021</w:t>
            </w:r>
            <w:r w:rsidRPr="00CC7D67">
              <w:rPr>
                <w:b/>
                <w:i/>
              </w:rPr>
              <w:t xml:space="preserve"> </w:t>
            </w:r>
            <w:r w:rsidR="00546117">
              <w:rPr>
                <w:b/>
                <w:i/>
              </w:rPr>
              <w:t>·</w:t>
            </w:r>
            <w:r w:rsidRPr="00CC7D67">
              <w:rPr>
                <w:b/>
                <w:i/>
              </w:rPr>
              <w:t xml:space="preserve"> (1- facteur de réduction</w:t>
            </w:r>
            <w:r w:rsidRPr="00CC7D67">
              <w:rPr>
                <w:b/>
                <w:i/>
                <w:vertAlign w:val="subscript"/>
              </w:rPr>
              <w:t>2023</w:t>
            </w:r>
            <w:r w:rsidRPr="00CC7D67">
              <w:rPr>
                <w:b/>
                <w:i/>
              </w:rPr>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546117">
            <w:pPr>
              <w:pStyle w:val="Normal6"/>
              <w:rPr>
                <w:color w:val="000005"/>
                <w:szCs w:val="24"/>
              </w:rPr>
            </w:pPr>
            <w:r w:rsidRPr="00CC7D67">
              <w:rPr>
                <w:b/>
                <w:i/>
              </w:rPr>
              <w:t>Objectif à l’échelle du parc de l’UE</w:t>
            </w:r>
            <w:r w:rsidRPr="00CC7D67">
              <w:rPr>
                <w:b/>
                <w:i/>
                <w:vertAlign w:val="subscript"/>
              </w:rPr>
              <w:t>2024</w:t>
            </w:r>
            <w:r w:rsidRPr="00CC7D67">
              <w:rPr>
                <w:b/>
                <w:i/>
              </w:rPr>
              <w:t> = objectif à l’échelle du parc de l’UE</w:t>
            </w:r>
            <w:r w:rsidRPr="00CC7D67">
              <w:rPr>
                <w:b/>
                <w:i/>
                <w:vertAlign w:val="subscript"/>
              </w:rPr>
              <w:t>2021</w:t>
            </w:r>
            <w:r w:rsidRPr="00CC7D67">
              <w:rPr>
                <w:b/>
                <w:i/>
              </w:rPr>
              <w:t xml:space="preserve"> </w:t>
            </w:r>
            <w:r w:rsidR="00546117">
              <w:rPr>
                <w:b/>
                <w:i/>
              </w:rPr>
              <w:t>·</w:t>
            </w:r>
            <w:r w:rsidRPr="00CC7D67">
              <w:rPr>
                <w:b/>
                <w:i/>
              </w:rPr>
              <w:t xml:space="preserve"> (1- facteur de réduction</w:t>
            </w:r>
            <w:r w:rsidRPr="00CC7D67">
              <w:rPr>
                <w:b/>
                <w:i/>
                <w:vertAlign w:val="subscript"/>
              </w:rPr>
              <w:t>2024</w:t>
            </w:r>
            <w:r w:rsidRPr="00CC7D67">
              <w:rPr>
                <w:b/>
                <w:i/>
              </w:rPr>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546117">
            <w:pPr>
              <w:pStyle w:val="Normal6"/>
              <w:rPr>
                <w:szCs w:val="24"/>
              </w:rPr>
            </w:pPr>
            <w:r w:rsidRPr="00CC7D67">
              <w:t>Objectif à l’échelle du parc de l’UE</w:t>
            </w:r>
            <w:r w:rsidRPr="00CC7D67">
              <w:rPr>
                <w:vertAlign w:val="subscript"/>
              </w:rPr>
              <w:t>2025</w:t>
            </w:r>
            <w:r w:rsidRPr="00CC7D67">
              <w:t> = objectif à l’échelle du parc de l’UE</w:t>
            </w:r>
            <w:r w:rsidRPr="00CC7D67">
              <w:rPr>
                <w:vertAlign w:val="subscript"/>
              </w:rPr>
              <w:t>2021</w:t>
            </w:r>
            <w:r w:rsidRPr="00CC7D67">
              <w:t xml:space="preserve"> </w:t>
            </w:r>
            <w:r w:rsidR="00546117">
              <w:t>·</w:t>
            </w:r>
            <w:r w:rsidRPr="00CC7D67">
              <w:t xml:space="preserve"> (1- facteur de réduction</w:t>
            </w:r>
            <w:r w:rsidRPr="00CC7D67">
              <w:rPr>
                <w:vertAlign w:val="subscript"/>
              </w:rPr>
              <w:t>2025</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Modifications techniques de l’annexe pour l’introduction de trajectoires de réduction linéaires entre 2022 et 2025 ainsi qu’entre 2026 et 2029 (voir les amendements à l’article premier).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563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546117">
            <w:pPr>
              <w:pStyle w:val="Normal6"/>
              <w:rPr>
                <w:color w:val="0000FA"/>
              </w:rPr>
            </w:pPr>
            <w:r w:rsidRPr="00CC7D67">
              <w:t>Objectif à l’échelle du parc de l’UE</w:t>
            </w:r>
            <w:r w:rsidRPr="00CC7D67">
              <w:rPr>
                <w:b/>
                <w:i/>
                <w:vertAlign w:val="subscript"/>
              </w:rPr>
              <w:t>2025</w:t>
            </w:r>
            <w:r w:rsidRPr="00CC7D67">
              <w:t> = objectif à l’échelle du parc de l’UE</w:t>
            </w:r>
            <w:r w:rsidRPr="00CC7D67">
              <w:rPr>
                <w:vertAlign w:val="subscript"/>
              </w:rPr>
              <w:t>2021</w:t>
            </w:r>
            <w:r w:rsidRPr="00CC7D67">
              <w:t xml:space="preserve"> </w:t>
            </w:r>
            <w:r w:rsidR="00546117">
              <w:t>·</w:t>
            </w:r>
            <w:r w:rsidRPr="00CC7D67">
              <w:t xml:space="preserve"> (1- facteur de réduction</w:t>
            </w:r>
            <w:r w:rsidRPr="00CC7D67">
              <w:rPr>
                <w:b/>
                <w:i/>
                <w:vertAlign w:val="subscript"/>
              </w:rPr>
              <w:t>2025</w:t>
            </w:r>
            <w:r w:rsidRPr="00CC7D67">
              <w:t>)</w:t>
            </w:r>
          </w:p>
        </w:tc>
        <w:tc>
          <w:tcPr>
            <w:tcW w:w="4876" w:type="dxa"/>
            <w:hideMark/>
          </w:tcPr>
          <w:p w:rsidR="00B0509C" w:rsidRPr="00CC7D67" w:rsidRDefault="00B0509C" w:rsidP="00546117">
            <w:pPr>
              <w:pStyle w:val="Normal6"/>
              <w:rPr>
                <w:szCs w:val="24"/>
              </w:rPr>
            </w:pPr>
            <w:r w:rsidRPr="00CC7D67">
              <w:t>Objectif à l’échelle du parc de l’UE</w:t>
            </w:r>
            <w:r w:rsidRPr="00CC7D67">
              <w:rPr>
                <w:b/>
                <w:i/>
                <w:vertAlign w:val="subscript"/>
              </w:rPr>
              <w:t>2026</w:t>
            </w:r>
            <w:r w:rsidRPr="00CC7D67">
              <w:t> = objectif à l’échelle du parc de l’UE</w:t>
            </w:r>
            <w:r w:rsidRPr="00CC7D67">
              <w:rPr>
                <w:vertAlign w:val="subscript"/>
              </w:rPr>
              <w:t>2021</w:t>
            </w:r>
            <w:r w:rsidRPr="00CC7D67">
              <w:t xml:space="preserve"> </w:t>
            </w:r>
            <w:r w:rsidR="00546117">
              <w:t>·</w:t>
            </w:r>
            <w:r w:rsidRPr="00CC7D67">
              <w:t xml:space="preserve"> (1- facteur de réduction</w:t>
            </w:r>
            <w:r w:rsidRPr="00CC7D67">
              <w:rPr>
                <w:b/>
                <w:i/>
                <w:vertAlign w:val="subscript"/>
              </w:rPr>
              <w:t>2026</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564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Gerben-Jan Gerbrandy</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6.1.1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de réduction</w:t>
            </w:r>
            <w:r w:rsidRPr="00CC7D67">
              <w:rPr>
                <w:vertAlign w:val="subscript"/>
              </w:rPr>
              <w:t>2025</w:t>
            </w:r>
            <w:r w:rsidRPr="00CC7D67">
              <w:t xml:space="preserve"> est </w:t>
            </w:r>
            <w:r w:rsidRPr="00CC7D67">
              <w:rPr>
                <w:b/>
                <w:i/>
              </w:rPr>
              <w:t>la réduction spécifiée</w:t>
            </w:r>
            <w:r w:rsidRPr="00CC7D67">
              <w:t xml:space="preserve"> à l’article 1</w:t>
            </w:r>
            <w:r w:rsidRPr="00CC7D67">
              <w:rPr>
                <w:vertAlign w:val="superscript"/>
              </w:rPr>
              <w:t>er</w:t>
            </w:r>
            <w:r w:rsidRPr="00CC7D67">
              <w:t>, paragraphe 4, point b).</w:t>
            </w:r>
          </w:p>
        </w:tc>
        <w:tc>
          <w:tcPr>
            <w:tcW w:w="4876" w:type="dxa"/>
            <w:hideMark/>
          </w:tcPr>
          <w:p w:rsidR="00B0509C" w:rsidRPr="00CC7D67" w:rsidRDefault="00B0509C" w:rsidP="00B0509C">
            <w:pPr>
              <w:pStyle w:val="Normal6"/>
              <w:rPr>
                <w:color w:val="000005"/>
                <w:szCs w:val="24"/>
              </w:rPr>
            </w:pPr>
            <w:r w:rsidRPr="00CC7D67">
              <w:rPr>
                <w:b/>
                <w:i/>
              </w:rPr>
              <w:t>facteur de réduction</w:t>
            </w:r>
            <w:r w:rsidRPr="00CC7D67">
              <w:rPr>
                <w:b/>
                <w:i/>
                <w:vertAlign w:val="subscript"/>
              </w:rPr>
              <w:t>2022</w:t>
            </w:r>
            <w:r w:rsidRPr="00CC7D67">
              <w:t xml:space="preserve"> </w:t>
            </w:r>
            <w:r w:rsidRPr="00CC7D67">
              <w:rPr>
                <w:b/>
                <w:i/>
              </w:rPr>
              <w:t>est égal à 6,25 %;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facteur de réduction</w:t>
            </w:r>
            <w:r w:rsidRPr="00CC7D67">
              <w:rPr>
                <w:b/>
                <w:i/>
                <w:vertAlign w:val="subscript"/>
              </w:rPr>
              <w:t>2023</w:t>
            </w:r>
            <w:r w:rsidRPr="00CC7D67">
              <w:t xml:space="preserve"> </w:t>
            </w:r>
            <w:r w:rsidRPr="00CC7D67">
              <w:rPr>
                <w:b/>
                <w:i/>
              </w:rPr>
              <w:t>est égal à 12,5 %;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facteur de réduction</w:t>
            </w:r>
            <w:r w:rsidRPr="00CC7D67">
              <w:rPr>
                <w:b/>
                <w:i/>
                <w:vertAlign w:val="subscript"/>
              </w:rPr>
              <w:t>2024</w:t>
            </w:r>
            <w:r w:rsidRPr="00CC7D67">
              <w:t xml:space="preserve"> </w:t>
            </w:r>
            <w:r w:rsidRPr="00CC7D67">
              <w:rPr>
                <w:b/>
                <w:i/>
              </w:rPr>
              <w:t>est égal à 18,75 %;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t>facteur de réduction</w:t>
            </w:r>
            <w:r w:rsidRPr="00CC7D67">
              <w:rPr>
                <w:vertAlign w:val="subscript"/>
              </w:rPr>
              <w:t>2025</w:t>
            </w:r>
            <w:r w:rsidRPr="00CC7D67">
              <w:t xml:space="preserve"> est </w:t>
            </w:r>
            <w:r w:rsidRPr="00CC7D67">
              <w:rPr>
                <w:b/>
                <w:i/>
              </w:rPr>
              <w:t>égal à 25 % (comme prévu</w:t>
            </w:r>
            <w:r w:rsidRPr="00CC7D67">
              <w:t xml:space="preserve"> à l’article 1</w:t>
            </w:r>
            <w:r w:rsidRPr="00CC7D67">
              <w:rPr>
                <w:vertAlign w:val="superscript"/>
              </w:rPr>
              <w:t>er</w:t>
            </w:r>
            <w:r w:rsidRPr="00CC7D67">
              <w:t>, paragraphe 4, point b)</w:t>
            </w:r>
            <w:r w:rsidRPr="00CC7D67">
              <w:rPr>
                <w:b/>
                <w:i/>
              </w:rPr>
              <w:t>)</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Modifications techniques de l’annexe pour l’introduction de trajectoires de réduction linéaires entre 2022 et 2025 ainsi qu’entre 2026 et 2029 (voir les amendements à l’article premier).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565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6.1.1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de réduction</w:t>
            </w:r>
            <w:r w:rsidRPr="00CC7D67">
              <w:rPr>
                <w:b/>
                <w:i/>
                <w:vertAlign w:val="subscript"/>
              </w:rPr>
              <w:t>2025</w:t>
            </w:r>
            <w:r w:rsidRPr="00CC7D67">
              <w:t xml:space="preserve"> est la réduction spécifiée à l’article 1</w:t>
            </w:r>
            <w:r w:rsidRPr="00CC7D67">
              <w:rPr>
                <w:vertAlign w:val="superscript"/>
              </w:rPr>
              <w:t>er</w:t>
            </w:r>
            <w:r w:rsidRPr="00CC7D67">
              <w:t>, paragraphe 4, point b).</w:t>
            </w:r>
          </w:p>
        </w:tc>
        <w:tc>
          <w:tcPr>
            <w:tcW w:w="4876" w:type="dxa"/>
            <w:hideMark/>
          </w:tcPr>
          <w:p w:rsidR="00B0509C" w:rsidRPr="00CC7D67" w:rsidRDefault="00B0509C" w:rsidP="00B0509C">
            <w:pPr>
              <w:pStyle w:val="Normal6"/>
              <w:rPr>
                <w:szCs w:val="24"/>
              </w:rPr>
            </w:pPr>
            <w:r w:rsidRPr="00CC7D67">
              <w:t>facteur de réduction</w:t>
            </w:r>
            <w:r w:rsidRPr="00CC7D67">
              <w:rPr>
                <w:b/>
                <w:i/>
                <w:vertAlign w:val="subscript"/>
              </w:rPr>
              <w:t>2026</w:t>
            </w:r>
            <w:r w:rsidRPr="00CC7D67">
              <w:t xml:space="preserve"> est la réduction spécifiée à l’article 1</w:t>
            </w:r>
            <w:r w:rsidRPr="00CC7D67">
              <w:rPr>
                <w:vertAlign w:val="superscript"/>
              </w:rPr>
              <w:t>er</w:t>
            </w:r>
            <w:r w:rsidRPr="00CC7D67">
              <w:t>, paragraphe 4, point b).</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566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Gerben-Jan Gerbrandy</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6.1.1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6.1.1 bis.</w:t>
            </w:r>
            <w:r w:rsidRPr="00CC7D67">
              <w:rPr>
                <w:b/>
                <w:i/>
              </w:rPr>
              <w:tab/>
              <w:t>6.1.1 bis. Objectifs à l’échelle du parc de l’UE entre 2026 et 2029</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Objectif à l’échelle du parc de l’UE</w:t>
            </w:r>
            <w:r w:rsidRPr="00CC7D67">
              <w:rPr>
                <w:b/>
                <w:i/>
                <w:vertAlign w:val="subscript"/>
              </w:rPr>
              <w:t>2022</w:t>
            </w:r>
            <w:r w:rsidRPr="00CC7D67">
              <w:rPr>
                <w:b/>
                <w:i/>
              </w:rPr>
              <w:t> = objectif à l’échelle du parc de l’UE</w:t>
            </w:r>
            <w:r w:rsidRPr="00CC7D67">
              <w:rPr>
                <w:b/>
                <w:i/>
                <w:vertAlign w:val="subscript"/>
              </w:rPr>
              <w:t>2021</w:t>
            </w:r>
            <w:r w:rsidR="00546117">
              <w:rPr>
                <w:b/>
                <w:i/>
              </w:rPr>
              <w:t xml:space="preserve"> ·</w:t>
            </w:r>
            <w:r w:rsidRPr="00CC7D67">
              <w:rPr>
                <w:b/>
                <w:i/>
              </w:rPr>
              <w:t xml:space="preserve"> (1- facteur de réduction</w:t>
            </w:r>
            <w:r w:rsidRPr="00CC7D67">
              <w:rPr>
                <w:b/>
                <w:i/>
                <w:vertAlign w:val="subscript"/>
              </w:rPr>
              <w:t>2026</w:t>
            </w:r>
            <w:r w:rsidRPr="00CC7D67">
              <w:rPr>
                <w:b/>
                <w:i/>
              </w:rPr>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Objectif à l’échelle du parc de l’UE</w:t>
            </w:r>
            <w:r w:rsidRPr="00CC7D67">
              <w:rPr>
                <w:b/>
                <w:i/>
                <w:vertAlign w:val="subscript"/>
              </w:rPr>
              <w:t>2023</w:t>
            </w:r>
            <w:r w:rsidRPr="00CC7D67">
              <w:rPr>
                <w:b/>
                <w:i/>
              </w:rPr>
              <w:t> = objectif à l’échelle du parc de l’UE</w:t>
            </w:r>
            <w:r w:rsidRPr="00CC7D67">
              <w:rPr>
                <w:b/>
                <w:i/>
                <w:vertAlign w:val="subscript"/>
              </w:rPr>
              <w:t>2021</w:t>
            </w:r>
            <w:r w:rsidR="00546117">
              <w:rPr>
                <w:b/>
                <w:i/>
              </w:rPr>
              <w:t xml:space="preserve"> ·</w:t>
            </w:r>
            <w:r w:rsidRPr="00CC7D67">
              <w:rPr>
                <w:b/>
                <w:i/>
              </w:rPr>
              <w:t xml:space="preserve"> (1- facteur de réduction</w:t>
            </w:r>
            <w:r w:rsidRPr="00CC7D67">
              <w:rPr>
                <w:b/>
                <w:i/>
                <w:vertAlign w:val="subscript"/>
              </w:rPr>
              <w:t>2027</w:t>
            </w:r>
            <w:r w:rsidRPr="00CC7D67">
              <w:rPr>
                <w:b/>
                <w:i/>
              </w:rPr>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546117">
            <w:pPr>
              <w:pStyle w:val="Normal6"/>
              <w:rPr>
                <w:color w:val="000005"/>
                <w:szCs w:val="24"/>
              </w:rPr>
            </w:pPr>
            <w:r w:rsidRPr="00CC7D67">
              <w:rPr>
                <w:b/>
                <w:i/>
              </w:rPr>
              <w:t>Objectif à l’échelle du parc de l’UE</w:t>
            </w:r>
            <w:r w:rsidRPr="00CC7D67">
              <w:rPr>
                <w:b/>
                <w:i/>
                <w:vertAlign w:val="subscript"/>
              </w:rPr>
              <w:t>2024</w:t>
            </w:r>
            <w:r w:rsidRPr="00CC7D67">
              <w:rPr>
                <w:b/>
                <w:i/>
              </w:rPr>
              <w:t> = objectif à l’échelle du parc de l’UE</w:t>
            </w:r>
            <w:r w:rsidRPr="00CC7D67">
              <w:rPr>
                <w:b/>
                <w:i/>
                <w:vertAlign w:val="subscript"/>
              </w:rPr>
              <w:t>2021</w:t>
            </w:r>
            <w:r w:rsidRPr="00CC7D67">
              <w:rPr>
                <w:b/>
                <w:i/>
              </w:rPr>
              <w:t xml:space="preserve"> </w:t>
            </w:r>
            <w:r w:rsidR="00546117">
              <w:rPr>
                <w:b/>
                <w:i/>
              </w:rPr>
              <w:t>·</w:t>
            </w:r>
            <w:r w:rsidRPr="00CC7D67">
              <w:rPr>
                <w:b/>
                <w:i/>
              </w:rPr>
              <w:t xml:space="preserve"> (1- facteur de réduction</w:t>
            </w:r>
            <w:r w:rsidRPr="00CC7D67">
              <w:rPr>
                <w:b/>
                <w:i/>
                <w:vertAlign w:val="subscript"/>
              </w:rPr>
              <w:t>2028</w:t>
            </w:r>
            <w:r w:rsidRPr="00CC7D67">
              <w:rPr>
                <w:b/>
                <w:i/>
              </w:rPr>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Objectif à l’échelle du parc de l’UE</w:t>
            </w:r>
            <w:r w:rsidRPr="00CC7D67">
              <w:rPr>
                <w:b/>
                <w:i/>
                <w:vertAlign w:val="subscript"/>
              </w:rPr>
              <w:t>2025</w:t>
            </w:r>
            <w:r w:rsidRPr="00CC7D67">
              <w:rPr>
                <w:b/>
                <w:i/>
              </w:rPr>
              <w:t> = objectif à l’échelle du parc de l’UE</w:t>
            </w:r>
            <w:r w:rsidRPr="00CC7D67">
              <w:rPr>
                <w:b/>
                <w:i/>
                <w:vertAlign w:val="subscript"/>
              </w:rPr>
              <w:t>2021</w:t>
            </w:r>
            <w:r w:rsidR="00546117">
              <w:rPr>
                <w:b/>
                <w:i/>
              </w:rPr>
              <w:t xml:space="preserve"> ·</w:t>
            </w:r>
            <w:r w:rsidRPr="00CC7D67">
              <w:rPr>
                <w:b/>
                <w:i/>
              </w:rPr>
              <w:t xml:space="preserve"> (1- facteur de réduction</w:t>
            </w:r>
            <w:r w:rsidRPr="00CC7D67">
              <w:rPr>
                <w:b/>
                <w:i/>
                <w:vertAlign w:val="subscript"/>
              </w:rPr>
              <w:t>2029</w:t>
            </w:r>
            <w:r w:rsidRPr="00CC7D67">
              <w:rPr>
                <w:b/>
                <w:i/>
              </w:rPr>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où: objectif à l’échelle du parc de l’UE</w:t>
            </w:r>
            <w:r w:rsidRPr="00CC7D67">
              <w:rPr>
                <w:b/>
                <w:i/>
                <w:vertAlign w:val="subscript"/>
              </w:rPr>
              <w:t>2021</w:t>
            </w:r>
            <w:r w:rsidRPr="00CC7D67">
              <w:rPr>
                <w:b/>
                <w:i/>
              </w:rPr>
              <w:t xml:space="preserve"> est la moyenne, pondérée par le nombre de voitures nouvellement immatriculées de chaque constructeur individuel, des objectifs d’émissions spécifiques déterminés pour chaque constructeur individuel en 2021 conformément au point 4 de la présente annexe;</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facteur de réduction</w:t>
            </w:r>
            <w:r w:rsidRPr="00CC7D67">
              <w:rPr>
                <w:b/>
                <w:i/>
                <w:vertAlign w:val="subscript"/>
              </w:rPr>
              <w:t>2026</w:t>
            </w:r>
            <w:r w:rsidRPr="00CC7D67">
              <w:t xml:space="preserve"> </w:t>
            </w:r>
            <w:r w:rsidRPr="00CC7D67">
              <w:rPr>
                <w:b/>
                <w:i/>
              </w:rPr>
              <w:t>est égal à 30 %;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facteur de réduction</w:t>
            </w:r>
            <w:r w:rsidRPr="00CC7D67">
              <w:rPr>
                <w:b/>
                <w:i/>
                <w:vertAlign w:val="subscript"/>
              </w:rPr>
              <w:t>2027</w:t>
            </w:r>
            <w:r w:rsidRPr="00CC7D67">
              <w:t xml:space="preserve"> </w:t>
            </w:r>
            <w:r w:rsidRPr="00CC7D67">
              <w:rPr>
                <w:b/>
                <w:i/>
              </w:rPr>
              <w:t>est égal à 35 %;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facteur de réduction</w:t>
            </w:r>
            <w:r w:rsidRPr="00CC7D67">
              <w:rPr>
                <w:b/>
                <w:i/>
                <w:vertAlign w:val="subscript"/>
              </w:rPr>
              <w:t>2028</w:t>
            </w:r>
            <w:r w:rsidRPr="00CC7D67">
              <w:t xml:space="preserve"> </w:t>
            </w:r>
            <w:r w:rsidRPr="00CC7D67">
              <w:rPr>
                <w:b/>
                <w:i/>
              </w:rPr>
              <w:t>est égal à 40 %;</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facteur de réduction</w:t>
            </w:r>
            <w:r w:rsidRPr="00CC7D67">
              <w:rPr>
                <w:b/>
                <w:i/>
                <w:vertAlign w:val="subscript"/>
              </w:rPr>
              <w:t>2029</w:t>
            </w:r>
            <w:r w:rsidRPr="00CC7D67">
              <w:t xml:space="preserve"> </w:t>
            </w:r>
            <w:r w:rsidRPr="00CC7D67">
              <w:rPr>
                <w:b/>
                <w:i/>
              </w:rPr>
              <w:t>est égal à 45 %.</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Modifications techniques de l’annexe pour l’introduction de trajectoires de réduction linéaires entre 2022 et 2025 ainsi qu’entre 2026 et 2029 (voir les amendements à l’article premier).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567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Gerben-Jan Gerbrandy</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6.1.2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546117">
            <w:pPr>
              <w:pStyle w:val="Normal6"/>
              <w:rPr>
                <w:color w:val="0000FA"/>
              </w:rPr>
            </w:pPr>
            <w:r w:rsidRPr="00CC7D67">
              <w:t>Objectif à l’échelle du parc de l’UE</w:t>
            </w:r>
            <w:r w:rsidRPr="00CC7D67">
              <w:rPr>
                <w:b/>
                <w:i/>
                <w:vertAlign w:val="subscript"/>
              </w:rPr>
              <w:t>2030</w:t>
            </w:r>
            <w:r w:rsidRPr="00CC7D67">
              <w:t> = objectif à l’échelle du parc de l’UE</w:t>
            </w:r>
            <w:r w:rsidRPr="00CC7D67">
              <w:rPr>
                <w:vertAlign w:val="subscript"/>
              </w:rPr>
              <w:t>2021</w:t>
            </w:r>
            <w:r w:rsidRPr="00CC7D67">
              <w:t xml:space="preserve"> </w:t>
            </w:r>
            <w:r w:rsidR="00546117">
              <w:t>·</w:t>
            </w:r>
            <w:r w:rsidRPr="00CC7D67">
              <w:t xml:space="preserve"> (1- facteur de réduction</w:t>
            </w:r>
            <w:r w:rsidRPr="00CC7D67">
              <w:rPr>
                <w:b/>
                <w:i/>
                <w:vertAlign w:val="subscript"/>
              </w:rPr>
              <w:t>2030</w:t>
            </w:r>
            <w:r w:rsidRPr="00CC7D67">
              <w:t>)</w:t>
            </w:r>
          </w:p>
        </w:tc>
        <w:tc>
          <w:tcPr>
            <w:tcW w:w="4876" w:type="dxa"/>
            <w:hideMark/>
          </w:tcPr>
          <w:p w:rsidR="00B0509C" w:rsidRPr="00CC7D67" w:rsidRDefault="00B0509C" w:rsidP="00546117">
            <w:pPr>
              <w:pStyle w:val="Normal6"/>
              <w:rPr>
                <w:szCs w:val="24"/>
              </w:rPr>
            </w:pPr>
            <w:r w:rsidRPr="00CC7D67">
              <w:t>Objectif à l’échelle du parc de l’UE</w:t>
            </w:r>
            <w:r w:rsidRPr="00CC7D67">
              <w:rPr>
                <w:b/>
                <w:i/>
                <w:vertAlign w:val="subscript"/>
              </w:rPr>
              <w:t>2030+</w:t>
            </w:r>
            <w:r w:rsidRPr="00CC7D67">
              <w:t> = objectif à l’échelle du parc de l’UE</w:t>
            </w:r>
            <w:r w:rsidRPr="00CC7D67">
              <w:rPr>
                <w:vertAlign w:val="subscript"/>
              </w:rPr>
              <w:t>2021</w:t>
            </w:r>
            <w:r w:rsidRPr="00CC7D67">
              <w:t xml:space="preserve"> </w:t>
            </w:r>
            <w:r w:rsidR="00546117">
              <w:t>·</w:t>
            </w:r>
            <w:r w:rsidRPr="00CC7D67">
              <w:t xml:space="preserve"> (1- facteur de réduction</w:t>
            </w:r>
            <w:r w:rsidRPr="00CC7D67">
              <w:rPr>
                <w:b/>
                <w:i/>
                <w:vertAlign w:val="subscript"/>
              </w:rPr>
              <w:t>2029</w:t>
            </w:r>
            <w:r w:rsidRPr="00CC7D67">
              <w:rPr>
                <w:b/>
                <w:i/>
              </w:rPr>
              <w:t> - facteur de réduction annuel</w:t>
            </w:r>
            <w:r w:rsidRPr="00CC7D67">
              <w:rPr>
                <w:b/>
                <w:i/>
                <w:vertAlign w:val="subscript"/>
              </w:rPr>
              <w:t>2030+</w:t>
            </w:r>
            <w:r w:rsidRPr="00CC7D67">
              <w:rPr>
                <w:b/>
                <w:i/>
              </w:rPr>
              <w:t xml:space="preserve"> </w:t>
            </w:r>
            <w:r w:rsidR="00D10BFD">
              <w:t>·</w:t>
            </w:r>
            <w:r w:rsidRPr="00CC7D67">
              <w:rPr>
                <w:b/>
                <w:i/>
              </w:rPr>
              <w:t xml:space="preserve">  nombre d’années après 2029</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Modifications techniques de l’annexe pour l’introduction d’un facteur de réduction linéaire continue à partir de 2030 (voir les amendements à l’article premier).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568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Gerben-Jan Gerbrandy</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6.1 – point 6.1.2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de réduction</w:t>
            </w:r>
            <w:r w:rsidRPr="00CC7D67">
              <w:rPr>
                <w:b/>
                <w:i/>
                <w:vertAlign w:val="subscript"/>
              </w:rPr>
              <w:t>2030</w:t>
            </w:r>
            <w:r w:rsidRPr="00CC7D67">
              <w:t xml:space="preserve"> est </w:t>
            </w:r>
            <w:r w:rsidRPr="00CC7D67">
              <w:rPr>
                <w:b/>
                <w:i/>
              </w:rPr>
              <w:t>la</w:t>
            </w:r>
            <w:r w:rsidRPr="00CC7D67">
              <w:t xml:space="preserve"> réduction </w:t>
            </w:r>
            <w:r w:rsidRPr="00CC7D67">
              <w:rPr>
                <w:b/>
                <w:i/>
              </w:rPr>
              <w:t>spécifiée</w:t>
            </w:r>
            <w:r w:rsidRPr="00CC7D67">
              <w:t xml:space="preserve"> à l’article 1</w:t>
            </w:r>
            <w:r w:rsidRPr="00CC7D67">
              <w:rPr>
                <w:vertAlign w:val="superscript"/>
              </w:rPr>
              <w:t>er</w:t>
            </w:r>
            <w:r w:rsidRPr="00CC7D67">
              <w:t>, paragraphe </w:t>
            </w:r>
            <w:r w:rsidRPr="00CC7D67">
              <w:rPr>
                <w:b/>
                <w:i/>
              </w:rPr>
              <w:t>5, point b)</w:t>
            </w:r>
            <w:r w:rsidRPr="00CC7D67">
              <w:t>.</w:t>
            </w:r>
          </w:p>
        </w:tc>
        <w:tc>
          <w:tcPr>
            <w:tcW w:w="4876" w:type="dxa"/>
            <w:hideMark/>
          </w:tcPr>
          <w:p w:rsidR="00B0509C" w:rsidRPr="00CC7D67" w:rsidRDefault="00B0509C" w:rsidP="00B0509C">
            <w:pPr>
              <w:pStyle w:val="Normal6"/>
              <w:rPr>
                <w:szCs w:val="24"/>
              </w:rPr>
            </w:pPr>
            <w:r w:rsidRPr="00CC7D67">
              <w:t xml:space="preserve">Facteur de réduction </w:t>
            </w:r>
            <w:r w:rsidRPr="00CC7D67">
              <w:rPr>
                <w:b/>
                <w:i/>
              </w:rPr>
              <w:t>annuel</w:t>
            </w:r>
            <w:r w:rsidRPr="00CC7D67">
              <w:rPr>
                <w:b/>
                <w:i/>
                <w:vertAlign w:val="subscript"/>
              </w:rPr>
              <w:t>2030+</w:t>
            </w:r>
            <w:r w:rsidRPr="00CC7D67">
              <w:t xml:space="preserve"> est </w:t>
            </w:r>
            <w:r w:rsidRPr="00CC7D67">
              <w:rPr>
                <w:b/>
                <w:i/>
              </w:rPr>
              <w:t>un facteur de</w:t>
            </w:r>
            <w:r w:rsidRPr="00CC7D67">
              <w:t xml:space="preserve"> réduction </w:t>
            </w:r>
            <w:r w:rsidRPr="00CC7D67">
              <w:rPr>
                <w:b/>
                <w:i/>
              </w:rPr>
              <w:t>annuel continu de 5 % (comme prévu</w:t>
            </w:r>
            <w:r w:rsidRPr="00CC7D67">
              <w:t xml:space="preserve"> à l’article 1</w:t>
            </w:r>
            <w:r w:rsidRPr="00CC7D67">
              <w:rPr>
                <w:vertAlign w:val="superscript"/>
              </w:rPr>
              <w:t>er</w:t>
            </w:r>
            <w:r w:rsidRPr="00CC7D67">
              <w:t>, paragraphe </w:t>
            </w:r>
            <w:r w:rsidRPr="00CC7D67">
              <w:rPr>
                <w:b/>
                <w:i/>
              </w:rPr>
              <w:t>6</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Modifications techniques de l’annexe pour l’introduction d’un facteur de réduction linéaire continue à partir de 2030 (voir les amendements à l’article premier).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569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w:t>
            </w:r>
            <w:r w:rsidRPr="00CC7D67">
              <w:rPr>
                <w:b/>
                <w:i/>
              </w:rPr>
              <w:tab/>
              <w:t>Objectif d’émissions spécifiques de référence à partir de 2025</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De 2025 à 2029</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rPr>
                <w:b/>
                <w:i/>
              </w:rPr>
              <w:t xml:space="preserve"> + α </w:t>
            </w:r>
            <w:r w:rsidR="00D10BFD">
              <w:t>·</w:t>
            </w:r>
            <w:r w:rsidRPr="00CC7D67">
              <w:rPr>
                <w:b/>
                <w:i/>
              </w:rPr>
              <w:t xml:space="preserve">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xml:space="preserve"> 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2025</w:t>
            </w:r>
            <w:r w:rsidRPr="00CC7D67">
              <w:rPr>
                <w:b/>
                <w:i/>
              </w:rPr>
              <w:t xml:space="preserve"> lorsque la masse d’essai moyenne des véhicules nouvellement immatriculés d’un constructeur est égale ou inférieure à TM</w:t>
            </w:r>
            <w:r w:rsidRPr="00CC7D67">
              <w:rPr>
                <w:b/>
                <w:i/>
                <w:vertAlign w:val="subscript"/>
              </w:rPr>
              <w:t>0</w:t>
            </w:r>
            <w:r w:rsidRPr="00CC7D67">
              <w:rPr>
                <w:b/>
                <w:i/>
              </w:rPr>
              <w:t xml:space="preserve"> déterminée conformément à l’article 13, paragraphe 1, point d), et à a</w:t>
            </w:r>
            <w:r w:rsidRPr="00CC7D67">
              <w:rPr>
                <w:b/>
                <w:i/>
                <w:vertAlign w:val="subscript"/>
              </w:rPr>
              <w:t>2021</w:t>
            </w:r>
            <w:r w:rsidRPr="00CC7D67">
              <w:rPr>
                <w:b/>
                <w:i/>
              </w:rPr>
              <w:t xml:space="preserve"> lorsque la masse d’essai moyenne des véhicules nouvellement immatriculés d’un constructeur est supérieure à TM</w:t>
            </w:r>
            <w:r w:rsidRPr="00CC7D67">
              <w:rPr>
                <w:b/>
                <w:i/>
                <w:vertAlign w:val="subscript"/>
              </w:rPr>
              <w:t>0</w:t>
            </w:r>
            <w:r w:rsidRPr="00CC7D67">
              <w:rPr>
                <w:b/>
                <w:i/>
              </w:rPr>
              <w:t xml:space="preserve">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6.2.2.</w:t>
            </w:r>
            <w:r w:rsidRPr="00CC7D67">
              <w:rPr>
                <w:b/>
                <w:i/>
              </w:rPr>
              <w:tab/>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À partir de 2030</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 objectif à l’échelle du parc de l’UE</w:t>
            </w:r>
            <w:r w:rsidRPr="00CC7D67">
              <w:rPr>
                <w:b/>
                <w:i/>
                <w:vertAlign w:val="subscript"/>
              </w:rPr>
              <w:t>2030</w:t>
            </w:r>
            <w:r w:rsidRPr="00CC7D67">
              <w:rPr>
                <w:b/>
                <w:i/>
              </w:rPr>
              <w:t xml:space="preserve"> + α </w:t>
            </w:r>
            <w:r w:rsidR="00D10BFD">
              <w:t>·</w:t>
            </w:r>
            <w:r w:rsidRPr="00CC7D67">
              <w:rPr>
                <w:b/>
                <w:i/>
              </w:rPr>
              <w:t xml:space="preserve">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2030</w:t>
            </w:r>
            <w:r w:rsidRPr="00CC7D67">
              <w:rPr>
                <w:b/>
                <w:i/>
              </w:rPr>
              <w:t xml:space="preserve"> est déterminé conformément au point 6.1.2;</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2030</w:t>
            </w:r>
            <w:r w:rsidRPr="00CC7D67">
              <w:rPr>
                <w:b/>
                <w:i/>
              </w:rPr>
              <w:t xml:space="preserve"> lorsque la masse d’essai moyenne des véhicules nouvellement immatriculés d’un constructeur est égale ou inférieure à TM</w:t>
            </w:r>
            <w:r w:rsidRPr="00CC7D67">
              <w:rPr>
                <w:b/>
                <w:i/>
                <w:vertAlign w:val="subscript"/>
              </w:rPr>
              <w:t>0</w:t>
            </w:r>
            <w:r w:rsidRPr="00CC7D67">
              <w:rPr>
                <w:b/>
                <w:i/>
              </w:rPr>
              <w:t xml:space="preserve"> déterminée conformément à l’article 13, paragraphe 1, point d), et à a</w:t>
            </w:r>
            <w:r w:rsidRPr="00CC7D67">
              <w:rPr>
                <w:b/>
                <w:i/>
                <w:vertAlign w:val="subscript"/>
              </w:rPr>
              <w:t>2021</w:t>
            </w:r>
            <w:r w:rsidRPr="00CC7D67">
              <w:rPr>
                <w:b/>
                <w:i/>
              </w:rPr>
              <w:t xml:space="preserve"> lorsque la masse d’essai moyenne des véhicules nouvellement immatriculés d’un constructeur est supérieure à TM</w:t>
            </w:r>
            <w:r w:rsidRPr="00CC7D67">
              <w:rPr>
                <w:b/>
                <w:i/>
                <w:vertAlign w:val="subscript"/>
              </w:rPr>
              <w:t>0</w:t>
            </w:r>
            <w:r w:rsidRPr="00CC7D67">
              <w:rPr>
                <w:b/>
                <w:i/>
              </w:rPr>
              <w:t xml:space="preserve">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2030</w:t>
            </w:r>
            <w:r w:rsidRPr="00CC7D67">
              <w:rPr>
                <w:vertAlign w:val="subscript"/>
              </w:rPr>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570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w:t>
            </w:r>
            <w:r w:rsidRPr="00CC7D67">
              <w:rPr>
                <w:b/>
                <w:i/>
              </w:rPr>
              <w:tab/>
              <w:t>Objectif d’émissions spécifiques de référence à partir de 2025</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De 2025 à 2029</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rPr>
                <w:b/>
                <w:i/>
              </w:rPr>
              <w:t xml:space="preserve"> + α </w:t>
            </w:r>
            <w:r w:rsidR="00D10BFD">
              <w:t>·</w:t>
            </w:r>
            <w:r w:rsidRPr="00CC7D67">
              <w:rPr>
                <w:b/>
                <w:i/>
              </w:rPr>
              <w:t xml:space="preserve">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xml:space="preserve"> 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2025</w:t>
            </w:r>
            <w:r w:rsidRPr="00CC7D67">
              <w:rPr>
                <w:b/>
                <w:i/>
              </w:rPr>
              <w:t xml:space="preserve"> lorsque la masse d’essai moyenne des véhicules nouvellement immatriculés d’un constructeur est égale ou inférieure à TM</w:t>
            </w:r>
            <w:r w:rsidRPr="00CC7D67">
              <w:rPr>
                <w:b/>
                <w:i/>
                <w:vertAlign w:val="subscript"/>
              </w:rPr>
              <w:t>0</w:t>
            </w:r>
            <w:r w:rsidRPr="00CC7D67">
              <w:rPr>
                <w:b/>
                <w:i/>
              </w:rPr>
              <w:t xml:space="preserve"> déterminée conformément à l’article 13, paragraphe 1, point d), et à a</w:t>
            </w:r>
            <w:r w:rsidRPr="00CC7D67">
              <w:rPr>
                <w:b/>
                <w:i/>
                <w:vertAlign w:val="subscript"/>
              </w:rPr>
              <w:t>2021</w:t>
            </w:r>
            <w:r w:rsidRPr="00CC7D67">
              <w:rPr>
                <w:b/>
                <w:i/>
              </w:rPr>
              <w:t xml:space="preserve"> lorsque la masse d’essai moyenne des véhicules nouvellement immatriculés d’un constructeur est supérieure à TM</w:t>
            </w:r>
            <w:r w:rsidRPr="00CC7D67">
              <w:rPr>
                <w:b/>
                <w:i/>
                <w:vertAlign w:val="subscript"/>
              </w:rPr>
              <w:t>0</w:t>
            </w:r>
            <w:r w:rsidRPr="00CC7D67">
              <w:rPr>
                <w:b/>
                <w:i/>
              </w:rPr>
              <w:t xml:space="preserve">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6.2.2.</w:t>
            </w:r>
            <w:r w:rsidRPr="00CC7D67">
              <w:rPr>
                <w:b/>
                <w:i/>
              </w:rPr>
              <w:tab/>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À partir de 2030</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 objectif à l’échelle du parc de l’UE</w:t>
            </w:r>
            <w:r w:rsidRPr="00CC7D67">
              <w:rPr>
                <w:b/>
                <w:i/>
                <w:vertAlign w:val="subscript"/>
              </w:rPr>
              <w:t>2030</w:t>
            </w:r>
            <w:r w:rsidRPr="00CC7D67">
              <w:rPr>
                <w:b/>
                <w:i/>
              </w:rPr>
              <w:t xml:space="preserve"> + α </w:t>
            </w:r>
            <w:r w:rsidR="00D10BFD">
              <w:t>·</w:t>
            </w:r>
            <w:r w:rsidRPr="00CC7D67">
              <w:rPr>
                <w:b/>
                <w:i/>
              </w:rPr>
              <w:t xml:space="preserve">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2030</w:t>
            </w:r>
            <w:r w:rsidRPr="00CC7D67">
              <w:rPr>
                <w:b/>
                <w:i/>
              </w:rPr>
              <w:t xml:space="preserve"> est déterminé conformément au point 6.1.2;</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2030</w:t>
            </w:r>
            <w:r w:rsidRPr="00CC7D67">
              <w:rPr>
                <w:b/>
                <w:i/>
              </w:rPr>
              <w:t xml:space="preserve"> lorsque la masse d’essai moyenne des véhicules nouvellement immatriculés d’un constructeur est égale ou inférieure à TM</w:t>
            </w:r>
            <w:r w:rsidRPr="00CC7D67">
              <w:rPr>
                <w:b/>
                <w:i/>
                <w:vertAlign w:val="subscript"/>
              </w:rPr>
              <w:t>0</w:t>
            </w:r>
            <w:r w:rsidRPr="00CC7D67">
              <w:rPr>
                <w:b/>
                <w:i/>
              </w:rPr>
              <w:t xml:space="preserve"> déterminée conformément à l’article 13, paragraphe 1, point d), et à a</w:t>
            </w:r>
            <w:r w:rsidRPr="00CC7D67">
              <w:rPr>
                <w:b/>
                <w:i/>
                <w:vertAlign w:val="subscript"/>
              </w:rPr>
              <w:t>2021</w:t>
            </w:r>
            <w:r w:rsidRPr="00CC7D67">
              <w:rPr>
                <w:b/>
                <w:i/>
              </w:rPr>
              <w:t xml:space="preserve"> lorsque la masse d’essai moyenne des véhicules nouvellement immatriculés d’un constructeur est supérieure à TM</w:t>
            </w:r>
            <w:r w:rsidRPr="00CC7D67">
              <w:rPr>
                <w:b/>
                <w:i/>
                <w:vertAlign w:val="subscript"/>
              </w:rPr>
              <w:t>0</w:t>
            </w:r>
            <w:r w:rsidRPr="00CC7D67">
              <w:rPr>
                <w:b/>
                <w:i/>
              </w:rPr>
              <w:t xml:space="preserve">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2030</w:t>
            </w:r>
            <w:r w:rsidRPr="00CC7D67">
              <w:rPr>
                <w:vertAlign w:val="subscript"/>
              </w:rPr>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Il convient de supprimer entièrement le point 6.2 de la partie B de l’annexe I pour retirer le paramètre d’utilité de la masse du champ d’application du présent règlement.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571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6.2.</w:t>
            </w:r>
            <w:r w:rsidRPr="00CC7D67">
              <w:tab/>
              <w:t>Objectif d’émissions spécifiques de référence à partir de </w:t>
            </w:r>
            <w:r w:rsidRPr="00CC7D67">
              <w:rPr>
                <w:b/>
                <w:i/>
              </w:rPr>
              <w:t>2025</w:t>
            </w:r>
          </w:p>
        </w:tc>
        <w:tc>
          <w:tcPr>
            <w:tcW w:w="4876" w:type="dxa"/>
            <w:hideMark/>
          </w:tcPr>
          <w:p w:rsidR="00B0509C" w:rsidRPr="00CC7D67" w:rsidRDefault="00B0509C" w:rsidP="00B0509C">
            <w:pPr>
              <w:pStyle w:val="Normal6"/>
              <w:rPr>
                <w:szCs w:val="24"/>
              </w:rPr>
            </w:pPr>
            <w:r w:rsidRPr="00CC7D67">
              <w:t>6.2.</w:t>
            </w:r>
            <w:r w:rsidRPr="00CC7D67">
              <w:tab/>
              <w:t>Objectif d’émissions spécifiques de référence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572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6.2.</w:t>
            </w:r>
            <w:r w:rsidRPr="00CC7D67">
              <w:tab/>
              <w:t>Objectif d’émissions spécifiques de référence à partir de </w:t>
            </w:r>
            <w:r w:rsidRPr="00CC7D67">
              <w:rPr>
                <w:b/>
                <w:i/>
              </w:rPr>
              <w:t>2025</w:t>
            </w:r>
          </w:p>
        </w:tc>
        <w:tc>
          <w:tcPr>
            <w:tcW w:w="4876" w:type="dxa"/>
            <w:hideMark/>
          </w:tcPr>
          <w:p w:rsidR="00B0509C" w:rsidRPr="00CC7D67" w:rsidRDefault="00B0509C" w:rsidP="00B0509C">
            <w:pPr>
              <w:pStyle w:val="Normal6"/>
              <w:rPr>
                <w:szCs w:val="24"/>
              </w:rPr>
            </w:pPr>
            <w:r w:rsidRPr="00CC7D67">
              <w:t>6.2.</w:t>
            </w:r>
            <w:r w:rsidRPr="00CC7D67">
              <w:tab/>
              <w:t>Objectif d’émissions spécifiques de référence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573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6.2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6.2.</w:t>
            </w:r>
            <w:r w:rsidRPr="00CC7D67">
              <w:tab/>
              <w:t>Objectif d’émissions spécifiques de référence à partir de </w:t>
            </w:r>
            <w:r w:rsidRPr="00CC7D67">
              <w:rPr>
                <w:b/>
                <w:i/>
              </w:rPr>
              <w:t>2025</w:t>
            </w:r>
          </w:p>
        </w:tc>
        <w:tc>
          <w:tcPr>
            <w:tcW w:w="4876" w:type="dxa"/>
            <w:hideMark/>
          </w:tcPr>
          <w:p w:rsidR="00B0509C" w:rsidRPr="00CC7D67" w:rsidRDefault="00B0509C" w:rsidP="00B0509C">
            <w:pPr>
              <w:pStyle w:val="Normal6"/>
              <w:rPr>
                <w:szCs w:val="24"/>
              </w:rPr>
            </w:pPr>
            <w:r w:rsidRPr="00CC7D67">
              <w:t>6.2.</w:t>
            </w:r>
            <w:r w:rsidRPr="00CC7D67">
              <w:tab/>
              <w:t>Objectif d’émissions spécifiques de référence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574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6.2.</w:t>
            </w:r>
            <w:r w:rsidRPr="00CC7D67">
              <w:tab/>
              <w:t>Objectif d’émissions spécifiques de référence à partir de </w:t>
            </w:r>
            <w:r w:rsidRPr="00CC7D67">
              <w:rPr>
                <w:b/>
                <w:i/>
              </w:rPr>
              <w:t>2025</w:t>
            </w:r>
          </w:p>
        </w:tc>
        <w:tc>
          <w:tcPr>
            <w:tcW w:w="4876" w:type="dxa"/>
            <w:hideMark/>
          </w:tcPr>
          <w:p w:rsidR="00B0509C" w:rsidRPr="00CC7D67" w:rsidRDefault="00B0509C" w:rsidP="00B0509C">
            <w:pPr>
              <w:pStyle w:val="Normal6"/>
              <w:rPr>
                <w:szCs w:val="24"/>
              </w:rPr>
            </w:pPr>
            <w:r w:rsidRPr="00CC7D67">
              <w:t>6.2.</w:t>
            </w:r>
            <w:r w:rsidRPr="00CC7D67">
              <w:tab/>
              <w:t>Objectif d’émissions spécifiques de référence à partir de </w:t>
            </w:r>
            <w:r w:rsidRPr="00CC7D67">
              <w:rPr>
                <w:b/>
                <w:i/>
              </w:rPr>
              <w:t>2026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Placer l’échéance à 2025 constitue un délai trop bref pour l’objectif proposé étant donné que des éléments dont le secteur a besoin pour fournir des solutions ne seront disponibles qu’en 2022. Les objectifs imposés en matière d’émissions empêchent le secteur de réagir aux changements avec un bon rapport coût-efficacité. Les cycles de production des voitures et des véhicules utilitaires légers rendent le délai de 2025 impossible à respecter.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575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6.2.1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t xml:space="preserve"> </w:t>
            </w:r>
            <w:r w:rsidRPr="00CC7D67">
              <w:rPr>
                <w:b/>
                <w:i/>
              </w:rPr>
              <w:t xml:space="preserve">+ α </w:t>
            </w:r>
            <w:r w:rsidR="00D10BFD">
              <w:t>·</w:t>
            </w:r>
            <w:r w:rsidR="00D10BFD" w:rsidRPr="00CC7D67">
              <w:rPr>
                <w:b/>
                <w:i/>
              </w:rPr>
              <w:t xml:space="preserve"> </w:t>
            </w:r>
            <w:r w:rsidRPr="00CC7D67">
              <w:rPr>
                <w:b/>
                <w:i/>
              </w:rPr>
              <w:t>(TM-TM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t xml:space="preserve"> </w:t>
            </w:r>
            <w:r w:rsidRPr="00CC7D67">
              <w:rPr>
                <w:b/>
                <w:i/>
              </w:rPr>
              <w:t>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2025</w:t>
            </w:r>
            <w:r w:rsidRPr="00CC7D67">
              <w:t xml:space="preserve"> </w:t>
            </w:r>
            <w:r w:rsidRPr="00CC7D67">
              <w:rPr>
                <w:b/>
                <w:i/>
              </w:rPr>
              <w:t>lorsque la masse d’essai moyenne des véhicules nouvellement immatriculés d’un constructeur est égale ou inférieure à TM</w:t>
            </w:r>
            <w:r w:rsidRPr="00CC7D67">
              <w:rPr>
                <w:b/>
                <w:i/>
                <w:vertAlign w:val="subscript"/>
              </w:rPr>
              <w:t>0</w:t>
            </w:r>
            <w:r w:rsidRPr="00CC7D67">
              <w:t xml:space="preserve"> </w:t>
            </w:r>
            <w:r w:rsidRPr="00CC7D67">
              <w:rPr>
                <w:b/>
                <w:i/>
              </w:rPr>
              <w:t>déterminée conformément à l’article 13, paragraphe 1, point d), et à a</w:t>
            </w:r>
            <w:r w:rsidRPr="00CC7D67">
              <w:rPr>
                <w:b/>
                <w:i/>
                <w:vertAlign w:val="subscript"/>
              </w:rPr>
              <w:t>2021</w:t>
            </w:r>
            <w:r w:rsidRPr="00CC7D67">
              <w:t xml:space="preserve"> </w:t>
            </w:r>
            <w:r w:rsidRPr="00CC7D67">
              <w:rPr>
                <w:b/>
                <w:i/>
              </w:rPr>
              <w:t>lorsque la masse d’essai moyenne des véhicules nouvellement immatriculés d’un constructeur est supérieure à TM</w:t>
            </w:r>
            <w:r w:rsidRPr="00CC7D67">
              <w:rPr>
                <w:b/>
                <w:i/>
                <w:vertAlign w:val="subscript"/>
              </w:rPr>
              <w:t>0</w:t>
            </w:r>
            <w:r w:rsidRPr="00CC7D67">
              <w:t xml:space="preserve"> </w:t>
            </w:r>
            <w:r w:rsidRPr="00CC7D67">
              <w:rPr>
                <w:b/>
                <w:i/>
              </w:rPr>
              <w:t>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t xml:space="preserve"> </w:t>
            </w:r>
            <w:r w:rsidRPr="00CC7D67">
              <w:rPr>
                <w:b/>
                <w:i/>
              </w:rPr>
              <w:t>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t xml:space="preserve"> </w:t>
            </w:r>
            <w:r w:rsidRPr="00CC7D67">
              <w:rPr>
                <w:b/>
                <w:i/>
              </w:rPr>
              <w:t>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t xml:space="preserve"> </w:t>
            </w:r>
            <w:r w:rsidRPr="00CC7D67">
              <w:rPr>
                <w:b/>
                <w:i/>
              </w:rPr>
              <w:t>est la moyenne des émissions spécifiques de CO</w:t>
            </w:r>
            <w:r w:rsidRPr="00CC7D67">
              <w:rPr>
                <w:b/>
                <w:i/>
                <w:vertAlign w:val="subscript"/>
              </w:rPr>
              <w:t>2</w:t>
            </w:r>
            <w:r w:rsidRPr="00CC7D67">
              <w:t xml:space="preserve"> </w:t>
            </w:r>
            <w:r w:rsidRPr="00CC7D67">
              <w:rPr>
                <w:b/>
                <w:i/>
              </w:rPr>
              <w:t>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t xml:space="preserve"> </w:t>
            </w:r>
            <w:r w:rsidRPr="00CC7D67">
              <w:rPr>
                <w:b/>
                <w:i/>
              </w:rPr>
              <w:t>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576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rPr>
                <w:b/>
                <w:i/>
              </w:rPr>
              <w:t xml:space="preserve"> + α </w:t>
            </w:r>
            <w:r w:rsidR="00D10BFD">
              <w:t>·</w:t>
            </w:r>
            <w:r w:rsidRPr="00CC7D67">
              <w:rPr>
                <w:b/>
                <w:i/>
              </w:rPr>
              <w:t xml:space="preserve">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xml:space="preserve"> 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2025</w:t>
            </w:r>
            <w:r w:rsidRPr="00CC7D67">
              <w:rPr>
                <w:b/>
                <w:i/>
              </w:rPr>
              <w:t xml:space="preserve"> lorsque la masse d’essai moyenne des véhicules nouvellement immatriculés d’un constructeur est égale ou inférieure à TM</w:t>
            </w:r>
            <w:r w:rsidRPr="00CC7D67">
              <w:rPr>
                <w:b/>
                <w:i/>
                <w:vertAlign w:val="subscript"/>
              </w:rPr>
              <w:t>0</w:t>
            </w:r>
            <w:r w:rsidRPr="00CC7D67">
              <w:rPr>
                <w:b/>
                <w:i/>
              </w:rPr>
              <w:t xml:space="preserve"> déterminée conformément à l’article 13, paragraphe 1, point d), et à a</w:t>
            </w:r>
            <w:r w:rsidRPr="00CC7D67">
              <w:rPr>
                <w:b/>
                <w:i/>
                <w:vertAlign w:val="subscript"/>
              </w:rPr>
              <w:t>2021</w:t>
            </w:r>
            <w:r w:rsidRPr="00CC7D67">
              <w:rPr>
                <w:b/>
                <w:i/>
              </w:rPr>
              <w:t xml:space="preserve"> lorsque la masse d’essai moyenne des véhicules nouvellement immatriculés d’un constructeur est supérieure à TM</w:t>
            </w:r>
            <w:r w:rsidRPr="00CC7D67">
              <w:rPr>
                <w:b/>
                <w:i/>
                <w:vertAlign w:val="subscript"/>
              </w:rPr>
              <w:t>0</w:t>
            </w:r>
            <w:r w:rsidRPr="00CC7D67">
              <w:rPr>
                <w:b/>
                <w:i/>
              </w:rPr>
              <w:t xml:space="preserve">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577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rPr>
                <w:b/>
                <w:i/>
              </w:rPr>
              <w:t xml:space="preserve"> + α </w:t>
            </w:r>
            <w:r w:rsidR="00D10BFD">
              <w:t>·</w:t>
            </w:r>
            <w:r w:rsidRPr="00CC7D67">
              <w:rPr>
                <w:b/>
                <w:i/>
              </w:rPr>
              <w:t xml:space="preserve">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xml:space="preserve"> 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2025</w:t>
            </w:r>
            <w:r w:rsidRPr="00CC7D67">
              <w:rPr>
                <w:b/>
                <w:i/>
              </w:rPr>
              <w:t xml:space="preserve"> lorsque la masse d’essai moyenne des véhicules nouvellement immatriculés d’un constructeur est égale ou inférieure à TM</w:t>
            </w:r>
            <w:r w:rsidRPr="00CC7D67">
              <w:rPr>
                <w:b/>
                <w:i/>
                <w:vertAlign w:val="subscript"/>
              </w:rPr>
              <w:t>0</w:t>
            </w:r>
            <w:r w:rsidRPr="00CC7D67">
              <w:rPr>
                <w:b/>
                <w:i/>
              </w:rPr>
              <w:t xml:space="preserve"> déterminée conformément à l’article 13, paragraphe 1, point d), et à a</w:t>
            </w:r>
            <w:r w:rsidRPr="00CC7D67">
              <w:rPr>
                <w:b/>
                <w:i/>
                <w:vertAlign w:val="subscript"/>
              </w:rPr>
              <w:t>2021</w:t>
            </w:r>
            <w:r w:rsidRPr="00CC7D67">
              <w:rPr>
                <w:b/>
                <w:i/>
              </w:rPr>
              <w:t xml:space="preserve"> lorsque la masse d’essai moyenne des véhicules nouvellement immatriculés d’un constructeur est supérieure à TM</w:t>
            </w:r>
            <w:r w:rsidRPr="00CC7D67">
              <w:rPr>
                <w:b/>
                <w:i/>
                <w:vertAlign w:val="subscript"/>
              </w:rPr>
              <w:t>0</w:t>
            </w:r>
            <w:r w:rsidRPr="00CC7D67">
              <w:rPr>
                <w:b/>
                <w:i/>
              </w:rPr>
              <w:t xml:space="preserve">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578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D10BFD">
            <w:pPr>
              <w:pStyle w:val="Normal6"/>
              <w:rPr>
                <w:color w:val="0000FA"/>
              </w:rPr>
            </w:pPr>
            <w:r w:rsidRPr="00CC7D67">
              <w:rPr>
                <w:b/>
                <w:i/>
              </w:rPr>
              <w:t>Objectif d’émissions spécifiques de référence = objectif à l’échelle du parc de l’UE</w:t>
            </w:r>
            <w:r w:rsidRPr="00CC7D67">
              <w:rPr>
                <w:b/>
                <w:i/>
                <w:vertAlign w:val="subscript"/>
              </w:rPr>
              <w:t>2025</w:t>
            </w:r>
            <w:r w:rsidRPr="00CC7D67">
              <w:rPr>
                <w:b/>
                <w:i/>
              </w:rPr>
              <w:t xml:space="preserve"> + α </w:t>
            </w:r>
            <w:r w:rsidR="00D10BFD">
              <w:t>·</w:t>
            </w:r>
            <w:r w:rsidRPr="00CC7D67">
              <w:rPr>
                <w:b/>
                <w:i/>
              </w:rPr>
              <w:t xml:space="preserve">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2025</w:t>
            </w:r>
            <w:r w:rsidRPr="00CC7D67">
              <w:rPr>
                <w:b/>
                <w:i/>
              </w:rPr>
              <w:t xml:space="preserve"> est déterminé conformément au point 6.1.1;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2025</w:t>
            </w:r>
            <w:r w:rsidRPr="00CC7D67">
              <w:rPr>
                <w:b/>
                <w:i/>
              </w:rPr>
              <w:t xml:space="preserve"> lorsque la masse d’essai moyenne des véhicules nouvellement immatriculés d’un constructeur est égale ou inférieure à TM</w:t>
            </w:r>
            <w:r w:rsidRPr="00CC7D67">
              <w:rPr>
                <w:b/>
                <w:i/>
                <w:vertAlign w:val="subscript"/>
              </w:rPr>
              <w:t>0</w:t>
            </w:r>
            <w:r w:rsidRPr="00CC7D67">
              <w:rPr>
                <w:b/>
                <w:i/>
              </w:rPr>
              <w:t xml:space="preserve"> déterminée conformément à l’article 13, paragraphe 1, point d), et à a</w:t>
            </w:r>
            <w:r w:rsidRPr="00CC7D67">
              <w:rPr>
                <w:b/>
                <w:i/>
                <w:vertAlign w:val="subscript"/>
              </w:rPr>
              <w:t>2021</w:t>
            </w:r>
            <w:r w:rsidRPr="00CC7D67">
              <w:rPr>
                <w:b/>
                <w:i/>
              </w:rPr>
              <w:t xml:space="preserve"> lorsque la masse d’essai moyenne des véhicules nouvellement immatriculés d’un constructeur est supérieure à TM</w:t>
            </w:r>
            <w:r w:rsidRPr="00CC7D67">
              <w:rPr>
                <w:b/>
                <w:i/>
                <w:vertAlign w:val="subscript"/>
              </w:rPr>
              <w:t>0</w:t>
            </w:r>
            <w:r w:rsidRPr="00CC7D67">
              <w:rPr>
                <w:b/>
                <w:i/>
              </w:rPr>
              <w:t xml:space="preserve">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579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De </w:t>
            </w:r>
            <w:r w:rsidRPr="00CC7D67">
              <w:rPr>
                <w:b/>
                <w:i/>
              </w:rPr>
              <w:t>2025</w:t>
            </w:r>
            <w:r w:rsidRPr="00CC7D67">
              <w:t xml:space="preserve"> à 2029</w:t>
            </w:r>
          </w:p>
        </w:tc>
        <w:tc>
          <w:tcPr>
            <w:tcW w:w="4876" w:type="dxa"/>
            <w:hideMark/>
          </w:tcPr>
          <w:p w:rsidR="00B0509C" w:rsidRPr="00CC7D67" w:rsidRDefault="00B0509C" w:rsidP="00B0509C">
            <w:pPr>
              <w:pStyle w:val="Normal6"/>
              <w:rPr>
                <w:szCs w:val="24"/>
              </w:rPr>
            </w:pPr>
            <w:r w:rsidRPr="00CC7D67">
              <w:t>De </w:t>
            </w:r>
            <w:r w:rsidRPr="00CC7D67">
              <w:rPr>
                <w:b/>
                <w:i/>
              </w:rPr>
              <w:t>2026</w:t>
            </w:r>
            <w:r w:rsidRPr="00CC7D67">
              <w:t xml:space="preserve"> à 2029</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580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546117">
            <w:pPr>
              <w:pStyle w:val="Normal6"/>
              <w:rPr>
                <w:color w:val="0000FA"/>
              </w:rPr>
            </w:pPr>
            <w:r w:rsidRPr="00CC7D67">
              <w:t>Objectif d’émissions spécifiques de référence = objectif à l’échelle du parc de l’UE</w:t>
            </w:r>
            <w:r w:rsidRPr="00CC7D67">
              <w:rPr>
                <w:b/>
                <w:i/>
                <w:vertAlign w:val="subscript"/>
              </w:rPr>
              <w:t>2025</w:t>
            </w:r>
            <w:r w:rsidRPr="00CC7D67">
              <w:t xml:space="preserve"> + α </w:t>
            </w:r>
            <w:r w:rsidR="00546117">
              <w:t>·</w:t>
            </w:r>
            <w:r w:rsidRPr="00CC7D67">
              <w:t xml:space="preserve"> (TM-TM</w:t>
            </w:r>
            <w:r w:rsidRPr="00CC7D67">
              <w:rPr>
                <w:vertAlign w:val="subscript"/>
              </w:rPr>
              <w:t>0</w:t>
            </w:r>
            <w:r w:rsidRPr="00CC7D67">
              <w:t>)</w:t>
            </w:r>
          </w:p>
        </w:tc>
        <w:tc>
          <w:tcPr>
            <w:tcW w:w="4876" w:type="dxa"/>
            <w:hideMark/>
          </w:tcPr>
          <w:p w:rsidR="00B0509C" w:rsidRPr="00CC7D67" w:rsidRDefault="00B0509C" w:rsidP="00546117">
            <w:pPr>
              <w:pStyle w:val="Normal6"/>
              <w:rPr>
                <w:szCs w:val="24"/>
              </w:rPr>
            </w:pPr>
            <w:r w:rsidRPr="00CC7D67">
              <w:t>Objectif d’émissions spécifiques de référence = objectif à l’échelle du parc de l’UE</w:t>
            </w:r>
            <w:r w:rsidRPr="00CC7D67">
              <w:rPr>
                <w:b/>
                <w:i/>
                <w:vertAlign w:val="subscript"/>
              </w:rPr>
              <w:t>2026</w:t>
            </w:r>
            <w:r w:rsidRPr="00CC7D67">
              <w:t xml:space="preserve"> + α </w:t>
            </w:r>
            <w:r w:rsidR="00546117">
              <w:t>·</w:t>
            </w:r>
            <w:r w:rsidRPr="00CC7D67">
              <w:t xml:space="preserve"> (TM-TM</w:t>
            </w:r>
            <w:r w:rsidRPr="00CC7D67">
              <w:rPr>
                <w:vertAlign w:val="subscript"/>
              </w:rPr>
              <w:t>0</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581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de référence = objectif à l’échelle du parc de l’UE</w:t>
            </w:r>
            <w:r w:rsidRPr="00CC7D67">
              <w:rPr>
                <w:vertAlign w:val="subscript"/>
              </w:rPr>
              <w:t>2025</w:t>
            </w:r>
            <w:r w:rsidR="00546117">
              <w:rPr>
                <w:b/>
                <w:i/>
              </w:rPr>
              <w:t> + α ·</w:t>
            </w:r>
            <w:r w:rsidRPr="00CC7D67">
              <w:rPr>
                <w:b/>
                <w:i/>
              </w:rPr>
              <w:t xml:space="preserve"> (TM-TM</w:t>
            </w:r>
            <w:r w:rsidRPr="00CC7D67">
              <w:rPr>
                <w:b/>
                <w:i/>
                <w:vertAlign w:val="subscript"/>
              </w:rPr>
              <w:t>0</w:t>
            </w:r>
            <w:r w:rsidRPr="00CC7D67">
              <w:rPr>
                <w:b/>
                <w:i/>
              </w:rPr>
              <w:t>)</w:t>
            </w:r>
          </w:p>
        </w:tc>
        <w:tc>
          <w:tcPr>
            <w:tcW w:w="4876" w:type="dxa"/>
            <w:hideMark/>
          </w:tcPr>
          <w:p w:rsidR="00B0509C" w:rsidRPr="00CC7D67" w:rsidRDefault="00B0509C" w:rsidP="00B0509C">
            <w:pPr>
              <w:pStyle w:val="Normal6"/>
              <w:rPr>
                <w:szCs w:val="24"/>
              </w:rPr>
            </w:pPr>
            <w:r w:rsidRPr="00CC7D67">
              <w:t>Objectif d’émissions spécifiques de référence = objectif à l’échelle du parc de l’UE</w:t>
            </w:r>
            <w:r w:rsidRPr="00CC7D67">
              <w:rPr>
                <w:vertAlign w:val="subscript"/>
              </w:rPr>
              <w:t xml:space="preserve">2025 </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582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 – alinéa 3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à l’échelle du parc de l’UE</w:t>
            </w:r>
            <w:r w:rsidRPr="00CC7D67">
              <w:rPr>
                <w:b/>
                <w:i/>
                <w:vertAlign w:val="subscript"/>
              </w:rPr>
              <w:t>2025</w:t>
            </w:r>
            <w:r w:rsidRPr="00CC7D67">
              <w:t xml:space="preserve"> est déterminé conformément au point 6.1.1;</w:t>
            </w:r>
          </w:p>
        </w:tc>
        <w:tc>
          <w:tcPr>
            <w:tcW w:w="4876" w:type="dxa"/>
            <w:hideMark/>
          </w:tcPr>
          <w:p w:rsidR="00B0509C" w:rsidRPr="00CC7D67" w:rsidRDefault="00B0509C" w:rsidP="00B0509C">
            <w:pPr>
              <w:pStyle w:val="Normal6"/>
              <w:rPr>
                <w:szCs w:val="24"/>
              </w:rPr>
            </w:pPr>
            <w:r w:rsidRPr="00CC7D67">
              <w:t>objectif à l’échelle du parc de l’UE</w:t>
            </w:r>
            <w:r w:rsidRPr="00CC7D67">
              <w:rPr>
                <w:b/>
                <w:i/>
                <w:vertAlign w:val="subscript"/>
              </w:rPr>
              <w:t>2026</w:t>
            </w:r>
            <w:r w:rsidRPr="00CC7D67">
              <w:t xml:space="preserve"> est déterminé conformément au point 6.1.1;</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583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2025</w:t>
            </w:r>
            <w:r w:rsidRPr="00CC7D67">
              <w:rPr>
                <w:b/>
                <w:i/>
              </w:rPr>
              <w:t xml:space="preserve"> lorsque la masse d’essai moyenne des véhicules nouvellement immatriculés d’un constructeur est égale ou inférieure à TM</w:t>
            </w:r>
            <w:r w:rsidRPr="00CC7D67">
              <w:rPr>
                <w:b/>
                <w:i/>
                <w:vertAlign w:val="subscript"/>
              </w:rPr>
              <w:t>0</w:t>
            </w:r>
            <w:r w:rsidRPr="00CC7D67">
              <w:rPr>
                <w:b/>
                <w:i/>
              </w:rPr>
              <w:t xml:space="preserve"> déterminée conformément à l’article 13, paragraphe 1, point d), et à a</w:t>
            </w:r>
            <w:r w:rsidRPr="00CC7D67">
              <w:rPr>
                <w:b/>
                <w:i/>
                <w:vertAlign w:val="subscript"/>
              </w:rPr>
              <w:t>2021</w:t>
            </w:r>
            <w:r w:rsidRPr="00CC7D67">
              <w:rPr>
                <w:b/>
                <w:i/>
              </w:rPr>
              <w:t xml:space="preserve"> lorsque la masse d’essai moyenne des véhicules nouvellement immatriculés d’un constructeur est supérieure à TM</w:t>
            </w:r>
            <w:r w:rsidRPr="00CC7D67">
              <w:rPr>
                <w:b/>
                <w:i/>
                <w:vertAlign w:val="subscript"/>
              </w:rPr>
              <w:t>0</w:t>
            </w:r>
            <w:r w:rsidRPr="00CC7D67">
              <w:rPr>
                <w:b/>
                <w:i/>
              </w:rPr>
              <w:t xml:space="preserve"> déterminée conformément à l’article 13, paragraphe 1, point d)</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584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α est égal à a</w:t>
            </w:r>
            <w:r w:rsidRPr="00CC7D67">
              <w:rPr>
                <w:b/>
                <w:i/>
                <w:vertAlign w:val="subscript"/>
              </w:rPr>
              <w:t>2025</w:t>
            </w:r>
            <w:r w:rsidRPr="00CC7D67">
              <w:t xml:space="preserve"> lorsque la masse d’essai moyenne des véhicules nouvellement immatriculés d’un constructeur est égale ou inférieure à TM</w:t>
            </w:r>
            <w:r w:rsidRPr="00CC7D67">
              <w:rPr>
                <w:vertAlign w:val="subscript"/>
              </w:rPr>
              <w:t>0</w:t>
            </w:r>
            <w:r w:rsidRPr="00CC7D67">
              <w:t xml:space="preserve"> déterminée conformément à l’article 13, paragraphe 1, point d), et à a</w:t>
            </w:r>
            <w:r w:rsidRPr="00CC7D67">
              <w:rPr>
                <w:vertAlign w:val="subscript"/>
              </w:rPr>
              <w:t>2021</w:t>
            </w:r>
            <w:r w:rsidRPr="00CC7D67">
              <w:t xml:space="preserve"> lorsque la masse d’essai moyenne des véhicules nouvellement immatriculés d’un constructeur est supérieure à TM</w:t>
            </w:r>
            <w:r w:rsidRPr="00CC7D67">
              <w:rPr>
                <w:vertAlign w:val="subscript"/>
              </w:rPr>
              <w:t>0</w:t>
            </w:r>
            <w:r w:rsidRPr="00CC7D67">
              <w:t xml:space="preserve"> déterminée conformément à l’article 13, paragraphe 1, point d)</w:t>
            </w:r>
          </w:p>
        </w:tc>
        <w:tc>
          <w:tcPr>
            <w:tcW w:w="4876" w:type="dxa"/>
            <w:hideMark/>
          </w:tcPr>
          <w:p w:rsidR="00B0509C" w:rsidRPr="00CC7D67" w:rsidRDefault="00B0509C" w:rsidP="00B0509C">
            <w:pPr>
              <w:pStyle w:val="Normal6"/>
              <w:rPr>
                <w:szCs w:val="24"/>
              </w:rPr>
            </w:pPr>
            <w:r w:rsidRPr="00CC7D67">
              <w:t>α est égal à a</w:t>
            </w:r>
            <w:r w:rsidRPr="00CC7D67">
              <w:rPr>
                <w:b/>
                <w:i/>
                <w:vertAlign w:val="subscript"/>
              </w:rPr>
              <w:t>2026</w:t>
            </w:r>
            <w:r w:rsidRPr="00CC7D67">
              <w:t xml:space="preserve"> lorsque la masse d’essai moyenne des véhicules nouvellement immatriculés d’un constructeur est égale ou inférieure à TM</w:t>
            </w:r>
            <w:r w:rsidRPr="00CC7D67">
              <w:rPr>
                <w:vertAlign w:val="subscript"/>
              </w:rPr>
              <w:t>0</w:t>
            </w:r>
            <w:r w:rsidRPr="00CC7D67">
              <w:t xml:space="preserve"> déterminée conformément à l’article 13, paragraphe 1, point d), et à a</w:t>
            </w:r>
            <w:r w:rsidRPr="00CC7D67">
              <w:rPr>
                <w:vertAlign w:val="subscript"/>
              </w:rPr>
              <w:t>2021</w:t>
            </w:r>
            <w:r w:rsidRPr="00CC7D67">
              <w:t xml:space="preserve"> lorsque la masse d’essai moyenne des véhicules nouvellement immatriculés d’un constructeur est supérieure à TM</w:t>
            </w:r>
            <w:r w:rsidRPr="00CC7D67">
              <w:rPr>
                <w:vertAlign w:val="subscript"/>
              </w:rPr>
              <w:t>0</w:t>
            </w:r>
            <w:r w:rsidRPr="00CC7D67">
              <w:t xml:space="preserve"> déterminée conformément à l’article 13, paragraphe 1, point d)</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585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2025</w:t>
            </w:r>
            <w:r w:rsidRPr="00CC7D67">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586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6.2.1 – alinéa 4 – sous-alinéa 1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a</w:t>
            </w:r>
            <w:r w:rsidRPr="00CC7D67">
              <w:rPr>
                <w:b/>
                <w:i/>
                <w:vertAlign w:val="subscript"/>
              </w:rPr>
              <w:t>2025</w:t>
            </w:r>
            <w:r w:rsidRPr="00CC7D67">
              <w:t xml:space="preserve"> est égal à</w:t>
            </w:r>
          </w:p>
        </w:tc>
        <w:tc>
          <w:tcPr>
            <w:tcW w:w="4876" w:type="dxa"/>
            <w:hideMark/>
          </w:tcPr>
          <w:p w:rsidR="00B0509C" w:rsidRPr="00CC7D67" w:rsidRDefault="00B0509C" w:rsidP="00B0509C">
            <w:pPr>
              <w:pStyle w:val="Normal6"/>
              <w:rPr>
                <w:szCs w:val="24"/>
              </w:rPr>
            </w:pPr>
            <w:r w:rsidRPr="00CC7D67">
              <w:t>a</w:t>
            </w:r>
            <w:r w:rsidRPr="00CC7D67">
              <w:rPr>
                <w:b/>
                <w:i/>
                <w:vertAlign w:val="subscript"/>
              </w:rPr>
              <w:t>2026</w:t>
            </w:r>
            <w:r w:rsidRPr="00CC7D67">
              <w:t xml:space="preserve"> est égal à</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587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6.2.2.</w:t>
            </w:r>
            <w:r w:rsidRPr="00CC7D67">
              <w:rPr>
                <w:b/>
                <w:i/>
              </w:rPr>
              <w:tab/>
              <w:t>À partir de 2030</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546117">
            <w:pPr>
              <w:pStyle w:val="Normal6"/>
              <w:rPr>
                <w:color w:val="0000FA"/>
              </w:rPr>
            </w:pPr>
            <w:r w:rsidRPr="00CC7D67">
              <w:rPr>
                <w:b/>
                <w:i/>
              </w:rPr>
              <w:t>Objectif d’émissions spécifiques de référence = objectif à l’échelle du parc de l’UE</w:t>
            </w:r>
            <w:r w:rsidRPr="00CC7D67">
              <w:rPr>
                <w:b/>
                <w:i/>
                <w:vertAlign w:val="subscript"/>
              </w:rPr>
              <w:t>2030</w:t>
            </w:r>
            <w:r w:rsidRPr="00CC7D67">
              <w:rPr>
                <w:b/>
                <w:i/>
              </w:rPr>
              <w:t xml:space="preserve"> + α </w:t>
            </w:r>
            <w:r w:rsidR="00546117">
              <w:rPr>
                <w:b/>
                <w:i/>
              </w:rPr>
              <w:t>·</w:t>
            </w:r>
            <w:r w:rsidRPr="00CC7D67">
              <w:rPr>
                <w:b/>
                <w:i/>
              </w:rPr>
              <w:t xml:space="preserve"> (TM-TM</w:t>
            </w:r>
            <w:r w:rsidRPr="00CC7D67">
              <w:rPr>
                <w:b/>
                <w:i/>
                <w:vertAlign w:val="subscript"/>
              </w:rPr>
              <w:t>0</w:t>
            </w:r>
            <w:r w:rsidRPr="00CC7D67">
              <w:rPr>
                <w:b/>
                <w:i/>
              </w:rPr>
              <w:t>)</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à l’échelle du parc de l’UE</w:t>
            </w:r>
            <w:r w:rsidRPr="00CC7D67">
              <w:rPr>
                <w:b/>
                <w:i/>
                <w:vertAlign w:val="subscript"/>
              </w:rPr>
              <w:t>2030</w:t>
            </w:r>
            <w:r w:rsidRPr="00CC7D67">
              <w:rPr>
                <w:b/>
                <w:i/>
              </w:rPr>
              <w:t xml:space="preserve"> est déterminé conformément au point 6.1.2;</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2030</w:t>
            </w:r>
            <w:r w:rsidRPr="00CC7D67">
              <w:rPr>
                <w:b/>
                <w:i/>
              </w:rPr>
              <w:t xml:space="preserve"> lorsque la masse d’essai moyenne des véhicules nouvellement immatriculés d’un constructeur est égale ou inférieure à TM</w:t>
            </w:r>
            <w:r w:rsidRPr="00CC7D67">
              <w:rPr>
                <w:b/>
                <w:i/>
                <w:vertAlign w:val="subscript"/>
              </w:rPr>
              <w:t>0</w:t>
            </w:r>
            <w:r w:rsidRPr="00CC7D67">
              <w:rPr>
                <w:b/>
                <w:i/>
              </w:rPr>
              <w:t xml:space="preserve"> déterminée conformément à l’article 13, paragraphe 1, point d), et à a</w:t>
            </w:r>
            <w:r w:rsidRPr="00CC7D67">
              <w:rPr>
                <w:b/>
                <w:i/>
                <w:vertAlign w:val="subscript"/>
              </w:rPr>
              <w:t>2021</w:t>
            </w:r>
            <w:r w:rsidRPr="00CC7D67">
              <w:rPr>
                <w:b/>
                <w:i/>
              </w:rPr>
              <w:t xml:space="preserve"> lorsque la masse d’essai moyenne des véhicules nouvellement immatriculés d’un constructeur est supérieure à TM</w:t>
            </w:r>
            <w:r w:rsidRPr="00CC7D67">
              <w:rPr>
                <w:b/>
                <w:i/>
                <w:vertAlign w:val="subscript"/>
              </w:rPr>
              <w:t>0</w:t>
            </w:r>
            <w:r w:rsidRPr="00CC7D67">
              <w:rPr>
                <w:b/>
                <w:i/>
              </w:rPr>
              <w:t xml:space="preserve"> déterminée conformément à l’article 13, paragraphe 1, point d)</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2030</w:t>
            </w:r>
            <w:r w:rsidRPr="00CC7D67">
              <w:rPr>
                <w:vertAlign w:val="subscript"/>
              </w:rPr>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588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6.2.2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À partir de 2030</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589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6.2.2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de référence = objectif à l’échelle du parc de l’UE</w:t>
            </w:r>
            <w:r w:rsidRPr="00CC7D67">
              <w:rPr>
                <w:vertAlign w:val="subscript"/>
              </w:rPr>
              <w:t>2030</w:t>
            </w:r>
            <w:r w:rsidR="00546117">
              <w:rPr>
                <w:b/>
                <w:i/>
              </w:rPr>
              <w:t> + α ·</w:t>
            </w:r>
            <w:r w:rsidRPr="00CC7D67">
              <w:rPr>
                <w:b/>
                <w:i/>
              </w:rPr>
              <w:t xml:space="preserve"> (TM-TM</w:t>
            </w:r>
            <w:r w:rsidRPr="00CC7D67">
              <w:rPr>
                <w:b/>
                <w:i/>
                <w:vertAlign w:val="subscript"/>
              </w:rPr>
              <w:t>0</w:t>
            </w:r>
            <w:r w:rsidRPr="00CC7D67">
              <w:rPr>
                <w:b/>
                <w:i/>
              </w:rPr>
              <w:t>)</w:t>
            </w:r>
          </w:p>
        </w:tc>
        <w:tc>
          <w:tcPr>
            <w:tcW w:w="4876" w:type="dxa"/>
            <w:hideMark/>
          </w:tcPr>
          <w:p w:rsidR="00B0509C" w:rsidRPr="00CC7D67" w:rsidRDefault="00B0509C" w:rsidP="00B0509C">
            <w:pPr>
              <w:pStyle w:val="Normal6"/>
              <w:rPr>
                <w:szCs w:val="24"/>
              </w:rPr>
            </w:pPr>
            <w:r w:rsidRPr="00CC7D67">
              <w:t>Objectif d’émissions spécifiques de référence = objectif à l’échelle du parc de l’UE</w:t>
            </w:r>
            <w:r w:rsidRPr="00CC7D67">
              <w:rPr>
                <w:vertAlign w:val="subscript"/>
              </w:rPr>
              <w:t xml:space="preserve">2030 </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590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6.2.2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α est égal à a</w:t>
            </w:r>
            <w:r w:rsidRPr="00CC7D67">
              <w:rPr>
                <w:b/>
                <w:i/>
                <w:vertAlign w:val="subscript"/>
              </w:rPr>
              <w:t>2030</w:t>
            </w:r>
            <w:r w:rsidRPr="00CC7D67">
              <w:rPr>
                <w:b/>
                <w:i/>
              </w:rPr>
              <w:t xml:space="preserve"> lorsque la masse d’essai moyenne des véhicules nouvellement immatriculés d’un constructeur est égale ou inférieure à TM</w:t>
            </w:r>
            <w:r w:rsidRPr="00CC7D67">
              <w:rPr>
                <w:b/>
                <w:i/>
                <w:vertAlign w:val="subscript"/>
              </w:rPr>
              <w:t>0</w:t>
            </w:r>
            <w:r w:rsidRPr="00CC7D67">
              <w:rPr>
                <w:b/>
                <w:i/>
              </w:rPr>
              <w:t xml:space="preserve"> déterminée conformément à l’article 13, paragraphe 1, point d), et à a</w:t>
            </w:r>
            <w:r w:rsidRPr="00CC7D67">
              <w:rPr>
                <w:b/>
                <w:i/>
                <w:vertAlign w:val="subscript"/>
              </w:rPr>
              <w:t>2021</w:t>
            </w:r>
            <w:r w:rsidRPr="00CC7D67">
              <w:rPr>
                <w:b/>
                <w:i/>
              </w:rPr>
              <w:t xml:space="preserve"> lorsque la masse d’essai moyenne des véhicules nouvellement immatriculés d’un constructeur est supérieure à TM</w:t>
            </w:r>
            <w:r w:rsidRPr="00CC7D67">
              <w:rPr>
                <w:b/>
                <w:i/>
                <w:vertAlign w:val="subscript"/>
              </w:rPr>
              <w:t>0</w:t>
            </w:r>
            <w:r w:rsidRPr="00CC7D67">
              <w:rPr>
                <w:b/>
                <w:i/>
              </w:rPr>
              <w:t xml:space="preserve"> déterminée conformément à l’article 13, paragraphe 1, point d)</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591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6.2.2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2030</w:t>
            </w:r>
            <w:r w:rsidRPr="00CC7D67">
              <w:rPr>
                <w:vertAlign w:val="subscript"/>
              </w:rPr>
              <w:t xml:space="preserve"> </w:t>
            </w:r>
            <w:r w:rsidRPr="00CC7D67">
              <w:rPr>
                <w:b/>
                <w:i/>
              </w:rPr>
              <w:t>est égal à</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592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6.2.2 – alinéa 4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2030</w:t>
            </w:r>
            <w:r w:rsidRPr="00CC7D67">
              <w:rPr>
                <w:vertAlign w:val="subscript"/>
              </w:rPr>
              <w:t xml:space="preserve"> </w:t>
            </w:r>
            <w:r w:rsidRPr="00CC7D67">
              <w:rPr>
                <w:b/>
                <w:i/>
              </w:rPr>
              <w:t>est égal à</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593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6.2.2 – alinéa 4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a</w:t>
            </w:r>
            <w:r w:rsidRPr="00CC7D67">
              <w:rPr>
                <w:b/>
                <w:i/>
                <w:vertAlign w:val="subscript"/>
              </w:rPr>
              <w:t>2021</w:t>
            </w:r>
            <w:r w:rsidRPr="00CC7D67">
              <w:rPr>
                <w:b/>
                <w:i/>
              </w:rPr>
              <w:t xml:space="preserve"> est la pente de la droite de meilleur ajustement établie en appliquant la méthode d’ajustement linéaire par les moindres carrés à la masse d’essai (variable explicative) et aux émissions spécifiques de CO</w:t>
            </w:r>
            <w:r w:rsidRPr="00CC7D67">
              <w:rPr>
                <w:b/>
                <w:i/>
                <w:vertAlign w:val="subscript"/>
              </w:rPr>
              <w:t>2</w:t>
            </w:r>
            <w:r w:rsidRPr="00CC7D67">
              <w:rPr>
                <w:b/>
                <w:i/>
              </w:rPr>
              <w:t xml:space="preserve"> spécifiques (variable dépendante) de chaque véhicule nouvellement immatriculé du parc de l’UE en 2021;</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594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6.2.2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Émissions moyennes</w:t>
            </w:r>
            <w:r w:rsidRPr="00CC7D67">
              <w:rPr>
                <w:b/>
                <w:i/>
                <w:vertAlign w:val="subscript"/>
              </w:rPr>
              <w:t>2021</w:t>
            </w:r>
            <w:r w:rsidRPr="00CC7D67">
              <w:rPr>
                <w:b/>
                <w:i/>
              </w:rPr>
              <w:t xml:space="preserve"> est la moyenne des émissions spécifiques de CO</w:t>
            </w:r>
            <w:r w:rsidRPr="00CC7D67">
              <w:rPr>
                <w:b/>
                <w:i/>
                <w:vertAlign w:val="subscript"/>
              </w:rPr>
              <w:t>2</w:t>
            </w:r>
            <w:r w:rsidRPr="00CC7D67">
              <w:rPr>
                <w:b/>
                <w:i/>
              </w:rPr>
              <w:t xml:space="preserve"> de tous les véhicules nouvellement immatriculés en 2021 des constructeurs pour lesquels un objectif d’émissions spécifiques est calculé conformément au point 4;</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595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6.2.2 – alinéa 4 – sous-alinéa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 est la masse d’essai moyenne, en kilogrammes, de tous les véhicules nouvellement immatriculés du constructeur au cours de l’année civile concernée;</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596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Nils Torvalds, Gerben-Jan Gerbrandy, Carolina Punset, Jan Huitema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6.2 – point 6.2.2 – alinéa 4 – sous-alinéa 5</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TM</w:t>
            </w:r>
            <w:r w:rsidRPr="00CC7D67">
              <w:rPr>
                <w:b/>
                <w:i/>
                <w:vertAlign w:val="subscript"/>
              </w:rPr>
              <w:t>0</w:t>
            </w:r>
            <w:r w:rsidRPr="00CC7D67">
              <w:rPr>
                <w:b/>
                <w:i/>
              </w:rPr>
              <w:t xml:space="preserve"> est la valeur déterminée conformément à l’article 13, paragraphe 1, point d).</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L’adoption d’une approche fondée sur la masse n’est pas le moyen le plus efficace pour les constructeurs automobiles d’atteindre leurs objectifs en matière de réduction de CO</w:t>
      </w:r>
      <w:r w:rsidRPr="00CC7D67">
        <w:rPr>
          <w:noProof w:val="0"/>
          <w:vertAlign w:val="subscript"/>
        </w:rPr>
        <w:t>2</w:t>
      </w:r>
      <w:r w:rsidRPr="00CC7D67">
        <w:rPr>
          <w:noProof w:val="0"/>
        </w:rPr>
        <w:t>. L’abaissement du poids d’un véhicule est une manière efficace de réduire les émissions de CO</w:t>
      </w:r>
      <w:r w:rsidRPr="00CC7D67">
        <w:rPr>
          <w:noProof w:val="0"/>
          <w:vertAlign w:val="subscript"/>
        </w:rPr>
        <w:t>2</w:t>
      </w:r>
      <w:r w:rsidRPr="00CC7D67">
        <w:rPr>
          <w:noProof w:val="0"/>
        </w:rPr>
        <w:t xml:space="preserve"> et supprimer la corrélation avec la masse rendrait le présent règlement plus rentable sur le plan économique.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597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6.3.</w:t>
            </w:r>
            <w:r w:rsidRPr="00CC7D67">
              <w:tab/>
            </w:r>
            <w:r w:rsidRPr="00CC7D67">
              <w:rPr>
                <w:b/>
                <w:i/>
              </w:rPr>
              <w:t>Objectifs d’émissions spécifiques à partir de 2025</w:t>
            </w:r>
          </w:p>
        </w:tc>
        <w:tc>
          <w:tcPr>
            <w:tcW w:w="4876" w:type="dxa"/>
            <w:hideMark/>
          </w:tcPr>
          <w:p w:rsidR="00B0509C" w:rsidRPr="00CC7D67" w:rsidRDefault="00B0509C" w:rsidP="00B0509C">
            <w:pPr>
              <w:pStyle w:val="Normal6"/>
              <w:rPr>
                <w:szCs w:val="24"/>
              </w:rPr>
            </w:pPr>
            <w:r w:rsidRPr="00CC7D67">
              <w:t>6.3.</w:t>
            </w:r>
            <w:r w:rsidRPr="00CC7D67">
              <w:tab/>
            </w:r>
            <w:r w:rsidRPr="00CC7D67">
              <w:rPr>
                <w:b/>
                <w:i/>
              </w:rPr>
              <w:t>Mandat pour la vente de véhicules à émission nulle et à faibles émissions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598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6.3.</w:t>
            </w:r>
            <w:r w:rsidRPr="00CC7D67">
              <w:tab/>
            </w:r>
            <w:r w:rsidRPr="00CC7D67">
              <w:rPr>
                <w:b/>
                <w:i/>
              </w:rPr>
              <w:t>Objectifs d’émissions spécifiques à partir de 2025</w:t>
            </w:r>
          </w:p>
        </w:tc>
        <w:tc>
          <w:tcPr>
            <w:tcW w:w="4876" w:type="dxa"/>
            <w:hideMark/>
          </w:tcPr>
          <w:p w:rsidR="00B0509C" w:rsidRPr="00CC7D67" w:rsidRDefault="00B0509C" w:rsidP="00B0509C">
            <w:pPr>
              <w:pStyle w:val="Normal6"/>
              <w:rPr>
                <w:szCs w:val="24"/>
              </w:rPr>
            </w:pPr>
            <w:r w:rsidRPr="00CC7D67">
              <w:t>6.3.</w:t>
            </w:r>
            <w:r w:rsidRPr="00CC7D67">
              <w:tab/>
            </w:r>
            <w:r w:rsidRPr="00CC7D67">
              <w:rPr>
                <w:b/>
                <w:i/>
              </w:rPr>
              <w:t>Mandat pour la vente de véhicules à émission nulle et à faibles émissions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599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6.3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6.3.</w:t>
            </w:r>
            <w:r w:rsidRPr="00CC7D67">
              <w:tab/>
              <w:t>Objectifs d’émissions spécifiques à partir de </w:t>
            </w:r>
            <w:r w:rsidRPr="00CC7D67">
              <w:rPr>
                <w:b/>
                <w:i/>
              </w:rPr>
              <w:t>2025</w:t>
            </w:r>
          </w:p>
        </w:tc>
        <w:tc>
          <w:tcPr>
            <w:tcW w:w="4876" w:type="dxa"/>
            <w:hideMark/>
          </w:tcPr>
          <w:p w:rsidR="00B0509C" w:rsidRPr="00CC7D67" w:rsidRDefault="00B0509C" w:rsidP="00B0509C">
            <w:pPr>
              <w:pStyle w:val="Normal6"/>
              <w:rPr>
                <w:szCs w:val="24"/>
              </w:rPr>
            </w:pPr>
            <w:r w:rsidRPr="00CC7D67">
              <w:t>6.3.</w:t>
            </w:r>
            <w:r w:rsidRPr="00CC7D67">
              <w:tab/>
              <w:t>Objectifs d’émissions spécifiques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600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6.3.</w:t>
            </w:r>
            <w:r w:rsidRPr="00CC7D67">
              <w:tab/>
              <w:t>Objectifs d’émissions spécifiques à partir de </w:t>
            </w:r>
            <w:r w:rsidRPr="00CC7D67">
              <w:rPr>
                <w:b/>
                <w:i/>
              </w:rPr>
              <w:t>2025</w:t>
            </w:r>
          </w:p>
        </w:tc>
        <w:tc>
          <w:tcPr>
            <w:tcW w:w="4876" w:type="dxa"/>
            <w:hideMark/>
          </w:tcPr>
          <w:p w:rsidR="00B0509C" w:rsidRPr="00CC7D67" w:rsidRDefault="00B0509C" w:rsidP="00B0509C">
            <w:pPr>
              <w:pStyle w:val="Normal6"/>
              <w:rPr>
                <w:szCs w:val="24"/>
              </w:rPr>
            </w:pPr>
            <w:r w:rsidRPr="00CC7D67">
              <w:t>6.3.</w:t>
            </w:r>
            <w:r w:rsidRPr="00CC7D67">
              <w:tab/>
              <w:t>Objectifs d’émissions spécifiques à partir de </w:t>
            </w:r>
            <w:r w:rsidRPr="00CC7D67">
              <w:rPr>
                <w:b/>
                <w:i/>
              </w:rPr>
              <w:t>2030</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601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partie introductive</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6.3.</w:t>
            </w:r>
            <w:r w:rsidRPr="00CC7D67">
              <w:tab/>
              <w:t>Objectifs d’émissions spécifiques à partir de </w:t>
            </w:r>
            <w:r w:rsidRPr="00CC7D67">
              <w:rPr>
                <w:b/>
                <w:i/>
              </w:rPr>
              <w:t>2025</w:t>
            </w:r>
          </w:p>
        </w:tc>
        <w:tc>
          <w:tcPr>
            <w:tcW w:w="4876" w:type="dxa"/>
            <w:hideMark/>
          </w:tcPr>
          <w:p w:rsidR="00B0509C" w:rsidRPr="00CC7D67" w:rsidRDefault="00B0509C" w:rsidP="00B0509C">
            <w:pPr>
              <w:pStyle w:val="Normal6"/>
              <w:rPr>
                <w:szCs w:val="24"/>
              </w:rPr>
            </w:pPr>
            <w:r w:rsidRPr="00CC7D67">
              <w:t>6.3.</w:t>
            </w:r>
            <w:r w:rsidRPr="00CC7D67">
              <w:tab/>
              <w:t>Objectifs d’émissions spécifiques à partir de </w:t>
            </w:r>
            <w:r w:rsidRPr="00CC7D67">
              <w:rPr>
                <w:b/>
                <w:i/>
              </w:rPr>
              <w:t>2026</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602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 Elisabetta Gardini, Andrzej Grzyb, Giovanni La Via, Lorenzo Cesa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6.3.1.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d’émisions spécifiques = (objectif d’émissions spécifiques de référence – (ø</w:t>
            </w:r>
            <w:r w:rsidRPr="00CC7D67">
              <w:rPr>
                <w:b/>
                <w:i/>
                <w:vertAlign w:val="subscript"/>
              </w:rPr>
              <w:t>objectifs</w:t>
            </w:r>
            <w:r w:rsidRPr="00CC7D67">
              <w:rPr>
                <w:b/>
                <w:i/>
              </w:rPr>
              <w:t xml:space="preserve"> – objectif à l’échelle du parc de l’UE</w:t>
            </w:r>
            <w:r w:rsidRPr="00CC7D67">
              <w:rPr>
                <w:b/>
                <w:i/>
                <w:vertAlign w:val="subscript"/>
              </w:rPr>
              <w:t>2025</w:t>
            </w:r>
            <w:r w:rsidRPr="00CC7D67">
              <w:rPr>
                <w:b/>
                <w:i/>
              </w:rPr>
              <w:t>)) ·  facteur ZLEV</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est l’objectif d’émissions spécifiques de référence pour le constructeur déterminé conformément au point 6.2.1.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ø</w:t>
            </w:r>
            <w:r w:rsidRPr="00CC7D67">
              <w:rPr>
                <w:b/>
                <w:i/>
                <w:vertAlign w:val="subscript"/>
              </w:rPr>
              <w:t>objectifs</w:t>
            </w:r>
            <w:r w:rsidRPr="00CC7D67">
              <w:rPr>
                <w:b/>
                <w:i/>
              </w:rPr>
              <w:t xml:space="preserve"> est la moyenne, pondérée par le nombre de véhicules utilitaires légers nouvellement immatriculés de chaque constructeur individuel, de tous les objectifs d’émissions spécifiques de référence déterminés conformément au point 6.2.1;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ZLEV est égal à (1+y-x), à moins que cette somme ne soit supérieure à 1,05 ou inférieure à 1,0, auquel cas le facteur ZLEV est fixé à 1,05 ou 1,0 selon le cas</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ZLEV</w:t>
            </w:r>
            <w:r w:rsidRPr="00CC7D67">
              <w:rPr>
                <w:b/>
                <w:i/>
                <w:vertAlign w:val="subscript"/>
              </w:rPr>
              <w:t>spécifique</w:t>
            </w:r>
            <w:r w:rsidRPr="00CC7D67">
              <w:rPr>
                <w:b/>
                <w:i/>
              </w:rPr>
              <w:t xml:space="preserve"> conformément à la formule ci-dessous, divisé par le nombre total de véhicules utilitaires légers immatriculés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x est égal à 15 %.</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Un objectif fixé pour 2025 ne suivrait que de trois ans la définition des objectifs en 2021. Cette période serait trop courte pour la mise en œuvre en raison de la longueur des cycles de production. C’est pourquoi nous devrions nous en tenir aux seuls objectifs de 2030.</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603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6.3.1.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d’émisions spécifiques = (objectif d’émissions spécifiques de référence – (ø</w:t>
            </w:r>
            <w:r w:rsidRPr="00CC7D67">
              <w:rPr>
                <w:b/>
                <w:i/>
                <w:vertAlign w:val="subscript"/>
              </w:rPr>
              <w:t>objectifs</w:t>
            </w:r>
            <w:r w:rsidRPr="00CC7D67">
              <w:rPr>
                <w:b/>
                <w:i/>
              </w:rPr>
              <w:t xml:space="preserve"> – objectif à l’échelle du parc de l’UE</w:t>
            </w:r>
            <w:r w:rsidRPr="00CC7D67">
              <w:rPr>
                <w:b/>
                <w:i/>
                <w:vertAlign w:val="subscript"/>
              </w:rPr>
              <w:t>2025</w:t>
            </w:r>
            <w:r w:rsidRPr="00CC7D67">
              <w:rPr>
                <w:b/>
                <w:i/>
              </w:rPr>
              <w:t>)) ·  facteur ZLEV</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est l’objectif d’émissions spécifiques de référence pour le constructeur déterminé conformément au point 6.2.1.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ø</w:t>
            </w:r>
            <w:r w:rsidRPr="00CC7D67">
              <w:rPr>
                <w:b/>
                <w:i/>
                <w:vertAlign w:val="subscript"/>
              </w:rPr>
              <w:t>objectifs</w:t>
            </w:r>
            <w:r w:rsidRPr="00CC7D67">
              <w:rPr>
                <w:b/>
                <w:i/>
              </w:rPr>
              <w:t xml:space="preserve"> est la moyenne, pondérée par le nombre de véhicules utilitaires légers nouvellement immatriculés de chaque constructeur individuel, de tous les objectifs d’émissions spécifiques de référence déterminés conformément au point 6.2.1;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ZLEV est égal à (1+y-x), à moins que cette somme ne soit supérieure à 1,05 ou inférieure à 1,0, auquel cas le facteur ZLEV est fixé à 1,05 ou 1,0 selon le cas</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ZLEV</w:t>
            </w:r>
            <w:r w:rsidRPr="00CC7D67">
              <w:rPr>
                <w:b/>
                <w:i/>
                <w:vertAlign w:val="subscript"/>
              </w:rPr>
              <w:t>spécifique</w:t>
            </w:r>
            <w:r w:rsidRPr="00CC7D67">
              <w:rPr>
                <w:b/>
                <w:i/>
              </w:rPr>
              <w:t xml:space="preserve"> conformément à la formule ci-dessous, divisé par le nombre total de véhicules utilitaires légers immatriculés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x est égal à 15 %.</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604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6.3.1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6.3.1.</w:t>
            </w:r>
            <w:r w:rsidRPr="00CC7D67">
              <w:rPr>
                <w:b/>
                <w:i/>
              </w:rPr>
              <w:tab/>
              <w:t>De 2025 à 2029</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 (objectif d’émissions spécifiques de référence – (ø</w:t>
            </w:r>
            <w:r w:rsidRPr="00CC7D67">
              <w:rPr>
                <w:b/>
                <w:i/>
                <w:vertAlign w:val="subscript"/>
              </w:rPr>
              <w:t>objectifs</w:t>
            </w:r>
            <w:r w:rsidRPr="00CC7D67">
              <w:t xml:space="preserve"> </w:t>
            </w:r>
            <w:r w:rsidRPr="00CC7D67">
              <w:rPr>
                <w:b/>
                <w:i/>
              </w:rPr>
              <w:t>– objectif à l’échelle du parc de l’UE</w:t>
            </w:r>
            <w:r w:rsidRPr="00CC7D67">
              <w:rPr>
                <w:b/>
                <w:i/>
                <w:vertAlign w:val="subscript"/>
              </w:rPr>
              <w:t>2025</w:t>
            </w:r>
            <w:r w:rsidRPr="00CC7D67">
              <w:rPr>
                <w:b/>
                <w:i/>
              </w:rPr>
              <w:t>)) · facteur ZLEV</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est l’objectif d’émissions spécifiques de référence déterminé conformément au point 6.2.1.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ø</w:t>
            </w:r>
            <w:r w:rsidRPr="00CC7D67">
              <w:rPr>
                <w:b/>
                <w:i/>
                <w:vertAlign w:val="subscript"/>
              </w:rPr>
              <w:t>objectifs</w:t>
            </w:r>
            <w:r w:rsidRPr="00CC7D67">
              <w:t xml:space="preserve"> </w:t>
            </w:r>
            <w:r w:rsidRPr="00CC7D67">
              <w:rPr>
                <w:b/>
                <w:i/>
              </w:rPr>
              <w:t>est la moyenne, pondérée par le nombre de véhicules utilitaires légers nouvellement immatriculés de chaque constructeur individuel, de tous les objectifs d’émissions spécifiques de référence déterminés conformément au point 6.2.1;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ZLEV est égal à (1+y-x), à moins que cette somme ne soit supérieure à 1,05 ou inférieure à 1,0, auquel cas le facteur ZLEV est fixé à 1,05 ou 1,0 selon le cas</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ZLEV</w:t>
            </w:r>
            <w:r w:rsidRPr="00CC7D67">
              <w:rPr>
                <w:b/>
                <w:i/>
                <w:vertAlign w:val="subscript"/>
              </w:rPr>
              <w:t>spécifique</w:t>
            </w:r>
            <w:r w:rsidRPr="00CC7D67">
              <w:t xml:space="preserve"> </w:t>
            </w:r>
            <w:r w:rsidRPr="00CC7D67">
              <w:rPr>
                <w:b/>
                <w:i/>
              </w:rPr>
              <w:t>conformément à la formule ci-dessous, divisé par le nombre total de véhicules utilitaires légers immatriculés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x est égal à 15%.</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605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De 2025 à 2029</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606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De 2025 à 2029</w:t>
            </w:r>
          </w:p>
        </w:tc>
        <w:tc>
          <w:tcPr>
            <w:tcW w:w="4876" w:type="dxa"/>
            <w:hideMark/>
          </w:tcPr>
          <w:p w:rsidR="00B0509C" w:rsidRPr="00CC7D67" w:rsidRDefault="00B0509C" w:rsidP="00B0509C">
            <w:pPr>
              <w:pStyle w:val="Normal6"/>
              <w:rPr>
                <w:szCs w:val="24"/>
              </w:rPr>
            </w:pPr>
            <w:r w:rsidRPr="00CC7D67">
              <w:rPr>
                <w:b/>
                <w:i/>
              </w:rPr>
              <w:t>La part des ventes de véhicules à émission nulle et à faibles émissions est calculée conformément à la formule: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607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De </w:t>
            </w:r>
            <w:r w:rsidRPr="00CC7D67">
              <w:rPr>
                <w:b/>
                <w:i/>
              </w:rPr>
              <w:t>2025</w:t>
            </w:r>
            <w:r w:rsidRPr="00CC7D67">
              <w:t xml:space="preserve"> à 2029</w:t>
            </w:r>
          </w:p>
        </w:tc>
        <w:tc>
          <w:tcPr>
            <w:tcW w:w="4876" w:type="dxa"/>
            <w:hideMark/>
          </w:tcPr>
          <w:p w:rsidR="00B0509C" w:rsidRPr="00CC7D67" w:rsidRDefault="00B0509C" w:rsidP="00B0509C">
            <w:pPr>
              <w:pStyle w:val="Normal6"/>
              <w:rPr>
                <w:szCs w:val="24"/>
              </w:rPr>
            </w:pPr>
            <w:r w:rsidRPr="00CC7D67">
              <w:t>De </w:t>
            </w:r>
            <w:r w:rsidRPr="00CC7D67">
              <w:rPr>
                <w:b/>
                <w:i/>
              </w:rPr>
              <w:t>2026</w:t>
            </w:r>
            <w:r w:rsidRPr="00CC7D67">
              <w:t xml:space="preserve"> à 2029</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608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De 2025 à 2029</w:t>
            </w:r>
          </w:p>
        </w:tc>
        <w:tc>
          <w:tcPr>
            <w:tcW w:w="4876" w:type="dxa"/>
            <w:hideMark/>
          </w:tcPr>
          <w:p w:rsidR="00B0509C" w:rsidRPr="00CC7D67" w:rsidRDefault="00B0509C" w:rsidP="00B0509C">
            <w:pPr>
              <w:pStyle w:val="Normal6"/>
              <w:rPr>
                <w:szCs w:val="24"/>
              </w:rPr>
            </w:pPr>
            <w:r w:rsidRPr="00CC7D67">
              <w:rPr>
                <w:i/>
              </w:rPr>
              <w:t>(Ne concerne pas la version française.)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609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d’émisions spécifiques = (objectif d’émissions spécifiques de référence – (ø</w:t>
            </w:r>
            <w:r w:rsidRPr="00CC7D67">
              <w:rPr>
                <w:b/>
                <w:i/>
                <w:vertAlign w:val="subscript"/>
              </w:rPr>
              <w:t>objectifs</w:t>
            </w:r>
            <w:r w:rsidRPr="00CC7D67">
              <w:rPr>
                <w:b/>
                <w:i/>
              </w:rPr>
              <w:t xml:space="preserve"> – objectif à l’échelle du parc de l’UE</w:t>
            </w:r>
            <w:r w:rsidRPr="00CC7D67">
              <w:rPr>
                <w:b/>
                <w:i/>
                <w:vertAlign w:val="subscript"/>
              </w:rPr>
              <w:t>2025</w:t>
            </w:r>
            <w:r w:rsidRPr="00CC7D67">
              <w:rPr>
                <w:b/>
                <w:i/>
              </w:rPr>
              <w:t>)) ·  facteur ZLEV</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610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Miriam Dalli</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Objectif </w:t>
            </w:r>
            <w:r w:rsidRPr="00CC7D67">
              <w:rPr>
                <w:b/>
                <w:i/>
              </w:rPr>
              <w:t>d’émisions</w:t>
            </w:r>
            <w:r w:rsidRPr="00CC7D67">
              <w:t xml:space="preserve"> spécifiques = (objectif d’émissions spécifiques </w:t>
            </w:r>
            <w:r w:rsidRPr="00CC7D67">
              <w:rPr>
                <w:b/>
                <w:i/>
              </w:rPr>
              <w:t>de référence – (ø</w:t>
            </w:r>
            <w:r w:rsidRPr="00CC7D67">
              <w:rPr>
                <w:b/>
                <w:i/>
                <w:vertAlign w:val="subscript"/>
              </w:rPr>
              <w:t>objectifs</w:t>
            </w:r>
            <w:r w:rsidRPr="00CC7D67">
              <w:rPr>
                <w:b/>
                <w:i/>
              </w:rPr>
              <w:t xml:space="preserve"> – objectif à l’échelle du parc de l’UE</w:t>
            </w:r>
            <w:r w:rsidRPr="00CC7D67">
              <w:rPr>
                <w:b/>
                <w:i/>
                <w:vertAlign w:val="subscript"/>
              </w:rPr>
              <w:t>2025</w:t>
            </w:r>
            <w:r w:rsidRPr="00CC7D67">
              <w:rPr>
                <w:b/>
                <w:i/>
              </w:rPr>
              <w:t>)</w:t>
            </w:r>
            <w:r w:rsidRPr="00CC7D67">
              <w:t>) ·  facteur ZLEV</w:t>
            </w:r>
          </w:p>
        </w:tc>
        <w:tc>
          <w:tcPr>
            <w:tcW w:w="4876" w:type="dxa"/>
            <w:hideMark/>
          </w:tcPr>
          <w:p w:rsidR="00B0509C" w:rsidRPr="00CC7D67" w:rsidRDefault="00B0509C" w:rsidP="006A7A25">
            <w:pPr>
              <w:pStyle w:val="Normal6"/>
              <w:rPr>
                <w:color w:val="000005"/>
                <w:szCs w:val="24"/>
              </w:rPr>
            </w:pPr>
            <w:r w:rsidRPr="00CC7D67">
              <w:t xml:space="preserve">Objectif </w:t>
            </w:r>
            <w:r w:rsidRPr="00CC7D67">
              <w:rPr>
                <w:b/>
                <w:i/>
              </w:rPr>
              <w:t>d’émissions</w:t>
            </w:r>
            <w:r w:rsidRPr="00CC7D67">
              <w:t xml:space="preserve"> spécifiques = (objectif d’émissions spécifiques </w:t>
            </w:r>
            <w:r w:rsidRPr="00CC7D67">
              <w:rPr>
                <w:b/>
                <w:i/>
              </w:rPr>
              <w:t xml:space="preserve">pour 2021) </w:t>
            </w:r>
            <w:r w:rsidR="006A7A25">
              <w:rPr>
                <w:b/>
                <w:i/>
              </w:rPr>
              <w:t>·</w:t>
            </w:r>
            <w:r w:rsidRPr="00CC7D67">
              <w:rPr>
                <w:b/>
                <w:i/>
              </w:rPr>
              <w:t xml:space="preserve"> (1- facteur de réduction de 2025</w:t>
            </w:r>
            <w:r w:rsidRPr="00CC7D67">
              <w:t xml:space="preserve">) </w:t>
            </w:r>
            <w:r w:rsidR="006A7A25">
              <w:t>·</w:t>
            </w:r>
            <w:r w:rsidRPr="00CC7D67">
              <w:t xml:space="preserve"> facteur ZLEV</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Pour calculer cette formule, les émissions spécifiques de 2021, telles qu’elles sont définies au point 4, sont corrigées en tenant compte de la différence entre les émissions de CO</w:t>
            </w:r>
            <w:r w:rsidRPr="00CC7D67">
              <w:rPr>
                <w:b/>
                <w:i/>
                <w:vertAlign w:val="subscript"/>
              </w:rPr>
              <w:t>2</w:t>
            </w:r>
            <w:r w:rsidRPr="00CC7D67">
              <w:rPr>
                <w:b/>
                <w:i/>
              </w:rPr>
              <w:t xml:space="preserve"> WLTP mesurées et les émissions de CO</w:t>
            </w:r>
            <w:r w:rsidRPr="00CC7D67">
              <w:rPr>
                <w:b/>
                <w:i/>
                <w:vertAlign w:val="subscript"/>
              </w:rPr>
              <w:t>2</w:t>
            </w:r>
            <w:r w:rsidRPr="00CC7D67">
              <w:rPr>
                <w:b/>
                <w:i/>
              </w:rPr>
              <w:t xml:space="preserve"> WLTP déclarées. Pour les nouveaux entrants, la Commission devrait élaborer, par voie d’acte délégué, une formule de calcul de l’objectif d’émissions spécifiques pertinent pour 2021 concernant chaque constructeur.</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611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d’émisions spécifiques = (objectif d’émissions spécifiques de référence – (ø</w:t>
            </w:r>
            <w:r w:rsidRPr="00CC7D67">
              <w:rPr>
                <w:b/>
                <w:i/>
                <w:vertAlign w:val="subscript"/>
              </w:rPr>
              <w:t>objectifs</w:t>
            </w:r>
            <w:r w:rsidRPr="00CC7D67">
              <w:rPr>
                <w:b/>
                <w:i/>
              </w:rPr>
              <w:t xml:space="preserve"> – objectif à l’échelle du parc de l’UE</w:t>
            </w:r>
            <w:r w:rsidRPr="00CC7D67">
              <w:rPr>
                <w:b/>
                <w:i/>
                <w:vertAlign w:val="subscript"/>
              </w:rPr>
              <w:t>2025</w:t>
            </w:r>
            <w:r w:rsidRPr="00CC7D67">
              <w:rPr>
                <w:b/>
                <w:i/>
              </w:rPr>
              <w:t>)) ·  facteur ZLEV</w:t>
            </w:r>
          </w:p>
        </w:tc>
        <w:tc>
          <w:tcPr>
            <w:tcW w:w="4876" w:type="dxa"/>
            <w:hideMark/>
          </w:tcPr>
          <w:p w:rsidR="00B0509C" w:rsidRPr="00CC7D67" w:rsidRDefault="00B0509C" w:rsidP="00B0509C">
            <w:pPr>
              <w:pStyle w:val="Normal6"/>
              <w:rPr>
                <w:szCs w:val="24"/>
              </w:rPr>
            </w:pPr>
            <w:r w:rsidRPr="00CC7D67">
              <w:rPr>
                <w:b/>
                <w:i/>
              </w:rPr>
              <w:t>La part des ventes de véhicules à émission nulle et à faibles émissions est calculée conformément à la formule: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612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Objectif </w:t>
            </w:r>
            <w:r w:rsidRPr="00CC7D67">
              <w:rPr>
                <w:b/>
                <w:i/>
              </w:rPr>
              <w:t xml:space="preserve">d’émisions </w:t>
            </w:r>
            <w:r w:rsidRPr="00CC7D67">
              <w:t>spécifiques = (objectif d’émissions spécifiques</w:t>
            </w:r>
            <w:r w:rsidRPr="00CC7D67">
              <w:rPr>
                <w:b/>
                <w:i/>
              </w:rPr>
              <w:t xml:space="preserve"> de référence – (ø</w:t>
            </w:r>
            <w:r w:rsidRPr="00CC7D67">
              <w:rPr>
                <w:b/>
                <w:i/>
                <w:vertAlign w:val="subscript"/>
              </w:rPr>
              <w:t>objectifs</w:t>
            </w:r>
            <w:r w:rsidRPr="00CC7D67">
              <w:rPr>
                <w:b/>
                <w:i/>
              </w:rPr>
              <w:t xml:space="preserve"> – objectif à l’échelle du parc de l’UE</w:t>
            </w:r>
            <w:r w:rsidRPr="00CC7D67">
              <w:rPr>
                <w:b/>
                <w:i/>
                <w:vertAlign w:val="subscript"/>
              </w:rPr>
              <w:t>2025</w:t>
            </w:r>
            <w:r w:rsidRPr="00CC7D67">
              <w:rPr>
                <w:b/>
                <w:i/>
              </w:rPr>
              <w:t xml:space="preserve">)) </w:t>
            </w:r>
            <w:r w:rsidRPr="00CC7D67">
              <w:t xml:space="preserve">·  facteur </w:t>
            </w:r>
            <w:r w:rsidRPr="00CC7D67">
              <w:rPr>
                <w:b/>
                <w:i/>
              </w:rPr>
              <w:t>ZLEV</w:t>
            </w:r>
          </w:p>
        </w:tc>
        <w:tc>
          <w:tcPr>
            <w:tcW w:w="4876" w:type="dxa"/>
            <w:hideMark/>
          </w:tcPr>
          <w:p w:rsidR="00B0509C" w:rsidRPr="00CC7D67" w:rsidRDefault="00B0509C" w:rsidP="00B0509C">
            <w:pPr>
              <w:pStyle w:val="Normal6"/>
              <w:rPr>
                <w:szCs w:val="24"/>
              </w:rPr>
            </w:pPr>
            <w:r w:rsidRPr="00CC7D67">
              <w:t xml:space="preserve">Objectif </w:t>
            </w:r>
            <w:r w:rsidRPr="00CC7D67">
              <w:rPr>
                <w:b/>
                <w:i/>
              </w:rPr>
              <w:t>d’émissions</w:t>
            </w:r>
            <w:r w:rsidRPr="00CC7D67">
              <w:t xml:space="preserve"> spécifiques</w:t>
            </w:r>
            <w:r w:rsidRPr="00CC7D67">
              <w:rPr>
                <w:b/>
                <w:i/>
                <w:vertAlign w:val="subscript"/>
              </w:rPr>
              <w:t>2025</w:t>
            </w:r>
            <w:r w:rsidRPr="00CC7D67">
              <w:t xml:space="preserve"> = objectif d’émissions </w:t>
            </w:r>
            <w:r w:rsidRPr="00CC7D67">
              <w:rPr>
                <w:b/>
                <w:i/>
              </w:rPr>
              <w:t>spécifiques</w:t>
            </w:r>
            <w:r w:rsidRPr="00CC7D67">
              <w:rPr>
                <w:b/>
                <w:i/>
                <w:vertAlign w:val="subscript"/>
              </w:rPr>
              <w:t>2021</w:t>
            </w:r>
            <w:r w:rsidR="006A7A25">
              <w:rPr>
                <w:b/>
                <w:i/>
                <w:vertAlign w:val="subscript"/>
              </w:rPr>
              <w:t xml:space="preserve"> </w:t>
            </w:r>
            <w:r w:rsidR="006A7A25">
              <w:t>·</w:t>
            </w:r>
            <w:r w:rsidRPr="00CC7D67">
              <w:rPr>
                <w:b/>
                <w:i/>
              </w:rPr>
              <w:t xml:space="preserve"> (1 -</w:t>
            </w:r>
            <w:r w:rsidRPr="00CC7D67">
              <w:t xml:space="preserve"> facteur </w:t>
            </w:r>
            <w:r w:rsidRPr="00CC7D67">
              <w:rPr>
                <w:b/>
                <w:i/>
              </w:rPr>
              <w:t>de réduction)</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613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Norbert Lins, Sven Schulze, Werner Langen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Objectif </w:t>
            </w:r>
            <w:r w:rsidRPr="00CC7D67">
              <w:rPr>
                <w:b/>
                <w:i/>
              </w:rPr>
              <w:t>d’émisions</w:t>
            </w:r>
            <w:r w:rsidRPr="00CC7D67">
              <w:t xml:space="preserve"> spécifiques = (objectif d’émissions spécifiques de référence – (ø</w:t>
            </w:r>
            <w:r w:rsidRPr="00CC7D67">
              <w:rPr>
                <w:vertAlign w:val="subscript"/>
              </w:rPr>
              <w:t>objectifs</w:t>
            </w:r>
            <w:r w:rsidRPr="00CC7D67">
              <w:t xml:space="preserve"> – objectif à l’échelle du parc de l’UE</w:t>
            </w:r>
            <w:r w:rsidRPr="00CC7D67">
              <w:rPr>
                <w:b/>
                <w:i/>
                <w:vertAlign w:val="subscript"/>
              </w:rPr>
              <w:t>2025</w:t>
            </w:r>
            <w:r w:rsidRPr="00CC7D67">
              <w:t>)) ·  facteur ZLEV</w:t>
            </w:r>
          </w:p>
        </w:tc>
        <w:tc>
          <w:tcPr>
            <w:tcW w:w="4876" w:type="dxa"/>
            <w:hideMark/>
          </w:tcPr>
          <w:p w:rsidR="00B0509C" w:rsidRPr="00CC7D67" w:rsidRDefault="00B0509C" w:rsidP="00B0509C">
            <w:pPr>
              <w:pStyle w:val="Normal6"/>
              <w:rPr>
                <w:szCs w:val="24"/>
              </w:rPr>
            </w:pPr>
            <w:r w:rsidRPr="00CC7D67">
              <w:t xml:space="preserve">Objectif </w:t>
            </w:r>
            <w:r w:rsidRPr="00CC7D67">
              <w:rPr>
                <w:b/>
                <w:i/>
              </w:rPr>
              <w:t>d’émissions</w:t>
            </w:r>
            <w:r w:rsidRPr="00CC7D67">
              <w:t xml:space="preserve"> spécifiques = (objectif d’émissions spécifiques de référence – (ø</w:t>
            </w:r>
            <w:r w:rsidRPr="00CC7D67">
              <w:rPr>
                <w:vertAlign w:val="subscript"/>
              </w:rPr>
              <w:t>objectifs</w:t>
            </w:r>
            <w:r w:rsidRPr="00CC7D67">
              <w:t> – objectif à l’échelle du parc de l’UE</w:t>
            </w:r>
            <w:r w:rsidRPr="00CC7D67">
              <w:rPr>
                <w:b/>
                <w:i/>
                <w:vertAlign w:val="subscript"/>
              </w:rPr>
              <w:t>2026</w:t>
            </w:r>
            <w:r w:rsidRPr="00CC7D67">
              <w:t>)) ·  facteur ZLEV</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614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est l’objectif d’émissions spécifiques de référence pour le constructeur déterminé conformément au point 6.2.1.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ø</w:t>
            </w:r>
            <w:r w:rsidRPr="00CC7D67">
              <w:rPr>
                <w:b/>
                <w:i/>
                <w:vertAlign w:val="subscript"/>
              </w:rPr>
              <w:t>objectifs</w:t>
            </w:r>
            <w:r w:rsidRPr="00CC7D67">
              <w:rPr>
                <w:b/>
                <w:i/>
              </w:rPr>
              <w:t xml:space="preserve"> est la moyenne, pondérée par le nombre de véhicules utilitaires légers nouvellement immatriculés de chaque constructeur individuel, de tous les objectifs d’émissions spécifiques de référence déterminés conformément au point 6.2.1;</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ZLEV est égal à (1+y-x), à moins que cette somme ne soit supérieure à 1,05 ou inférieure à 1,0, auquel cas le facteur ZLEV est fixé à 1,05 ou 1,0 selon le cas</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615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est l’objectif d’émissions spécifiques de référence pour le constructeur déterminé conformément au point 6.2.1.</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616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objectif d’émissions spécifiques </w:t>
            </w:r>
            <w:r w:rsidRPr="00CC7D67">
              <w:rPr>
                <w:b/>
                <w:i/>
              </w:rPr>
              <w:t>de référence</w:t>
            </w:r>
            <w:r w:rsidRPr="00CC7D67">
              <w:t xml:space="preserve"> est l’objectif d’émissions spécifiques </w:t>
            </w:r>
            <w:r w:rsidRPr="00CC7D67">
              <w:rPr>
                <w:b/>
                <w:i/>
              </w:rPr>
              <w:t>de référence</w:t>
            </w:r>
            <w:r w:rsidRPr="00CC7D67">
              <w:t xml:space="preserve"> pour le constructeur déterminé </w:t>
            </w:r>
            <w:r w:rsidRPr="00CC7D67">
              <w:rPr>
                <w:b/>
                <w:i/>
              </w:rPr>
              <w:t>conformément au</w:t>
            </w:r>
            <w:r w:rsidRPr="00CC7D67">
              <w:t xml:space="preserve"> point </w:t>
            </w:r>
            <w:r w:rsidRPr="00CC7D67">
              <w:rPr>
                <w:b/>
                <w:i/>
              </w:rPr>
              <w:t>6.2.1</w:t>
            </w:r>
            <w:r w:rsidRPr="00CC7D67">
              <w:t>.</w:t>
            </w:r>
          </w:p>
        </w:tc>
        <w:tc>
          <w:tcPr>
            <w:tcW w:w="4876" w:type="dxa"/>
            <w:hideMark/>
          </w:tcPr>
          <w:p w:rsidR="00B0509C" w:rsidRPr="00CC7D67" w:rsidRDefault="00B0509C" w:rsidP="00B0509C">
            <w:pPr>
              <w:pStyle w:val="Normal6"/>
              <w:rPr>
                <w:color w:val="000005"/>
                <w:szCs w:val="24"/>
              </w:rPr>
            </w:pPr>
            <w:r w:rsidRPr="00CC7D67">
              <w:t>objectif d’émissions spécifiques</w:t>
            </w:r>
            <w:r w:rsidRPr="00CC7D67">
              <w:rPr>
                <w:b/>
                <w:i/>
                <w:vertAlign w:val="subscript"/>
              </w:rPr>
              <w:t>2021</w:t>
            </w:r>
            <w:r w:rsidRPr="00CC7D67">
              <w:t xml:space="preserve"> est l’objectif d’émissions spécifiques pour le constructeur déterminé </w:t>
            </w:r>
            <w:r w:rsidRPr="00CC7D67">
              <w:rPr>
                <w:b/>
                <w:i/>
              </w:rPr>
              <w:t>pour chaque constructeur en 2021;</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facteur de réduction est égal à la réduction spécifiée à l’article 1</w:t>
            </w:r>
            <w:r w:rsidRPr="00CC7D67">
              <w:rPr>
                <w:b/>
                <w:i/>
                <w:vertAlign w:val="superscript"/>
              </w:rPr>
              <w:t>er</w:t>
            </w:r>
            <w:r w:rsidRPr="00CC7D67">
              <w:rPr>
                <w:b/>
                <w:i/>
              </w:rPr>
              <w:t xml:space="preserve">, paragraphe 4, </w:t>
            </w:r>
            <w:r w:rsidRPr="00CC7D67">
              <w:t>point</w:t>
            </w:r>
            <w:r w:rsidRPr="00CC7D67">
              <w:rPr>
                <w:b/>
                <w:i/>
              </w:rPr>
              <w:t> b)</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617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ø</w:t>
            </w:r>
            <w:r w:rsidRPr="00CC7D67">
              <w:rPr>
                <w:b/>
                <w:i/>
                <w:vertAlign w:val="subscript"/>
              </w:rPr>
              <w:t>objectifs</w:t>
            </w:r>
            <w:r w:rsidRPr="00CC7D67">
              <w:rPr>
                <w:b/>
                <w:i/>
              </w:rPr>
              <w:t xml:space="preserve"> est la moyenne, pondérée par le nombre de véhicules utilitaires légers nouvellement immatriculés de chaque constructeur individuel, de tous les objectifs d’émissions spécifiques de référence déterminés conformément au point 6.2.1;</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618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ø</w:t>
            </w:r>
            <w:r w:rsidRPr="00CC7D67">
              <w:rPr>
                <w:b/>
                <w:i/>
                <w:vertAlign w:val="subscript"/>
              </w:rPr>
              <w:t>objectifs</w:t>
            </w:r>
            <w:r w:rsidRPr="00CC7D67">
              <w:rPr>
                <w:b/>
                <w:i/>
              </w:rPr>
              <w:t xml:space="preserve"> est la moyenne, pondérée par le nombre de véhicules utilitaires légers nouvellement immatriculés de chaque constructeur individuel, de tous les objectifs d’émissions spécifiques de référence déterminés conformément au point 6.2.1;</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619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ZLEV est égal à (1+y-x), à moins que cette somme ne soit supérieure à 1,05 ou inférieure à 1,0, auquel cas le facteur ZLEV est fixé à 1,05 ou 1,0 selon le cas</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620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ZLEV est égal à (1+y-x)</w:t>
            </w:r>
            <w:r w:rsidRPr="00CC7D67">
              <w:rPr>
                <w:b/>
                <w:i/>
              </w:rPr>
              <w:t>, à moins que cette somme ne soit supérieure à 1,05 ou inférieure à 1,0, auquel cas le facteur ZLEV est fixé à 1,05 ou 1,0 selon le cas</w:t>
            </w:r>
          </w:p>
        </w:tc>
        <w:tc>
          <w:tcPr>
            <w:tcW w:w="4876" w:type="dxa"/>
            <w:hideMark/>
          </w:tcPr>
          <w:p w:rsidR="00B0509C" w:rsidRPr="00CC7D67" w:rsidRDefault="00B0509C" w:rsidP="00B0509C">
            <w:pPr>
              <w:pStyle w:val="Normal6"/>
              <w:rPr>
                <w:szCs w:val="24"/>
              </w:rPr>
            </w:pPr>
            <w:r w:rsidRPr="00CC7D67">
              <w:t>Facteur ZLEV est égal à (1+y-x)</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621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José Inácio Faria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ZLEV est égal à (1+y-x), à moins que cette somme ne soit supérieure à 1,05 ou inférieure à </w:t>
            </w:r>
            <w:r w:rsidRPr="00CC7D67">
              <w:rPr>
                <w:b/>
                <w:i/>
              </w:rPr>
              <w:t>1,0</w:t>
            </w:r>
            <w:r w:rsidRPr="00CC7D67">
              <w:t>, auquel cas le facteur ZLEV est fixé à 1,05 ou </w:t>
            </w:r>
            <w:r w:rsidRPr="00CC7D67">
              <w:rPr>
                <w:b/>
                <w:i/>
              </w:rPr>
              <w:t>1,0</w:t>
            </w:r>
            <w:r w:rsidRPr="00CC7D67">
              <w:t xml:space="preserve"> selon le cas  </w:t>
            </w:r>
          </w:p>
        </w:tc>
        <w:tc>
          <w:tcPr>
            <w:tcW w:w="4876" w:type="dxa"/>
            <w:hideMark/>
          </w:tcPr>
          <w:p w:rsidR="00B0509C" w:rsidRPr="00CC7D67" w:rsidRDefault="00B0509C" w:rsidP="00B0509C">
            <w:pPr>
              <w:pStyle w:val="Normal6"/>
              <w:rPr>
                <w:szCs w:val="24"/>
              </w:rPr>
            </w:pPr>
            <w:r w:rsidRPr="00CC7D67">
              <w:t>facteur ZLEV est égal à (1+y-x), à moins que cette somme ne soit supérieure à 1,05 ou inférieure à </w:t>
            </w:r>
            <w:r w:rsidRPr="00CC7D67">
              <w:rPr>
                <w:b/>
                <w:i/>
              </w:rPr>
              <w:t>0,95</w:t>
            </w:r>
            <w:r w:rsidRPr="00CC7D67">
              <w:t>, auquel cas le facteur ZLEV est fixé à 1,05 ou </w:t>
            </w:r>
            <w:r w:rsidRPr="00CC7D67">
              <w:rPr>
                <w:b/>
                <w:i/>
              </w:rPr>
              <w:t>0,95</w:t>
            </w:r>
            <w:r w:rsidRPr="00CC7D67">
              <w:t xml:space="preserve"> selon le cas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L’Europe doit accélérer sa transition vers l’électromobilité pour rattraper son retard par rapport à d’autres marchés mondiaux, comme la Chine, les États-Unis et le Japon. Comme la Commission l’a recommandé dans son analyse d’impact, il convient d’effectuer un ajustement bidirectionnel de la référence ZLEV pour garantir la réalisation opportune d’investissements dans la production de véhicules, les infrastructures et la chaîne d’approvisionnement. C’est la perspective du désavantage qui poussera les constructeurs automobiles à commercialiser comme il se doit et à vendre des véhicules à émission zéro. Les prévisions de ventes pour les années 2020 dépassent largement les propositions de la Commission et devraient être revues à la hausse afin d’être alignées sur les prévisions de croissance des véhicules électriques.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622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Gesine Meissner, Ulrike Müller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ZLEV est égal à (1+y-x), à moins que cette somme ne soit supérieure à </w:t>
            </w:r>
            <w:r w:rsidRPr="00CC7D67">
              <w:rPr>
                <w:b/>
                <w:i/>
              </w:rPr>
              <w:t>1,05</w:t>
            </w:r>
            <w:r w:rsidRPr="00CC7D67">
              <w:t xml:space="preserve"> ou inférieure à 1,0, auquel cas le facteur ZLEV est fixé à </w:t>
            </w:r>
            <w:r w:rsidRPr="00CC7D67">
              <w:rPr>
                <w:b/>
                <w:i/>
              </w:rPr>
              <w:t>1,05</w:t>
            </w:r>
            <w:r w:rsidRPr="00CC7D67">
              <w:t xml:space="preserve"> ou 1,0 selon le cas</w:t>
            </w:r>
          </w:p>
        </w:tc>
        <w:tc>
          <w:tcPr>
            <w:tcW w:w="4876" w:type="dxa"/>
            <w:hideMark/>
          </w:tcPr>
          <w:p w:rsidR="00B0509C" w:rsidRPr="00CC7D67" w:rsidRDefault="00B0509C" w:rsidP="00B0509C">
            <w:pPr>
              <w:pStyle w:val="Normal6"/>
              <w:rPr>
                <w:szCs w:val="24"/>
              </w:rPr>
            </w:pPr>
            <w:r w:rsidRPr="00CC7D67">
              <w:t>facteur ZLEV est égal à (1+y-x), à moins que cette somme ne soit supérieure à </w:t>
            </w:r>
            <w:r w:rsidRPr="00CC7D67">
              <w:rPr>
                <w:b/>
                <w:i/>
              </w:rPr>
              <w:t>1,15</w:t>
            </w:r>
            <w:r w:rsidRPr="00CC7D67">
              <w:t xml:space="preserve"> ou inférieure à 1,0, auquel cas le facteur ZLEV est fixé à </w:t>
            </w:r>
            <w:r w:rsidRPr="00CC7D67">
              <w:rPr>
                <w:b/>
                <w:i/>
              </w:rPr>
              <w:t>1,15</w:t>
            </w:r>
            <w:r w:rsidRPr="00CC7D67">
              <w:t xml:space="preserve"> ou 1,0 selon le cas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623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Gerben-Jan Gerbrandy</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facteur ZLEV est égal à (1+y-x), à moins que cette somme ne soit supérieure à 1,05 </w:t>
            </w:r>
            <w:r w:rsidRPr="00CC7D67">
              <w:rPr>
                <w:b/>
                <w:i/>
              </w:rPr>
              <w:t>ou inférieure à 1,0</w:t>
            </w:r>
            <w:r w:rsidRPr="00CC7D67">
              <w:t xml:space="preserve">, auquel cas le facteur ZLEV est fixé à 1,05 </w:t>
            </w:r>
            <w:r w:rsidRPr="00CC7D67">
              <w:rPr>
                <w:b/>
                <w:i/>
              </w:rPr>
              <w:t>ou 1,0 selon le cas</w:t>
            </w:r>
          </w:p>
        </w:tc>
        <w:tc>
          <w:tcPr>
            <w:tcW w:w="4876" w:type="dxa"/>
            <w:hideMark/>
          </w:tcPr>
          <w:p w:rsidR="00B0509C" w:rsidRPr="00CC7D67" w:rsidRDefault="00B0509C" w:rsidP="00B0509C">
            <w:pPr>
              <w:pStyle w:val="Normal6"/>
              <w:rPr>
                <w:szCs w:val="24"/>
              </w:rPr>
            </w:pPr>
            <w:r w:rsidRPr="00CC7D67">
              <w:t>facteur ZLEV est égal à (1+y-x), à moins que cette somme ne soit supérieure à 1,05, auquel cas le facteur ZLEV est fixé à 1,05</w:t>
            </w:r>
            <w:r w:rsidRPr="00CC7D67">
              <w:rPr>
                <w:b/>
                <w:i/>
              </w:rPr>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Cet amendement supprime l’exemption de cette règle qui était accordée aux constructeurs sous-performants. Le bonus octroyé pour les véhicules à émission nulle et à faibles émissions est complété par un malus: si le nombre de véhicules à émission nulle et à faibles émissions dans le parc du constructeur n’atteint pas le niveau de référence, il se verra attribuer un objectif d’émissions plus rigoureux.</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624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Kateřina Konečná</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3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où: 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ZLEV</w:t>
            </w:r>
            <w:r w:rsidRPr="00CC7D67">
              <w:rPr>
                <w:b/>
                <w:i/>
                <w:vertAlign w:val="subscript"/>
              </w:rPr>
              <w:t>spécifique</w:t>
            </w:r>
            <w:r w:rsidRPr="00CC7D67">
              <w:rPr>
                <w:b/>
                <w:i/>
              </w:rPr>
              <w:t xml:space="preserve"> conformément à la formule ci-dessous, divisé par le nombre total de véhicules utilitaires légers immatriculés au cours de l’année civile concernée</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ZLEV</w:t>
            </w:r>
            <w:r w:rsidRPr="00CC7D67">
              <w:rPr>
                <w:b/>
                <w:i/>
                <w:vertAlign w:val="subscript"/>
              </w:rPr>
              <w:t>spécifique</w:t>
            </w:r>
            <w:r w:rsidRPr="00CC7D67">
              <w:rPr>
                <w:b/>
                <w:i/>
              </w:rPr>
              <w:t> = 1 - (émissions spécifiques divisées par 50)</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x est égal à 20 % en 2025 et de 40 à 60 % en 2030 en fonction de la révision de l’article 14.</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625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ZLEV</w:t>
            </w:r>
            <w:r w:rsidRPr="00CC7D67">
              <w:rPr>
                <w:b/>
                <w:i/>
                <w:vertAlign w:val="subscript"/>
              </w:rPr>
              <w:t>spécifique</w:t>
            </w:r>
            <w:r w:rsidRPr="00CC7D67">
              <w:rPr>
                <w:b/>
                <w:i/>
              </w:rPr>
              <w:t xml:space="preserve"> conformément à la formule ci-dessous, divisé par le nombre total de véhicules utilitaires légers immatriculés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x est égal à 15 %.</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626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Gesine Meissner, Ulrike Müller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4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w:t>
            </w:r>
            <w:r w:rsidRPr="00CC7D67">
              <w:rPr>
                <w:b/>
                <w:i/>
              </w:rPr>
              <w:t>ZLEV</w:t>
            </w:r>
            <w:r w:rsidRPr="00CC7D67">
              <w:rPr>
                <w:b/>
                <w:i/>
                <w:vertAlign w:val="subscript"/>
              </w:rPr>
              <w:t>spécifique</w:t>
            </w:r>
            <w:r w:rsidRPr="00CC7D67">
              <w:rPr>
                <w:b/>
                <w:i/>
              </w:rPr>
              <w:t xml:space="preserve"> conformément à la formule ci-dessous,</w:t>
            </w:r>
            <w:r w:rsidRPr="00CC7D67">
              <w:t xml:space="preserve"> divisé par le nombre total de véhicules utilitaires légers immatriculés au cours de l’année civile concernée</w:t>
            </w:r>
          </w:p>
        </w:tc>
        <w:tc>
          <w:tcPr>
            <w:tcW w:w="4876" w:type="dxa"/>
            <w:hideMark/>
          </w:tcPr>
          <w:p w:rsidR="00B0509C" w:rsidRPr="00CC7D67" w:rsidRDefault="00B0509C" w:rsidP="00B0509C">
            <w:pPr>
              <w:pStyle w:val="Normal6"/>
              <w:rPr>
                <w:color w:val="000005"/>
                <w:szCs w:val="24"/>
              </w:rPr>
            </w:pPr>
            <w:r w:rsidRPr="00CC7D67">
              <w:t>y est la part de véhicules à émission nulle et à faibles émissions dans le parc de voitures particulières nouvellement immatriculées du constructeur, calculée comme le nombre total de véhicules à émission nulle et à faibles émissions, chacun d’entre eux étant compté comme</w:t>
            </w:r>
            <w:r w:rsidRPr="00CC7D67">
              <w:rPr>
                <w:b/>
                <w:i/>
              </w:rPr>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0,5 véhicule, si sa plage sans émission dépasse 50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1 véhicule, si sa plage sans émission dépasse 100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2 véhicules, si sa plage sans émission dépasse 200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3 véhicules, si sa plage sans émission dépasse 300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4 véhicules, si sa plage sans émission dépasse 400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t>divisé par le nombre total de véhicules utilitaires légers immatriculés au cours de l’année civile concernée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627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4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ZLEV</w:t>
            </w:r>
            <w:r w:rsidRPr="00CC7D67">
              <w:rPr>
                <w:vertAlign w:val="subscript"/>
              </w:rPr>
              <w:t>spécifique</w:t>
            </w:r>
            <w:r w:rsidRPr="00CC7D67">
              <w:t xml:space="preserve"> conformément à la formule ci-dessous, divisé par le nombre total de véhicules utilitaires légers immatriculés au cours de l’année civile concernée</w:t>
            </w:r>
          </w:p>
        </w:tc>
        <w:tc>
          <w:tcPr>
            <w:tcW w:w="4876" w:type="dxa"/>
            <w:hideMark/>
          </w:tcPr>
          <w:p w:rsidR="00B0509C" w:rsidRPr="00CC7D67" w:rsidRDefault="00B0509C" w:rsidP="00B0509C">
            <w:pPr>
              <w:pStyle w:val="Normal6"/>
              <w:rPr>
                <w:szCs w:val="24"/>
              </w:rPr>
            </w:pPr>
            <w:r w:rsidRPr="00CC7D67">
              <w:t>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ZLEV</w:t>
            </w:r>
            <w:r w:rsidRPr="00CC7D67">
              <w:rPr>
                <w:vertAlign w:val="subscript"/>
              </w:rPr>
              <w:t>spécifique</w:t>
            </w:r>
            <w:r w:rsidRPr="00CC7D67">
              <w:t xml:space="preserve"> conformément à la formule ci-dessous, divisé par le nombre total de véhicules utilitaires légers immatriculés au cours de l’année civile concernée</w:t>
            </w:r>
            <w:r w:rsidRPr="00CC7D67">
              <w:rPr>
                <w:b/>
                <w:i/>
              </w:rPr>
              <w:t>. Seuls les véhicules électriques hybrides OVC d’une autonomie en mode tout électrique minimale de 50 km sont pris en compte dans le facteur ZLEV de chaque constructeur, tel que défini dans le règlement (UE) 2017/1151 de la Commission.</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628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Gesine Meissner, Ulrike Müller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4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E454A5" w:rsidP="00B0509C">
            <w:pPr>
              <w:pStyle w:val="Normal6"/>
              <w:rPr>
                <w:color w:val="0000FA"/>
              </w:rPr>
            </w:pPr>
            <w:r>
              <w:pict>
                <v:shape id="_x0000_i1031" type="#_x0000_t75" style="width:225.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6117&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A7A25&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9E0902&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9E0902&quot; wsp:rsidRDefault=&quot;009E0902&quot; wsp:rsidP=&quot;009E0902&quot;&gt;&lt;m:oMathPara&gt;&lt;m:oMath&gt;&lt;m:sSub&gt;&lt;m:sSubPr&gt;&lt;m:ctrlPr&gt;&lt;w:rPr&gt;&lt;w:rFonts w:ascii=&quot;Cambria Math&quot; w:h-ansi=&quot;Cambria Math&quot;/&gt;&lt;wx:font wx:val=&quot;Cambria Math&quot;/&gt;&lt;w:b/&gt;&lt;w:i/&gt;&lt;w:highlight w:val=&quot;light-gray&quot;/&gt;&lt;/w:rPr&gt;&lt;/m:ctrlPr&gt;&lt;/m:sSubPr&gt;&lt;m:e&gt;&lt;m:r&gt;&lt;m:rPr&gt;&lt;m:sty m:val=&quot;bi&quot;/&gt;&lt;/m:rPr&gt;&lt;w:rPr&gt;&lt;w:rFonts w:ascii=&quot;Cambria Math&quot; w:h-ansi=&quot;Cambria Math&quot;/&gt;&lt;wx:font wx:val=&quot;Cambria Math&quot;/&gt;&lt;w:b/&gt;&lt;w:i/&gt;&lt;w:highlight w:val=&quot;light-gray&quot;/&gt;&lt;/w:rPr&gt;&lt;m:t&gt;ZLEV&lt;/m:t&gt;&lt;/m:r&gt;&lt;/m:e&gt;&lt;m:sub&gt;&lt;m:r&gt;&lt;m:rPr&gt;&lt;m:sty m:val=&quot;bi&quot;/&gt;&lt;/m:rPr&gt;&lt;w:rPr&gt;&lt;w:rFonts w:ascii=&quot;Cambria Math&quot; w:h-ansi=&quot;Cambria Math&quot;/&gt;&lt;wx:font wx:val=&quot;Cambria Math&quot;/&gt;&lt;w:b/&gt;&lt;w:i/&gt;&lt;w:highlight w:val=&quot;light-gray&quot;/&gt;&lt;/w:rPr&gt;&lt;m:t&gt;spÃ©cifique&lt;/m:t&gt;&lt;/m:r&gt;&lt;/m:sub&gt;&lt;/m:sSub&gt;&lt;m:r&gt;&lt;m:rPr&gt;&lt;m:sty m:val=&quot;bi&quot;/&gt;&lt;/m:rPr&gt;&lt;w:rPr&gt;&lt;w:rFonts w:ascii=&quot;Cambria Math&quot; w:h-ansi=&quot;Cambria Math&quot;/&gt;&lt;wx:font wx:val=&quot;Cambria Math&quot;/&gt;&lt;w:b/&gt;&lt;w:i/&gt;&lt;w:highlight w:val=&quot;light-gray&quot;/&gt;&lt;/w:rPr&gt;&lt;m:t&gt;=1-&lt;/m:t&gt;&lt;/m:r&gt;&lt;m:d&gt;&lt;m:dPr&gt;&lt;m:ctrlPr&gt;&lt;w:rPr&gt;&lt;w:rFonts w:ascii=&quot;Cambria Math&quot; w:h-ansi=&quot;Cambria Math&quot;/&gt;&lt;wx:font wx:val=&quot;Cambria Math&quot;/&gt;&lt;w:b/&gt;&lt;w:i/&gt;&lt;w:highlight w:val=&quot;light-gray&quot;/&gt;&lt;/w:rPr&gt;&lt;/m:ctrlPr&gt;&lt;/m:dPr&gt;&lt;m:e&gt;&lt;m:f&gt;&lt;m:fPr&gt;&lt;m:ctrlPr&gt;&lt;w:rPr&gt;&lt;w:rFonts w:ascii=&quot;Cambria Math&quot; w:h-ansi=&quot;Cambria Math&quot;/&gt;&lt;wx:font wx:val=&quot;Cambria Math&quot;/&gt;&lt;w:b/&gt;&lt;w:i/&gt;&lt;w:highlight w:val=&quot;light-gray&quot;/&gt;&lt;/w:rPr&gt;&lt;/m:ctrlPr&gt;&lt;/m:fPr&gt;&lt;m:num&gt;&lt;m:r&gt;&lt;m:rPr&gt;&lt;m:sty m:val=&quot;bi&quot;/&gt;&lt;/m:rPr&gt;&lt;w:rPr&gt;&lt;w:rFonts w:ascii=&quot;Cambria Math&quot; w:h-ansi=&quot;Cambria Math&quot;/&gt;&lt;wx:font wx:val=&quot;Cambria Math&quot;/&gt;&lt;w:b/&gt;&lt;w:i/&gt;&lt;w:highlight w:val=&quot;light-gray&quot;/&gt;&lt;/w:rPr&gt;&lt;m:t&gt;Ã©missions spÃ©cifiques &lt;/m:t&gt;&lt;/m:r&gt;&lt;/m:num&gt;&lt;m:den&gt;&lt;m:r&gt;&lt;m:rPr&gt;&lt;m:sty m:val=&quot;bi&quot;/&gt;&lt;/m:rPr&gt;&lt;w:rPr&gt;&lt;w:rFonts w:ascii=&quot;Cambria Math&quot; w:h-ansi=&quot;Cambria Math&quot;/&gt;&lt;wx:font wx:val=&quot;Cambria Math&quot;/&gt;&lt;w:b/&gt;&lt;w:i/&gt;&lt;w:highlight w:val=&quot;light-gray&quot;/&gt;&lt;/w:rPr&gt;&lt;m:t&gt;50&lt;/m:t&gt;&lt;/m:r&gt;&lt;/m:den&gt;&lt;/m:f&gt;&lt;/m:e&gt;&lt;/m:d&gt;&lt;/m:oMath&gt;&lt;/m:oMathPara&gt;&lt;/w:p&gt;&lt;w:sectPr wsp:rsidR=&quot;00000000&quot; wsp:rsidRPr=&quot;009E090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629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Françoise Grossetête, Michel Dantin, Angélique Delahaye</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sous-point 6.3.1 – paragraphe 4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E454A5" w:rsidP="00B0509C">
            <w:pPr>
              <w:pStyle w:val="Normal6"/>
              <w:rPr>
                <w:color w:val="0000FA"/>
              </w:rPr>
            </w:pPr>
            <w:r>
              <w:pict>
                <v:shape id="_x0000_i1032" type="#_x0000_t75" style="width:22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6117&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A7A25&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35892&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935892&quot; wsp:rsidRDefault=&quot;00935892&quot; wsp:rsidP=&quot;00935892&quot;&gt;&lt;m:oMathPara&gt;&lt;m:oMath&gt;&lt;m:sSub&gt;&lt;m:sSubPr&gt;&lt;m:ctrlPr&gt;&lt;w:rPr&gt;&lt;w:rFonts w:ascii=&quot;Cambria Math&quot; w:h-ansi=&quot;Cambria Math&quot;/&gt;&lt;wx:font wx:val=&quot;Cambria Math&quot;/&gt;&lt;w:b/&gt;&lt;w:i/&gt;&lt;w:highlight w:val=&quot;light-gray&quot;/&gt;&lt;/w:rPr&gt;&lt;/m:ctrlPr&gt;&lt;/m:sSubPr&gt;&lt;m:e&gt;&lt;m:r&gt;&lt;m:rPr&gt;&lt;m:sty m:val=&quot;bi&quot;/&gt;&lt;/m:rPr&gt;&lt;w:rPr&gt;&lt;w:rFonts w:ascii=&quot;Cambria Math&quot; w:h-ansi=&quot;Cambria Math&quot;/&gt;&lt;wx:font wx:val=&quot;Cambria Math&quot;/&gt;&lt;w:b/&gt;&lt;w:i/&gt;&lt;w:highlight w:val=&quot;light-gray&quot;/&gt;&lt;/w:rPr&gt;&lt;m:t&gt;ZLEV&lt;/m:t&gt;&lt;/m:r&gt;&lt;/m:e&gt;&lt;m:sub&gt;&lt;m:r&gt;&lt;m:rPr&gt;&lt;m:sty m:val=&quot;bi&quot;/&gt;&lt;/m:rPr&gt;&lt;w:rPr&gt;&lt;w:rFonts w:ascii=&quot;Cambria Math&quot; w:h-ansi=&quot;Cambria Math&quot;/&gt;&lt;wx:font wx:val=&quot;Cambria Math&quot;/&gt;&lt;w:b/&gt;&lt;w:i/&gt;&lt;w:highlight w:val=&quot;light-gray&quot;/&gt;&lt;/w:rPr&gt;&lt;m:t&gt;spÃ©cifique&lt;/m:t&gt;&lt;/m:r&gt;&lt;/m:sub&gt;&lt;/m:sSub&gt;&lt;m:r&gt;&lt;m:rPr&gt;&lt;m:sty m:val=&quot;bi&quot;/&gt;&lt;/m:rPr&gt;&lt;w:rPr&gt;&lt;w:rFonts w:ascii=&quot;Cambria Math&quot; w:h-ansi=&quot;Cambria Math&quot;/&gt;&lt;wx:font wx:val=&quot;Cambria Math&quot;/&gt;&lt;w:b/&gt;&lt;w:i/&gt;&lt;w:highlight w:val=&quot;light-gray&quot;/&gt;&lt;/w:rPr&gt;&lt;m:t&gt;=1-&lt;/m:t&gt;&lt;/m:r&gt;&lt;m:d&gt;&lt;m:dPr&gt;&lt;m:ctrlPr&gt;&lt;w:rPr&gt;&lt;w:rFonts w:ascii=&quot;Cambria Math&quot; w:h-ansi=&quot;Cambria Math&quot;/&gt;&lt;wx:font wx:val=&quot;Cambria Math&quot;/&gt;&lt;w:b/&gt;&lt;w:i/&gt;&lt;w:highlight w:val=&quot;light-gray&quot;/&gt;&lt;/w:rPr&gt;&lt;/m:ctrlPr&gt;&lt;/m:dPr&gt;&lt;m:e&gt;&lt;m:f&gt;&lt;m:fPr&gt;&lt;m:ctrlPr&gt;&lt;w:rPr&gt;&lt;w:rFonts w:ascii=&quot;Cambria Math&quot; w:h-ansi=&quot;Cambria Math&quot;/&gt;&lt;wx:font wx:val=&quot;Cambria Math&quot;/&gt;&lt;w:b/&gt;&lt;w:i/&gt;&lt;w:highlight w:val=&quot;light-gray&quot;/&gt;&lt;/w:rPr&gt;&lt;/m:ctrlPr&gt;&lt;/m:fPr&gt;&lt;m:num&gt;&lt;m:r&gt;&lt;m:rPr&gt;&lt;m:sty m:val=&quot;bi&quot;/&gt;&lt;/m:rPr&gt;&lt;w:rPr&gt;&lt;w:rFonts w:ascii=&quot;Cambria Math&quot; w:h-ansi=&quot;Cambria Math&quot;/&gt;&lt;wx:font wx:val=&quot;Cambria Math&quot;/&gt;&lt;w:b/&gt;&lt;w:i/&gt;&lt;w:highlight w:val=&quot;light-gray&quot;/&gt;&lt;/w:rPr&gt;&lt;m:t&gt;Ã©missions spÃ©cifiques &lt;/m:t&gt;&lt;/m:r&gt;&lt;/m:num&gt;&lt;m:den&gt;&lt;m:r&gt;&lt;m:rPr&gt;&lt;m:sty m:val=&quot;bi&quot;/&gt;&lt;/m:rPr&gt;&lt;w:rPr&gt;&lt;w:rFonts w:ascii=&quot;Cambria Math&quot; w:h-ansi=&quot;Cambria Math&quot;/&gt;&lt;wx:font wx:val=&quot;Cambria Math&quot;/&gt;&lt;w:b/&gt;&lt;w:i/&gt;&lt;w:highlight w:val=&quot;light-gray&quot;/&gt;&lt;/w:rPr&gt;&lt;m:t&gt;50&lt;/m:t&gt;&lt;/m:r&gt;&lt;/m:den&gt;&lt;/m:f&gt;&lt;/m:e&gt;&lt;/m:d&gt;&lt;/m:oMath&gt;&lt;/m:oMathPara&gt;&lt;/w:p&gt;&lt;w:sectPr wsp:rsidR=&quot;00000000&quot; wsp:rsidRPr=&quot;0093589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p>
        </w:tc>
        <w:tc>
          <w:tcPr>
            <w:tcW w:w="4876" w:type="dxa"/>
            <w:hideMark/>
          </w:tcPr>
          <w:p w:rsidR="00B0509C" w:rsidRPr="00CC7D67" w:rsidRDefault="00E454A5" w:rsidP="00B0509C">
            <w:pPr>
              <w:pStyle w:val="Normal6"/>
              <w:rPr>
                <w:szCs w:val="24"/>
              </w:rPr>
            </w:pPr>
            <w:r>
              <w:pict>
                <v:shape id="_x0000_i1033" type="#_x0000_t75" style="width:22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6117&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A7A25&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64CA9&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A64CA9&quot; wsp:rsidRDefault=&quot;00A64CA9&quot; wsp:rsidP=&quot;00A64CA9&quot;&gt;&lt;m:oMathPara&gt;&lt;m:oMath&gt;&lt;m:sSub&gt;&lt;m:sSubPr&gt;&lt;m:ctrlPr&gt;&lt;w:rPr&gt;&lt;w:rFonts w:ascii=&quot;Cambria Math&quot; w:h-ansi=&quot;Cambria Math&quot;/&gt;&lt;wx:font wx:val=&quot;Cambria Math&quot;/&gt;&lt;w:b/&gt;&lt;w:i/&gt;&lt;w:highlight w:val=&quot;light-gray&quot;/&gt;&lt;/w:rPr&gt;&lt;/m:ctrlPr&gt;&lt;/m:sSubPr&gt;&lt;m:e&gt;&lt;m:r&gt;&lt;m:rPr&gt;&lt;m:sty m:val=&quot;bi&quot;/&gt;&lt;/m:rPr&gt;&lt;w:rPr&gt;&lt;w:rFonts w:ascii=&quot;Cambria Math&quot; w:h-ansi=&quot;Cambria Math&quot;/&gt;&lt;wx:font wx:val=&quot;Cambria Math&quot;/&gt;&lt;w:b/&gt;&lt;w:i/&gt;&lt;w:highlight w:val=&quot;light-gray&quot;/&gt;&lt;/w:rPr&gt;&lt;m:t&gt;ZLEV&lt;/m:t&gt;&lt;/m:r&gt;&lt;/m:e&gt;&lt;m:sub&gt;&lt;m:r&gt;&lt;m:rPr&gt;&lt;m:sty m:val=&quot;bi&quot;/&gt;&lt;/m:rPr&gt;&lt;w:rPr&gt;&lt;w:rFonts w:ascii=&quot;Cambria Math&quot; w:h-ansi=&quot;Cambria Math&quot;/&gt;&lt;wx:font wx:val=&quot;Cambria Math&quot;/&gt;&lt;w:b/&gt;&lt;w:i/&gt;&lt;w:highlight w:val=&quot;light-gray&quot;/&gt;&lt;/w:rPr&gt;&lt;m:t&gt;spÃ©cifique&lt;/m:t&gt;&lt;/m:r&gt;&lt;/m:sub&gt;&lt;/m:sSub&gt;&lt;m:r&gt;&lt;m:rPr&gt;&lt;m:sty m:val=&quot;bi&quot;/&gt;&lt;/m:rPr&gt;&lt;w:rPr&gt;&lt;w:rFonts w:ascii=&quot;Cambria Math&quot; w:h-ansi=&quot;Cambria Math&quot;/&gt;&lt;wx:font wx:val=&quot;Cambria Math&quot;/&gt;&lt;w:b/&gt;&lt;w:i/&gt;&lt;w:highlight w:val=&quot;light-gray&quot;/&gt;&lt;/w:rPr&gt;&lt;m:t&gt;=1-&lt;/m:t&gt;&lt;/m:r&gt;&lt;m:d&gt;&lt;m:dPr&gt;&lt;m:ctrlPr&gt;&lt;w:rPr&gt;&lt;w:rFonts w:ascii=&quot;Cambria Math&quot; w:h-ansi=&quot;Cambria Math&quot;/&gt;&lt;wx:font wx:val=&quot;Cambria Math&quot;/&gt;&lt;w:b/&gt;&lt;w:i/&gt;&lt;w:highlight w:val=&quot;light-gray&quot;/&gt;&lt;/w:rPr&gt;&lt;/m:ctrlPr&gt;&lt;/m:dPr&gt;&lt;m:e&gt;&lt;m:f&gt;&lt;m:fPr&gt;&lt;m:ctrlPr&gt;&lt;w:rPr&gt;&lt;w:rFonts w:ascii=&quot;Cambria Math&quot; w:h-ansi=&quot;Cambria Math&quot;/&gt;&lt;wx:font wx:val=&quot;Cambria Math&quot;/&gt;&lt;w:b/&gt;&lt;w:i/&gt;&lt;w:highlight w:val=&quot;light-gray&quot;/&gt;&lt;/w:rPr&gt;&lt;/m:ctrlPr&gt;&lt;/m:fPr&gt;&lt;m:num&gt;&lt;m:r&gt;&lt;m:rPr&gt;&lt;m:sty m:val=&quot;bi&quot;/&gt;&lt;/m:rPr&gt;&lt;w:rPr&gt;&lt;w:rFonts w:ascii=&quot;Cambria Math&quot; w:h-ansi=&quot;Cambria Math&quot;/&gt;&lt;wx:font wx:val=&quot;Cambria Math&quot;/&gt;&lt;w:b/&gt;&lt;w:i/&gt;&lt;w:highlight w:val=&quot;light-gray&quot;/&gt;&lt;/w:rPr&gt;&lt;m:t&gt;Ã©missions spÃ©cifiques x 0,5 &lt;/m:t&gt;&lt;/m:r&gt;&lt;/m:num&gt;&lt;m:den&gt;&lt;m:r&gt;&lt;m:rPr&gt;&lt;m:sty m:val=&quot;bi&quot;/&gt;&lt;/m:rPr&gt;&lt;w:rPr&gt;&lt;w:rFonts w:ascii=&quot;Cambria Math&quot; w:h-ansi=&quot;Cambria Math&quot;/&gt;&lt;wx:font wx:val=&quot;Cambria Math&quot;/&gt;&lt;w:b/&gt;&lt;w:i/&gt;&lt;w:highlight w:val=&quot;light-gray&quot;/&gt;&lt;/w:rPr&gt;&lt;m:t&gt;70&lt;/m:t&gt;&lt;/m:r&gt;&lt;/m:den&gt;&lt;/m:f&gt;&lt;/m:e&gt;&lt;/m:d&gt;&lt;/m:oMath&gt;&lt;/m:oMathPara&gt;&lt;/w:p&gt;&lt;w:sectPr wsp:rsidR=&quot;00000000&quot; wsp:rsidRPr=&quot;00A64CA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{FR}</w:t>
      </w:r>
      <w:r w:rsidRPr="00CC7D67">
        <w:rPr>
          <w:noProof w:val="0"/>
        </w:rPr>
        <w:t>fr</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La méthode de calcul proposée ne prend pas suffisamment en compte toutes les technologies alternatives qui peuvent participer à la réduction des émissions, au-delà du tout électrique. Il est nécessaire de proposer une méthode de calcul qui soit technologiquement neutre.</w:t>
      </w:r>
    </w:p>
    <w:p w:rsidR="00B0509C" w:rsidRPr="00CC7D67" w:rsidRDefault="00B0509C" w:rsidP="00B0509C">
      <w:pPr>
        <w:pStyle w:val="AMNumberTabs"/>
        <w:keepNext/>
      </w:pPr>
      <w:r w:rsidRPr="00CC7D67">
        <w:rPr>
          <w:rStyle w:val="HideTWBExt"/>
          <w:noProof w:val="0"/>
        </w:rPr>
        <w:t>&lt;/Amend&gt;</w:t>
      </w: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630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Pavel Poc, Daciana Octavia Sârbu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4 – sous-alinéa 2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E454A5" w:rsidP="00B0509C">
            <w:pPr>
              <w:pStyle w:val="Normal6"/>
              <w:rPr>
                <w:color w:val="0000FA"/>
              </w:rPr>
            </w:pPr>
            <w:r>
              <w:pict>
                <v:shape id="_x0000_i1034" type="#_x0000_t75" style="width:22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6117&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A7A25&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35892&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935892&quot; wsp:rsidRDefault=&quot;00935892&quot; wsp:rsidP=&quot;00935892&quot;&gt;&lt;m:oMathPara&gt;&lt;m:oMath&gt;&lt;m:sSub&gt;&lt;m:sSubPr&gt;&lt;m:ctrlPr&gt;&lt;w:rPr&gt;&lt;w:rFonts w:ascii=&quot;Cambria Math&quot; w:h-ansi=&quot;Cambria Math&quot;/&gt;&lt;wx:font wx:val=&quot;Cambria Math&quot;/&gt;&lt;w:b/&gt;&lt;w:i/&gt;&lt;w:highlight w:val=&quot;light-gray&quot;/&gt;&lt;/w:rPr&gt;&lt;/m:ctrlPr&gt;&lt;/m:sSubPr&gt;&lt;m:e&gt;&lt;m:r&gt;&lt;m:rPr&gt;&lt;m:sty m:val=&quot;bi&quot;/&gt;&lt;/m:rPr&gt;&lt;w:rPr&gt;&lt;w:rFonts w:ascii=&quot;Cambria Math&quot; w:h-ansi=&quot;Cambria Math&quot;/&gt;&lt;wx:font wx:val=&quot;Cambria Math&quot;/&gt;&lt;w:b/&gt;&lt;w:i/&gt;&lt;w:highlight w:val=&quot;light-gray&quot;/&gt;&lt;/w:rPr&gt;&lt;m:t&gt;ZLEV&lt;/m:t&gt;&lt;/m:r&gt;&lt;/m:e&gt;&lt;m:sub&gt;&lt;m:r&gt;&lt;m:rPr&gt;&lt;m:sty m:val=&quot;bi&quot;/&gt;&lt;/m:rPr&gt;&lt;w:rPr&gt;&lt;w:rFonts w:ascii=&quot;Cambria Math&quot; w:h-ansi=&quot;Cambria Math&quot;/&gt;&lt;wx:font wx:val=&quot;Cambria Math&quot;/&gt;&lt;w:b/&gt;&lt;w:i/&gt;&lt;w:highlight w:val=&quot;light-gray&quot;/&gt;&lt;/w:rPr&gt;&lt;m:t&gt;spÃ©cifique&lt;/m:t&gt;&lt;/m:r&gt;&lt;/m:sub&gt;&lt;/m:sSub&gt;&lt;m:r&gt;&lt;m:rPr&gt;&lt;m:sty m:val=&quot;bi&quot;/&gt;&lt;/m:rPr&gt;&lt;w:rPr&gt;&lt;w:rFonts w:ascii=&quot;Cambria Math&quot; w:h-ansi=&quot;Cambria Math&quot;/&gt;&lt;wx:font wx:val=&quot;Cambria Math&quot;/&gt;&lt;w:b/&gt;&lt;w:i/&gt;&lt;w:highlight w:val=&quot;light-gray&quot;/&gt;&lt;/w:rPr&gt;&lt;m:t&gt;=1-&lt;/m:t&gt;&lt;/m:r&gt;&lt;m:d&gt;&lt;m:dPr&gt;&lt;m:ctrlPr&gt;&lt;w:rPr&gt;&lt;w:rFonts w:ascii=&quot;Cambria Math&quot; w:h-ansi=&quot;Cambria Math&quot;/&gt;&lt;wx:font wx:val=&quot;Cambria Math&quot;/&gt;&lt;w:b/&gt;&lt;w:i/&gt;&lt;w:highlight w:val=&quot;light-gray&quot;/&gt;&lt;/w:rPr&gt;&lt;/m:ctrlPr&gt;&lt;/m:dPr&gt;&lt;m:e&gt;&lt;m:f&gt;&lt;m:fPr&gt;&lt;m:ctrlPr&gt;&lt;w:rPr&gt;&lt;w:rFonts w:ascii=&quot;Cambria Math&quot; w:h-ansi=&quot;Cambria Math&quot;/&gt;&lt;wx:font wx:val=&quot;Cambria Math&quot;/&gt;&lt;w:b/&gt;&lt;w:i/&gt;&lt;w:highlight w:val=&quot;light-gray&quot;/&gt;&lt;/w:rPr&gt;&lt;/m:ctrlPr&gt;&lt;/m:fPr&gt;&lt;m:num&gt;&lt;m:r&gt;&lt;m:rPr&gt;&lt;m:sty m:val=&quot;bi&quot;/&gt;&lt;/m:rPr&gt;&lt;w:rPr&gt;&lt;w:rFonts w:ascii=&quot;Cambria Math&quot; w:h-ansi=&quot;Cambria Math&quot;/&gt;&lt;wx:font wx:val=&quot;Cambria Math&quot;/&gt;&lt;w:b/&gt;&lt;w:i/&gt;&lt;w:highlight w:val=&quot;light-gray&quot;/&gt;&lt;/w:rPr&gt;&lt;m:t&gt;Ã©missions spÃ©cifiques &lt;/m:t&gt;&lt;/m:r&gt;&lt;/m:num&gt;&lt;m:den&gt;&lt;m:r&gt;&lt;m:rPr&gt;&lt;m:sty m:val=&quot;bi&quot;/&gt;&lt;/m:rPr&gt;&lt;w:rPr&gt;&lt;w:rFonts w:ascii=&quot;Cambria Math&quot; w:h-ansi=&quot;Cambria Math&quot;/&gt;&lt;wx:font wx:val=&quot;Cambria Math&quot;/&gt;&lt;w:b/&gt;&lt;w:i/&gt;&lt;w:highlight w:val=&quot;light-gray&quot;/&gt;&lt;/w:rPr&gt;&lt;m:t&gt;50&lt;/m:t&gt;&lt;/m:r&gt;&lt;/m:den&gt;&lt;/m:f&gt;&lt;/m:e&gt;&lt;/m:d&gt;&lt;/m:oMath&gt;&lt;/m:oMathPara&gt;&lt;/w:p&gt;&lt;w:sectPr wsp:rsidR=&quot;00000000&quot; wsp:rsidRPr=&quot;0093589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p>
        </w:tc>
        <w:tc>
          <w:tcPr>
            <w:tcW w:w="4876" w:type="dxa"/>
            <w:hideMark/>
          </w:tcPr>
          <w:p w:rsidR="00B0509C" w:rsidRPr="00CC7D67" w:rsidRDefault="00E454A5" w:rsidP="00B0509C">
            <w:pPr>
              <w:pStyle w:val="Normal6"/>
              <w:rPr>
                <w:szCs w:val="24"/>
              </w:rPr>
            </w:pPr>
            <w:r>
              <w:pict>
                <v:shape id="_x0000_i1035" type="#_x0000_t75" style="width:22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6117&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A7A25&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64CA9&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A64CA9&quot; wsp:rsidRDefault=&quot;00A64CA9&quot; wsp:rsidP=&quot;00A64CA9&quot;&gt;&lt;m:oMathPara&gt;&lt;m:oMath&gt;&lt;m:sSub&gt;&lt;m:sSubPr&gt;&lt;m:ctrlPr&gt;&lt;w:rPr&gt;&lt;w:rFonts w:ascii=&quot;Cambria Math&quot; w:h-ansi=&quot;Cambria Math&quot;/&gt;&lt;wx:font wx:val=&quot;Cambria Math&quot;/&gt;&lt;w:b/&gt;&lt;w:i/&gt;&lt;w:highlight w:val=&quot;light-gray&quot;/&gt;&lt;/w:rPr&gt;&lt;/m:ctrlPr&gt;&lt;/m:sSubPr&gt;&lt;m:e&gt;&lt;m:r&gt;&lt;m:rPr&gt;&lt;m:sty m:val=&quot;bi&quot;/&gt;&lt;/m:rPr&gt;&lt;w:rPr&gt;&lt;w:rFonts w:ascii=&quot;Cambria Math&quot; w:h-ansi=&quot;Cambria Math&quot;/&gt;&lt;wx:font wx:val=&quot;Cambria Math&quot;/&gt;&lt;w:b/&gt;&lt;w:i/&gt;&lt;w:highlight w:val=&quot;light-gray&quot;/&gt;&lt;/w:rPr&gt;&lt;m:t&gt;ZLEV&lt;/m:t&gt;&lt;/m:r&gt;&lt;/m:e&gt;&lt;m:sub&gt;&lt;m:r&gt;&lt;m:rPr&gt;&lt;m:sty m:val=&quot;bi&quot;/&gt;&lt;/m:rPr&gt;&lt;w:rPr&gt;&lt;w:rFonts w:ascii=&quot;Cambria Math&quot; w:h-ansi=&quot;Cambria Math&quot;/&gt;&lt;wx:font wx:val=&quot;Cambria Math&quot;/&gt;&lt;w:b/&gt;&lt;w:i/&gt;&lt;w:highlight w:val=&quot;light-gray&quot;/&gt;&lt;/w:rPr&gt;&lt;m:t&gt;spÃ©cifique&lt;/m:t&gt;&lt;/m:r&gt;&lt;/m:sub&gt;&lt;/m:sSub&gt;&lt;m:r&gt;&lt;m:rPr&gt;&lt;m:sty m:val=&quot;bi&quot;/&gt;&lt;/m:rPr&gt;&lt;w:rPr&gt;&lt;w:rFonts w:ascii=&quot;Cambria Math&quot; w:h-ansi=&quot;Cambria Math&quot;/&gt;&lt;wx:font wx:val=&quot;Cambria Math&quot;/&gt;&lt;w:b/&gt;&lt;w:i/&gt;&lt;w:highlight w:val=&quot;light-gray&quot;/&gt;&lt;/w:rPr&gt;&lt;m:t&gt;=1-&lt;/m:t&gt;&lt;/m:r&gt;&lt;m:d&gt;&lt;m:dPr&gt;&lt;m:ctrlPr&gt;&lt;w:rPr&gt;&lt;w:rFonts w:ascii=&quot;Cambria Math&quot; w:h-ansi=&quot;Cambria Math&quot;/&gt;&lt;wx:font wx:val=&quot;Cambria Math&quot;/&gt;&lt;w:b/&gt;&lt;w:i/&gt;&lt;w:highlight w:val=&quot;light-gray&quot;/&gt;&lt;/w:rPr&gt;&lt;/m:ctrlPr&gt;&lt;/m:dPr&gt;&lt;m:e&gt;&lt;m:f&gt;&lt;m:fPr&gt;&lt;m:ctrlPr&gt;&lt;w:rPr&gt;&lt;w:rFonts w:ascii=&quot;Cambria Math&quot; w:h-ansi=&quot;Cambria Math&quot;/&gt;&lt;wx:font wx:val=&quot;Cambria Math&quot;/&gt;&lt;w:b/&gt;&lt;w:i/&gt;&lt;w:highlight w:val=&quot;light-gray&quot;/&gt;&lt;/w:rPr&gt;&lt;/m:ctrlPr&gt;&lt;/m:fPr&gt;&lt;m:num&gt;&lt;m:r&gt;&lt;m:rPr&gt;&lt;m:sty m:val=&quot;bi&quot;/&gt;&lt;/m:rPr&gt;&lt;w:rPr&gt;&lt;w:rFonts w:ascii=&quot;Cambria Math&quot; w:h-ansi=&quot;Cambria Math&quot;/&gt;&lt;wx:font wx:val=&quot;Cambria Math&quot;/&gt;&lt;w:b/&gt;&lt;w:i/&gt;&lt;w:highlight w:val=&quot;light-gray&quot;/&gt;&lt;/w:rPr&gt;&lt;m:t&gt;Ã©missions spÃ©cifiques x 0,5 &lt;/m:t&gt;&lt;/m:r&gt;&lt;/m:num&gt;&lt;m:den&gt;&lt;m:r&gt;&lt;m:rPr&gt;&lt;m:sty m:val=&quot;bi&quot;/&gt;&lt;/m:rPr&gt;&lt;w:rPr&gt;&lt;w:rFonts w:ascii=&quot;Cambria Math&quot; w:h-ansi=&quot;Cambria Math&quot;/&gt;&lt;wx:font wx:val=&quot;Cambria Math&quot;/&gt;&lt;w:b/&gt;&lt;w:i/&gt;&lt;w:highlight w:val=&quot;light-gray&quot;/&gt;&lt;/w:rPr&gt;&lt;m:t&gt;70&lt;/m:t&gt;&lt;/m:r&gt;&lt;/m:den&gt;&lt;/m:f&gt;&lt;/m:e&gt;&lt;/m:d&gt;&lt;/m:oMath&gt;&lt;/m:oMathPara&gt;&lt;/w:p&gt;&lt;w:sectPr wsp:rsidR=&quot;00000000&quot; wsp:rsidRPr=&quot;00A64CA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 calcul proposé pour le système de référence ne récompense pas suffisamment toutes les technologies qui contribuent à la décarbonisation et sont en dessous du seuil convenu. La technologie des véhicules rechargeables, notamment, doit être mieux récompensée car elle contribue notablement à la baisse des émissions et constitue une technologie de transition vers une mobilité à émission nulle.</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631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w:t>
            </w:r>
            <w:r w:rsidRPr="00CC7D67">
              <w:t>.</w:t>
            </w:r>
          </w:p>
        </w:tc>
        <w:tc>
          <w:tcPr>
            <w:tcW w:w="4876" w:type="dxa"/>
            <w:hideMark/>
          </w:tcPr>
          <w:p w:rsidR="00B0509C" w:rsidRPr="00CC7D67" w:rsidRDefault="00B0509C" w:rsidP="00B0509C">
            <w:pPr>
              <w:pStyle w:val="Normal6"/>
              <w:rPr>
                <w:szCs w:val="24"/>
              </w:rPr>
            </w:pPr>
            <w:r w:rsidRPr="00CC7D67">
              <w:t>x est égal à </w:t>
            </w:r>
            <w:r w:rsidRPr="00CC7D67">
              <w:rPr>
                <w:b/>
                <w:i/>
              </w:rPr>
              <w:t>20 % en 2025 et à 60 % en 2030 (à réviser conformément à l’article 14)</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632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Gerben-Jan Gerbrandy</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w:t>
            </w:r>
            <w:r w:rsidRPr="00CC7D67">
              <w:t>.</w:t>
            </w:r>
          </w:p>
        </w:tc>
        <w:tc>
          <w:tcPr>
            <w:tcW w:w="4876" w:type="dxa"/>
            <w:hideMark/>
          </w:tcPr>
          <w:p w:rsidR="00B0509C" w:rsidRPr="00CC7D67" w:rsidRDefault="00B0509C" w:rsidP="00B0509C">
            <w:pPr>
              <w:pStyle w:val="Normal6"/>
              <w:rPr>
                <w:szCs w:val="24"/>
              </w:rPr>
            </w:pPr>
            <w:r w:rsidRPr="00CC7D67">
              <w:t>x est égal à </w:t>
            </w:r>
            <w:r w:rsidRPr="00CC7D67">
              <w:rPr>
                <w:b/>
                <w:i/>
              </w:rPr>
              <w:t>20 % pour les années 2025 à 2029 et à 40 % en 2030</w:t>
            </w:r>
            <w:r w:rsidRPr="00CC7D67">
              <w:t>.</w:t>
            </w:r>
            <w:r w:rsidRPr="00CC7D67">
              <w:rPr>
                <w:b/>
                <w:i/>
              </w:rPr>
              <w:t xml:space="preserve"> Après 2030, ce pourcentage augmente chaque année de 5 points de pourcentage, sauf décision contraire lors de la révision visée à l’article 14. Cette révision envisage également un objectif plus rigoureux pour 2030 en prenant en compte l’évolution technologique et celle de la concurrence mondiale, ainsi que la nécessité de réduire davantage les émissions de gaz à effet de serre.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L’Europe doit prendre la tête du développement des véhicules à émission nulle et à faibles émissions au niveau mondial. Il est nécessaire de fixer un niveau d’ambition plus élevé pour garantir que les constructeurs européens devancent leurs compétiteurs. L’établissement d’un facteur linéaire après 2030 est conforme au principe des réductions linéaires proposé au titre de l’article premier.</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633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Jytte Guteland</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w:t>
            </w:r>
            <w:r w:rsidRPr="00CC7D67">
              <w:t>.</w:t>
            </w:r>
          </w:p>
        </w:tc>
        <w:tc>
          <w:tcPr>
            <w:tcW w:w="4876" w:type="dxa"/>
            <w:hideMark/>
          </w:tcPr>
          <w:p w:rsidR="00B0509C" w:rsidRPr="00CC7D67" w:rsidRDefault="00B0509C" w:rsidP="00B0509C">
            <w:pPr>
              <w:pStyle w:val="Normal6"/>
              <w:rPr>
                <w:szCs w:val="24"/>
              </w:rPr>
            </w:pPr>
            <w:r w:rsidRPr="00CC7D67">
              <w:t>x est égal à </w:t>
            </w:r>
            <w:r w:rsidRPr="00CC7D67">
              <w:rPr>
                <w:b/>
                <w:i/>
              </w:rPr>
              <w:t>25 %</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634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José Inácio Faria</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6.3.1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15 %</w:t>
            </w:r>
            <w:r w:rsidRPr="00CC7D67">
              <w:t>.</w:t>
            </w:r>
          </w:p>
        </w:tc>
        <w:tc>
          <w:tcPr>
            <w:tcW w:w="4876" w:type="dxa"/>
            <w:hideMark/>
          </w:tcPr>
          <w:p w:rsidR="00B0509C" w:rsidRPr="00CC7D67" w:rsidRDefault="00B0509C" w:rsidP="00B0509C">
            <w:pPr>
              <w:pStyle w:val="Normal6"/>
              <w:rPr>
                <w:szCs w:val="24"/>
              </w:rPr>
            </w:pPr>
            <w:r w:rsidRPr="00CC7D67">
              <w:t>x est égal à </w:t>
            </w:r>
            <w:r w:rsidRPr="00CC7D67">
              <w:rPr>
                <w:b/>
                <w:i/>
              </w:rPr>
              <w:t>20 %</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L’Europe doit accélérer sa transition vers l’électromobilité pour rattraper son retard par rapport à d’autres marchés mondiaux, comme la Chine, les États-Unis et le Japon. Comme la Commission l’a recommandé dans son analyse d’impact, il convient d’effectuer un ajustement bidirectionnel de la référence ZLEV pour garantir la réalisation opportune d’investissements dans la production de véhicules, les infrastructures et la chaîne d’approvisionnement. C’est la perspective du désavantage qui poussera les constructeurs automobiles à commercialiser comme il se doit et à vendre des véhicules à émission zéro. Les prévisions de ventes pour les années 2020 dépassent largement les propositions de la Commission et devraient être revues à la hausse afin d’être alignées sur les prévisions de croissance des véhicules électriques.</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635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Eleonora Evi, Piernicola Pedicini, Dario Tamburrano</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6.3.2.</w:t>
            </w:r>
            <w:r w:rsidRPr="00CC7D67">
              <w:rPr>
                <w:b/>
                <w:i/>
              </w:rPr>
              <w:tab/>
              <w:t>À partir de 2030</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d’émisions spécifiques = (objectif d’émissions spécifiques de référence – (ø</w:t>
            </w:r>
            <w:r w:rsidRPr="00CC7D67">
              <w:rPr>
                <w:b/>
                <w:i/>
                <w:vertAlign w:val="subscript"/>
              </w:rPr>
              <w:t>objectifs</w:t>
            </w:r>
            <w:r w:rsidRPr="00CC7D67">
              <w:rPr>
                <w:b/>
                <w:i/>
              </w:rPr>
              <w:t xml:space="preserve"> – objectif à l’échelle du parc de l’UE</w:t>
            </w:r>
            <w:r w:rsidRPr="00CC7D67">
              <w:rPr>
                <w:b/>
                <w:i/>
                <w:vertAlign w:val="subscript"/>
              </w:rPr>
              <w:t>2030</w:t>
            </w:r>
            <w:r w:rsidRPr="00CC7D67">
              <w:rPr>
                <w:b/>
                <w:i/>
              </w:rPr>
              <w:t>)) ·  facteur ZLEV</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objectif d’émissions spécifiques de référence est l’objectif d’émissions spécifiques de référence pour le constructeur déterminé conformément au point 6.2.2.</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ø</w:t>
            </w:r>
            <w:r w:rsidRPr="00CC7D67">
              <w:rPr>
                <w:b/>
                <w:i/>
                <w:vertAlign w:val="subscript"/>
              </w:rPr>
              <w:t>objectifs</w:t>
            </w:r>
            <w:r w:rsidRPr="00CC7D67">
              <w:rPr>
                <w:b/>
                <w:i/>
              </w:rPr>
              <w:t xml:space="preserve"> est la moyenne, pondérée par le nombre de véhicules utilitaires légers nouvellement immatriculés de chaque constructeur individuel, de tous les objectifs d’émissions spécifiques de référence déterminés conformément au point 6.2.2;</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ZLEV est égal à (1+y-x), à moins que cette somme ne soit supérieure à 1,05 ou inférieure à 1,0, auquel cas le facteur ZLEV est fixé à 1,05 ou 1,0 selon le cas</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ZLEV</w:t>
            </w:r>
            <w:r w:rsidRPr="00CC7D67">
              <w:rPr>
                <w:b/>
                <w:i/>
                <w:vertAlign w:val="subscript"/>
              </w:rPr>
              <w:t>spécifique</w:t>
            </w:r>
            <w:r w:rsidRPr="00CC7D67">
              <w:rPr>
                <w:b/>
                <w:i/>
              </w:rPr>
              <w:t xml:space="preserve"> conformément à la formule ci-dessous, divisé par le nombre total de véhicules utilitaires légers immatriculés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x est égal à 30 %.</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636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À partir de 2030</w:t>
            </w:r>
          </w:p>
        </w:tc>
        <w:tc>
          <w:tcPr>
            <w:tcW w:w="4876" w:type="dxa"/>
            <w:hideMark/>
          </w:tcPr>
          <w:p w:rsidR="00B0509C" w:rsidRPr="00CC7D67" w:rsidRDefault="00B0509C" w:rsidP="00B0509C">
            <w:pPr>
              <w:pStyle w:val="Normal6"/>
              <w:rPr>
                <w:szCs w:val="24"/>
              </w:rPr>
            </w:pPr>
            <w:r w:rsidRPr="00CC7D67">
              <w:rPr>
                <w:i/>
              </w:rPr>
              <w:t>(Ne concerne pas la version française.)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637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Miriam Dalli</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Objectif </w:t>
            </w:r>
            <w:r w:rsidRPr="00CC7D67">
              <w:rPr>
                <w:b/>
                <w:i/>
              </w:rPr>
              <w:t>d’émisions</w:t>
            </w:r>
            <w:r w:rsidRPr="00CC7D67">
              <w:t xml:space="preserve"> spécifiques = (objectif d’émissions spécifiques </w:t>
            </w:r>
            <w:r w:rsidRPr="00CC7D67">
              <w:rPr>
                <w:b/>
                <w:i/>
              </w:rPr>
              <w:t>de référence – (ø</w:t>
            </w:r>
            <w:r w:rsidRPr="00CC7D67">
              <w:rPr>
                <w:b/>
                <w:i/>
                <w:vertAlign w:val="subscript"/>
              </w:rPr>
              <w:t>objectifs</w:t>
            </w:r>
            <w:r w:rsidRPr="00CC7D67">
              <w:rPr>
                <w:b/>
                <w:i/>
              </w:rPr>
              <w:t xml:space="preserve"> – objectif à l’échelle du parc de l’UE</w:t>
            </w:r>
            <w:r w:rsidRPr="00CC7D67">
              <w:rPr>
                <w:b/>
                <w:i/>
                <w:vertAlign w:val="subscript"/>
              </w:rPr>
              <w:t>2030</w:t>
            </w:r>
            <w:r w:rsidRPr="00CC7D67">
              <w:rPr>
                <w:b/>
                <w:i/>
              </w:rPr>
              <w:t>)</w:t>
            </w:r>
            <w:r w:rsidRPr="00CC7D67">
              <w:t>) ·  facteur ZLEV</w:t>
            </w:r>
          </w:p>
        </w:tc>
        <w:tc>
          <w:tcPr>
            <w:tcW w:w="4876" w:type="dxa"/>
            <w:hideMark/>
          </w:tcPr>
          <w:p w:rsidR="00B0509C" w:rsidRPr="00CC7D67" w:rsidRDefault="00B0509C" w:rsidP="00E34188">
            <w:pPr>
              <w:pStyle w:val="Normal6"/>
              <w:rPr>
                <w:color w:val="000005"/>
                <w:szCs w:val="24"/>
              </w:rPr>
            </w:pPr>
            <w:r w:rsidRPr="00CC7D67">
              <w:t xml:space="preserve">Objectif </w:t>
            </w:r>
            <w:r w:rsidRPr="00CC7D67">
              <w:rPr>
                <w:b/>
                <w:i/>
              </w:rPr>
              <w:t>d’émissions</w:t>
            </w:r>
            <w:r w:rsidRPr="00CC7D67">
              <w:t xml:space="preserve"> spécifiques = (objectif d’émissions spécifiques </w:t>
            </w:r>
            <w:r w:rsidRPr="00CC7D67">
              <w:rPr>
                <w:b/>
                <w:i/>
              </w:rPr>
              <w:t xml:space="preserve">pour 2021) </w:t>
            </w:r>
            <w:r w:rsidR="00E34188">
              <w:rPr>
                <w:b/>
                <w:i/>
              </w:rPr>
              <w:t>·</w:t>
            </w:r>
            <w:r w:rsidRPr="00CC7D67">
              <w:rPr>
                <w:b/>
                <w:i/>
              </w:rPr>
              <w:t xml:space="preserve">  (1- facteur de réduction pour 2030</w:t>
            </w:r>
            <w:r w:rsidRPr="00CC7D67">
              <w:t xml:space="preserve">) </w:t>
            </w:r>
            <w:r w:rsidR="00E34188">
              <w:t>·</w:t>
            </w:r>
            <w:r w:rsidRPr="00CC7D67">
              <w:t xml:space="preserve"> facteur ZLEV</w:t>
            </w:r>
            <w:r w:rsidR="00E34188">
              <w:br/>
            </w:r>
            <w:r w:rsidRPr="00CC7D67">
              <w:rPr>
                <w:b/>
                <w:i/>
              </w:rPr>
              <w:t>Pour calculer la présente formule, les émissions spécifiques de 2021, telles qu’elles sont définies au point 4, sont corrigées en tenant compte de la différence entre les émissions de CO</w:t>
            </w:r>
            <w:r w:rsidRPr="00CC7D67">
              <w:rPr>
                <w:b/>
                <w:i/>
                <w:vertAlign w:val="subscript"/>
              </w:rPr>
              <w:t>2</w:t>
            </w:r>
            <w:r w:rsidRPr="00CC7D67">
              <w:rPr>
                <w:b/>
                <w:i/>
              </w:rPr>
              <w:t xml:space="preserve"> WLTP mesurées et les émissions de CO</w:t>
            </w:r>
            <w:r w:rsidRPr="00CC7D67">
              <w:rPr>
                <w:b/>
                <w:i/>
                <w:vertAlign w:val="subscript"/>
              </w:rPr>
              <w:t>2</w:t>
            </w:r>
            <w:r w:rsidRPr="00CC7D67">
              <w:rPr>
                <w:b/>
                <w:i/>
              </w:rPr>
              <w:t xml:space="preserve"> WLTP déclarées.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Pour les nouveaux entrants, la Commission devrait élaborer, par voie d’acte délégué, une formule de calcul de l’objectif d’émissions spécifiques pertinent pour 2021 concernant chaque constructeur.</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638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6.3.2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Objectif d’émissions spécifiques = </w:t>
            </w:r>
            <w:r w:rsidRPr="00CC7D67">
              <w:rPr>
                <w:b/>
                <w:i/>
              </w:rPr>
              <w:t>(</w:t>
            </w:r>
            <w:r w:rsidRPr="00CC7D67">
              <w:t xml:space="preserve">objectif d’émissions spécifiques de référence </w:t>
            </w:r>
            <w:r w:rsidRPr="00CC7D67">
              <w:rPr>
                <w:b/>
                <w:i/>
              </w:rPr>
              <w:t>– (ø</w:t>
            </w:r>
            <w:r w:rsidRPr="00CC7D67">
              <w:rPr>
                <w:b/>
                <w:i/>
                <w:vertAlign w:val="subscript"/>
              </w:rPr>
              <w:t>objectifs</w:t>
            </w:r>
            <w:r w:rsidRPr="00CC7D67">
              <w:t xml:space="preserve"> </w:t>
            </w:r>
            <w:r w:rsidRPr="00CC7D67">
              <w:rPr>
                <w:b/>
                <w:i/>
              </w:rPr>
              <w:t>– objectif à l’échelle du parc de l’UE</w:t>
            </w:r>
            <w:r w:rsidRPr="00CC7D67">
              <w:rPr>
                <w:b/>
                <w:i/>
                <w:vertAlign w:val="subscript"/>
              </w:rPr>
              <w:t>2025</w:t>
            </w:r>
            <w:r w:rsidRPr="00CC7D67">
              <w:rPr>
                <w:b/>
                <w:i/>
              </w:rPr>
              <w:t>))</w:t>
            </w:r>
            <w:r w:rsidRPr="00CC7D67">
              <w:t xml:space="preserve"> · facteur ZLEV</w:t>
            </w:r>
          </w:p>
        </w:tc>
        <w:tc>
          <w:tcPr>
            <w:tcW w:w="4876" w:type="dxa"/>
            <w:hideMark/>
          </w:tcPr>
          <w:p w:rsidR="00B0509C" w:rsidRPr="00CC7D67" w:rsidRDefault="00B0509C" w:rsidP="00B0509C">
            <w:pPr>
              <w:pStyle w:val="Normal6"/>
              <w:rPr>
                <w:szCs w:val="24"/>
              </w:rPr>
            </w:pPr>
            <w:r w:rsidRPr="00CC7D67">
              <w:t>Objectif d’émissions spécifiques = objectif d’émissions spécifiques de référence · facteur ZLEV</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639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Objectif </w:t>
            </w:r>
            <w:r w:rsidRPr="00CC7D67">
              <w:rPr>
                <w:b/>
                <w:i/>
              </w:rPr>
              <w:t>d’émisions</w:t>
            </w:r>
            <w:r w:rsidRPr="00CC7D67">
              <w:t xml:space="preserve"> spécifiques = </w:t>
            </w:r>
            <w:r w:rsidRPr="00CC7D67">
              <w:rPr>
                <w:b/>
                <w:i/>
              </w:rPr>
              <w:t>(</w:t>
            </w:r>
            <w:r w:rsidRPr="00CC7D67">
              <w:t xml:space="preserve">objectif d’émissions spécifiques </w:t>
            </w:r>
            <w:r w:rsidRPr="00CC7D67">
              <w:rPr>
                <w:b/>
                <w:i/>
              </w:rPr>
              <w:t>de référence – (ø</w:t>
            </w:r>
            <w:r w:rsidRPr="00CC7D67">
              <w:rPr>
                <w:b/>
                <w:i/>
                <w:vertAlign w:val="subscript"/>
              </w:rPr>
              <w:t>objectifs</w:t>
            </w:r>
            <w:r w:rsidRPr="00CC7D67">
              <w:rPr>
                <w:b/>
                <w:i/>
              </w:rPr>
              <w:t xml:space="preserve"> – objectif à l’échelle du parc de l’UE</w:t>
            </w:r>
            <w:r w:rsidRPr="00CC7D67">
              <w:rPr>
                <w:b/>
                <w:i/>
                <w:vertAlign w:val="subscript"/>
              </w:rPr>
              <w:t>2030</w:t>
            </w:r>
            <w:r w:rsidRPr="00CC7D67">
              <w:rPr>
                <w:b/>
                <w:i/>
              </w:rPr>
              <w:t xml:space="preserve">)) </w:t>
            </w:r>
            <w:r w:rsidRPr="00CC7D67">
              <w:t xml:space="preserve">·  facteur </w:t>
            </w:r>
            <w:r w:rsidRPr="00CC7D67">
              <w:rPr>
                <w:b/>
                <w:i/>
              </w:rPr>
              <w:t>ZLEV</w:t>
            </w:r>
          </w:p>
        </w:tc>
        <w:tc>
          <w:tcPr>
            <w:tcW w:w="4876" w:type="dxa"/>
            <w:hideMark/>
          </w:tcPr>
          <w:p w:rsidR="00B0509C" w:rsidRPr="00CC7D67" w:rsidRDefault="00B0509C" w:rsidP="00B0509C">
            <w:pPr>
              <w:pStyle w:val="Normal6"/>
              <w:rPr>
                <w:szCs w:val="24"/>
              </w:rPr>
            </w:pPr>
            <w:r w:rsidRPr="00CC7D67">
              <w:t xml:space="preserve">Objectif </w:t>
            </w:r>
            <w:r w:rsidRPr="00CC7D67">
              <w:rPr>
                <w:b/>
                <w:i/>
              </w:rPr>
              <w:t>d’émissions</w:t>
            </w:r>
            <w:r w:rsidRPr="00CC7D67">
              <w:t xml:space="preserve"> spécifiques</w:t>
            </w:r>
            <w:r w:rsidRPr="00CC7D67">
              <w:rPr>
                <w:b/>
                <w:i/>
                <w:vertAlign w:val="subscript"/>
              </w:rPr>
              <w:t>2021</w:t>
            </w:r>
            <w:r w:rsidRPr="00CC7D67">
              <w:t xml:space="preserve"> = objectif d’émissions spécifiques </w:t>
            </w:r>
            <w:r w:rsidR="00E34188">
              <w:rPr>
                <w:b/>
                <w:i/>
              </w:rPr>
              <w:t>·</w:t>
            </w:r>
            <w:r w:rsidR="00E34188" w:rsidRPr="00CC7D67">
              <w:rPr>
                <w:b/>
                <w:i/>
              </w:rPr>
              <w:t xml:space="preserve"> </w:t>
            </w:r>
            <w:r w:rsidRPr="00CC7D67">
              <w:rPr>
                <w:b/>
                <w:i/>
              </w:rPr>
              <w:t xml:space="preserve">(1- </w:t>
            </w:r>
            <w:r w:rsidRPr="00CC7D67">
              <w:t xml:space="preserve">facteur </w:t>
            </w:r>
            <w:r w:rsidRPr="00CC7D67">
              <w:rPr>
                <w:b/>
                <w:i/>
              </w:rPr>
              <w:t>de réduction)</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640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3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objectif d’émissions spécifiques </w:t>
            </w:r>
            <w:r w:rsidRPr="00CC7D67">
              <w:rPr>
                <w:b/>
                <w:i/>
              </w:rPr>
              <w:t>de référence</w:t>
            </w:r>
            <w:r w:rsidRPr="00CC7D67">
              <w:t xml:space="preserve"> est l’objectif d’émissions spécifiques </w:t>
            </w:r>
            <w:r w:rsidRPr="00CC7D67">
              <w:rPr>
                <w:b/>
                <w:i/>
              </w:rPr>
              <w:t>de référence pour le</w:t>
            </w:r>
            <w:r w:rsidRPr="00CC7D67">
              <w:t xml:space="preserve"> constructeur </w:t>
            </w:r>
            <w:r w:rsidRPr="00CC7D67">
              <w:rPr>
                <w:b/>
                <w:i/>
              </w:rPr>
              <w:t>déterminé conformément au</w:t>
            </w:r>
            <w:r w:rsidRPr="00CC7D67">
              <w:t xml:space="preserve"> point </w:t>
            </w:r>
            <w:r w:rsidRPr="00CC7D67">
              <w:rPr>
                <w:b/>
                <w:i/>
              </w:rPr>
              <w:t>6.2.2</w:t>
            </w:r>
            <w:r w:rsidRPr="00CC7D67">
              <w:t>.</w:t>
            </w:r>
          </w:p>
        </w:tc>
        <w:tc>
          <w:tcPr>
            <w:tcW w:w="4876" w:type="dxa"/>
            <w:hideMark/>
          </w:tcPr>
          <w:p w:rsidR="00B0509C" w:rsidRPr="00CC7D67" w:rsidRDefault="00B0509C" w:rsidP="00B0509C">
            <w:pPr>
              <w:pStyle w:val="Normal6"/>
              <w:rPr>
                <w:color w:val="000005"/>
                <w:szCs w:val="24"/>
              </w:rPr>
            </w:pPr>
            <w:r w:rsidRPr="00CC7D67">
              <w:t>objectif d’émissions spécifiques</w:t>
            </w:r>
            <w:r w:rsidRPr="00CC7D67">
              <w:rPr>
                <w:b/>
                <w:i/>
                <w:vertAlign w:val="subscript"/>
              </w:rPr>
              <w:t>2021</w:t>
            </w:r>
            <w:r w:rsidRPr="00CC7D67">
              <w:t xml:space="preserve"> est l’objectif d’émissions spécifiques </w:t>
            </w:r>
            <w:r w:rsidRPr="00CC7D67">
              <w:rPr>
                <w:b/>
                <w:i/>
              </w:rPr>
              <w:t>déterminé pour chaque</w:t>
            </w:r>
            <w:r w:rsidRPr="00CC7D67">
              <w:t xml:space="preserve"> constructeur </w:t>
            </w:r>
            <w:r w:rsidRPr="00CC7D67">
              <w:rPr>
                <w:b/>
                <w:i/>
              </w:rPr>
              <w:t>en 2021;</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facteur de réduction est égal à la réduction spécifiée à l’article 1</w:t>
            </w:r>
            <w:r w:rsidRPr="00CC7D67">
              <w:rPr>
                <w:b/>
                <w:i/>
                <w:vertAlign w:val="superscript"/>
              </w:rPr>
              <w:t>er</w:t>
            </w:r>
            <w:r w:rsidRPr="00CC7D67">
              <w:rPr>
                <w:b/>
                <w:i/>
              </w:rPr>
              <w:t xml:space="preserve">, paragraphe 5, </w:t>
            </w:r>
            <w:r w:rsidRPr="00CC7D67">
              <w:t>point</w:t>
            </w:r>
            <w:r w:rsidRPr="00CC7D67">
              <w:rPr>
                <w:b/>
                <w:i/>
              </w:rPr>
              <w:t> b).</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641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6.3.2 – alinéa 3 – ligne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ø</w:t>
            </w:r>
            <w:r w:rsidRPr="00CC7D67">
              <w:rPr>
                <w:b/>
                <w:i/>
                <w:vertAlign w:val="subscript"/>
              </w:rPr>
              <w:t>objectifs</w:t>
            </w:r>
            <w:r w:rsidRPr="00CC7D67">
              <w:t xml:space="preserve"> </w:t>
            </w:r>
            <w:r w:rsidRPr="00CC7D67">
              <w:rPr>
                <w:b/>
                <w:i/>
              </w:rPr>
              <w:t>est la moyenne, pondérée par le nombre de véhicules utilitaires légers nouvellement immatriculés de chaque constructeur individuel, de tous les objectifs d’émissions spécifiques de référence déterminés conformément au point 6.2.2;</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642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3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ø</w:t>
            </w:r>
            <w:r w:rsidRPr="00CC7D67">
              <w:rPr>
                <w:b/>
                <w:i/>
                <w:vertAlign w:val="subscript"/>
              </w:rPr>
              <w:t>objectifs</w:t>
            </w:r>
            <w:r w:rsidRPr="00CC7D67">
              <w:rPr>
                <w:b/>
                <w:i/>
              </w:rPr>
              <w:t xml:space="preserve"> est la moyenne, pondérée par le nombre de véhicules utilitaires légers nouvellement immatriculés de chaque constructeur individuel, de tous les objectifs d’émissions spécifiques de référence déterminés conformément au point 6.2.2;</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643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3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facteur ZLEV est égal à (1+y-x), à moins que cette somme ne soit supérieure à 1,05 ou inférieure à 1,0, auquel cas le facteur ZLEV est fixé à 1,05 ou 1,0 selon le cas</w: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644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Gesine Meissner, Ulrike Müller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3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facteur ZLEV est égal à (1+y-x), à moins que cette somme ne soit supérieure à </w:t>
            </w:r>
            <w:r w:rsidRPr="00CC7D67">
              <w:rPr>
                <w:b/>
                <w:i/>
              </w:rPr>
              <w:t>1,05</w:t>
            </w:r>
            <w:r w:rsidRPr="00CC7D67">
              <w:t xml:space="preserve"> ou inférieure à 1,0, auquel cas le facteur ZLEV est fixé à </w:t>
            </w:r>
            <w:r w:rsidRPr="00CC7D67">
              <w:rPr>
                <w:b/>
                <w:i/>
              </w:rPr>
              <w:t>1,05</w:t>
            </w:r>
            <w:r w:rsidRPr="00CC7D67">
              <w:t xml:space="preserve"> ou 1,0 selon le cas</w:t>
            </w:r>
          </w:p>
        </w:tc>
        <w:tc>
          <w:tcPr>
            <w:tcW w:w="4876" w:type="dxa"/>
            <w:hideMark/>
          </w:tcPr>
          <w:p w:rsidR="00B0509C" w:rsidRPr="00CC7D67" w:rsidRDefault="00B0509C" w:rsidP="00B0509C">
            <w:pPr>
              <w:pStyle w:val="Normal6"/>
              <w:rPr>
                <w:szCs w:val="24"/>
              </w:rPr>
            </w:pPr>
            <w:r w:rsidRPr="00CC7D67">
              <w:t>facteur ZLEV est égal à (1+y-x), à moins que cette somme ne soit supérieure à </w:t>
            </w:r>
            <w:r w:rsidRPr="00CC7D67">
              <w:rPr>
                <w:b/>
                <w:i/>
              </w:rPr>
              <w:t>1,15</w:t>
            </w:r>
            <w:r w:rsidRPr="00CC7D67">
              <w:t xml:space="preserve"> ou inférieure à 1,0, auquel cas le facteur ZLEV est fixé à </w:t>
            </w:r>
            <w:r w:rsidRPr="00CC7D67">
              <w:rPr>
                <w:b/>
                <w:i/>
              </w:rPr>
              <w:t>1,15</w:t>
            </w:r>
            <w:r w:rsidRPr="00CC7D67">
              <w:t xml:space="preserve"> ou 1,0 selon le cas</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645</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Rebecca Harms</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4</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où:</w:t>
            </w:r>
          </w:p>
        </w:tc>
        <w:tc>
          <w:tcPr>
            <w:tcW w:w="4876" w:type="dxa"/>
            <w:hideMark/>
          </w:tcPr>
          <w:p w:rsidR="00B0509C" w:rsidRPr="00CC7D67" w:rsidRDefault="00B0509C" w:rsidP="00B0509C">
            <w:pPr>
              <w:pStyle w:val="Normal6"/>
              <w:rPr>
                <w:color w:val="000005"/>
                <w:szCs w:val="24"/>
              </w:rPr>
            </w:pPr>
            <w:r w:rsidRPr="00CC7D67">
              <w:rPr>
                <w:b/>
                <w:i/>
              </w:rPr>
              <w:t>supprimé</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ZLEV</w:t>
            </w:r>
            <w:r w:rsidRPr="00CC7D67">
              <w:rPr>
                <w:b/>
                <w:i/>
                <w:vertAlign w:val="subscript"/>
              </w:rPr>
              <w:t>spécifique</w:t>
            </w:r>
            <w:r w:rsidRPr="00CC7D67">
              <w:rPr>
                <w:b/>
                <w:i/>
              </w:rPr>
              <w:t xml:space="preserve"> conformément à la formule ci-dessous, divisé par le nombre total de véhicules utilitaires légers immatriculés au cours de l’année civile concernée</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D10BFD" w:rsidP="00B0509C">
            <w:pPr>
              <w:pStyle w:val="Normal6"/>
              <w:rPr>
                <w:color w:val="0000FA"/>
              </w:rPr>
            </w:pPr>
            <w:r>
              <w:rPr>
                <w:b/>
                <w:i/>
              </w:rPr>
              <w:t>[null]</w:t>
            </w:r>
          </w:p>
        </w:tc>
        <w:tc>
          <w:tcPr>
            <w:tcW w:w="4876" w:type="dxa"/>
          </w:tcPr>
          <w:p w:rsidR="00B0509C" w:rsidRPr="00CC7D67" w:rsidRDefault="00B0509C" w:rsidP="00B0509C">
            <w:pPr>
              <w:pStyle w:val="Normal6"/>
              <w:rPr>
                <w:color w:val="000005"/>
                <w:szCs w:val="24"/>
              </w:rPr>
            </w:pP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rPr>
                <w:b/>
                <w:i/>
              </w:rPr>
              <w:t>x est égal à 30 %.</w:t>
            </w:r>
          </w:p>
        </w:tc>
        <w:tc>
          <w:tcPr>
            <w:tcW w:w="4876" w:type="dxa"/>
          </w:tcPr>
          <w:p w:rsidR="00B0509C" w:rsidRPr="00CC7D67" w:rsidRDefault="00B0509C" w:rsidP="00B0509C">
            <w:pPr>
              <w:pStyle w:val="Normal6"/>
              <w:rPr>
                <w:szCs w:val="24"/>
              </w:rPr>
            </w:pP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646</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Gesine Meissner, Ulrike Müller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4 – sous-alinéa 1</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 xml:space="preserve">y est la part de véhicules à émission nulle et à faibles émissions dans le parc de véhicules utilitaires légers nouvellement immatriculés du constructeur, calculée comme le nombre total de véhicules à émission nulle et à faibles émissions, chacun d’entre eux étant compté comme </w:t>
            </w:r>
            <w:r w:rsidRPr="00CC7D67">
              <w:rPr>
                <w:b/>
                <w:i/>
              </w:rPr>
              <w:t>ZLEV</w:t>
            </w:r>
            <w:r w:rsidRPr="00CC7D67">
              <w:rPr>
                <w:b/>
                <w:i/>
                <w:vertAlign w:val="subscript"/>
              </w:rPr>
              <w:t>spécifique</w:t>
            </w:r>
            <w:r w:rsidRPr="00CC7D67">
              <w:rPr>
                <w:b/>
                <w:i/>
              </w:rPr>
              <w:t xml:space="preserve"> conformément à la formule ci-dessous,</w:t>
            </w:r>
            <w:r w:rsidRPr="00CC7D67">
              <w:t xml:space="preserve"> divisé par le nombre total de véhicules utilitaires légers immatriculés au cours de l’année civile concernée</w:t>
            </w:r>
          </w:p>
        </w:tc>
        <w:tc>
          <w:tcPr>
            <w:tcW w:w="4876" w:type="dxa"/>
            <w:hideMark/>
          </w:tcPr>
          <w:p w:rsidR="00B0509C" w:rsidRPr="00CC7D67" w:rsidRDefault="00B0509C" w:rsidP="00B0509C">
            <w:pPr>
              <w:pStyle w:val="Normal6"/>
              <w:rPr>
                <w:color w:val="000005"/>
                <w:szCs w:val="24"/>
              </w:rPr>
            </w:pPr>
            <w:r w:rsidRPr="00CC7D67">
              <w:t>y est la part de véhicules à émission nulle et à faibles émissions dans le parc de voitures particulières nouvellement immatriculées du constructeur, calculée comme le nombre total de véhicules à émission nulle et à faibles émissions, chacun d’entre eux étant compté comme</w:t>
            </w:r>
            <w:r w:rsidRPr="00CC7D67">
              <w:rPr>
                <w:b/>
                <w:i/>
              </w:rPr>
              <w: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0,5 véhicule, si sa plage sans émission dépasse 50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1 véhicule, si sa plage sans émission dépasse 100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2 véhicules, si sa plage sans émission dépasse 200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3 véhicules, si sa plage sans émission dépasse 300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 4 véhicules, si sa plage sans émission dépasse 400 km;</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t>divisé par le nombre total de véhicules utilitaires légers immatriculés au cours de l’année civile concernée</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647</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Gesine Meissner, Ulrike Müller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4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E454A5" w:rsidP="00B0509C">
            <w:pPr>
              <w:pStyle w:val="Normal6"/>
              <w:rPr>
                <w:color w:val="0000FA"/>
              </w:rPr>
            </w:pPr>
            <w:r>
              <w:pict>
                <v:shape id="_x0000_i1036" type="#_x0000_t75" style="width:22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8075F&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15276&quot;/&gt;&lt;wsp:rsid wsp:val=&quot;00546117&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A7A25&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34188&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515276&quot; wsp:rsidRDefault=&quot;00515276&quot; wsp:rsidP=&quot;00515276&quot;&gt;&lt;m:oMathPara&gt;&lt;m:oMath&gt;&lt;m:sSub&gt;&lt;m:sSubPr&gt;&lt;m:ctrlPr&gt;&lt;w:rPr&gt;&lt;w:rFonts w:ascii=&quot;Cambria Math&quot; w:h-ansi=&quot;Cambria Math&quot;/&gt;&lt;wx:font wx:val=&quot;Cambria Math&quot;/&gt;&lt;w:b/&gt;&lt;w:i/&gt;&lt;w:highlight w:val=&quot;light-gray&quot;/&gt;&lt;/w:rPr&gt;&lt;/m:ctrlPr&gt;&lt;/m:sSubPr&gt;&lt;m:e&gt;&lt;m:r&gt;&lt;m:rPr&gt;&lt;m:sty m:val=&quot;bi&quot;/&gt;&lt;/m:rPr&gt;&lt;w:rPr&gt;&lt;w:rFonts w:ascii=&quot;Cambria Math&quot; w:h-ansi=&quot;Cambria Math&quot;/&gt;&lt;wx:font wx:val=&quot;Cambria Math&quot;/&gt;&lt;w:b/&gt;&lt;w:i/&gt;&lt;w:highlight w:val=&quot;light-gray&quot;/&gt;&lt;/w:rPr&gt;&lt;m:t&gt;ZLEV&lt;/m:t&gt;&lt;/m:r&gt;&lt;/m:e&gt;&lt;m:sub&gt;&lt;m:r&gt;&lt;m:rPr&gt;&lt;m:sty m:val=&quot;bi&quot;/&gt;&lt;/m:rPr&gt;&lt;w:rPr&gt;&lt;w:rFonts w:ascii=&quot;Cambria Math&quot; w:h-ansi=&quot;Cambria Math&quot;/&gt;&lt;wx:font wx:val=&quot;Cambria Math&quot;/&gt;&lt;w:b/&gt;&lt;w:i/&gt;&lt;w:highlight w:val=&quot;light-gray&quot;/&gt;&lt;/w:rPr&gt;&lt;m:t&gt;spÃ©cifique&lt;/m:t&gt;&lt;/m:r&gt;&lt;/m:sub&gt;&lt;/m:sSub&gt;&lt;m:r&gt;&lt;m:rPr&gt;&lt;m:sty m:val=&quot;bi&quot;/&gt;&lt;/m:rPr&gt;&lt;w:rPr&gt;&lt;w:rFonts w:ascii=&quot;Cambria Math&quot; w:h-ansi=&quot;Cambria Math&quot;/&gt;&lt;wx:font wx:val=&quot;Cambria Math&quot;/&gt;&lt;w:b/&gt;&lt;w:i/&gt;&lt;w:highlight w:val=&quot;light-gray&quot;/&gt;&lt;/w:rPr&gt;&lt;m:t&gt;=1-&lt;/m:t&gt;&lt;/m:r&gt;&lt;m:d&gt;&lt;m:dPr&gt;&lt;m:ctrlPr&gt;&lt;w:rPr&gt;&lt;w:rFonts w:ascii=&quot;Cambria Math&quot; w:h-ansi=&quot;Cambria Math&quot;/&gt;&lt;wx:font wx:val=&quot;Cambria Math&quot;/&gt;&lt;w:b/&gt;&lt;w:i/&gt;&lt;w:highlight w:val=&quot;light-gray&quot;/&gt;&lt;/w:rPr&gt;&lt;/m:ctrlPr&gt;&lt;/m:dPr&gt;&lt;m:e&gt;&lt;m:f&gt;&lt;m:fPr&gt;&lt;m:ctrlPr&gt;&lt;w:rPr&gt;&lt;w:rFonts w:ascii=&quot;Cambria Math&quot; w:h-ansi=&quot;Cambria Math&quot;/&gt;&lt;wx:font wx:val=&quot;Cambria Math&quot;/&gt;&lt;w:b/&gt;&lt;w:i/&gt;&lt;w:highlight w:val=&quot;light-gray&quot;/&gt;&lt;/w:rPr&gt;&lt;/m:ctrlPr&gt;&lt;/m:fPr&gt;&lt;m:num&gt;&lt;m:r&gt;&lt;m:rPr&gt;&lt;m:sty m:val=&quot;bi&quot;/&gt;&lt;/m:rPr&gt;&lt;w:rPr&gt;&lt;w:rFonts w:ascii=&quot;Cambria Math&quot; w:h-ansi=&quot;Cambria Math&quot;/&gt;&lt;wx:font wx:val=&quot;Cambria Math&quot;/&gt;&lt;w:b/&gt;&lt;w:i/&gt;&lt;w:highlight w:val=&quot;light-gray&quot;/&gt;&lt;/w:rPr&gt;&lt;m:t&gt;Ã©missions spÃ©cifiques &lt;/m:t&gt;&lt;/m:r&gt;&lt;/m:num&gt;&lt;m:den&gt;&lt;m:r&gt;&lt;m:rPr&gt;&lt;m:sty m:val=&quot;bi&quot;/&gt;&lt;/m:rPr&gt;&lt;w:rPr&gt;&lt;w:rFonts w:ascii=&quot;Cambria Math&quot; w:h-ansi=&quot;Cambria Math&quot;/&gt;&lt;wx:font wx:val=&quot;Cambria Math&quot;/&gt;&lt;w:b/&gt;&lt;w:i/&gt;&lt;w:highlight w:val=&quot;light-gray&quot;/&gt;&lt;/w:rPr&gt;&lt;m:t&gt;50&lt;/m:t&gt;&lt;/m:r&gt;&lt;/m:den&gt;&lt;/m:f&gt;&lt;/m:e&gt;&lt;/m:d&gt;&lt;/m:oMath&gt;&lt;/m:oMathPara&gt;&lt;/w:p&gt;&lt;w:sectPr wsp:rsidR=&quot;00000000&quot; wsp:rsidRPr=&quot;0051527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p>
        </w:tc>
        <w:tc>
          <w:tcPr>
            <w:tcW w:w="4876" w:type="dxa"/>
            <w:hideMark/>
          </w:tcPr>
          <w:p w:rsidR="00B0509C" w:rsidRPr="00CC7D67" w:rsidRDefault="00B0509C" w:rsidP="00B0509C">
            <w:pPr>
              <w:pStyle w:val="Normal6"/>
              <w:rPr>
                <w:szCs w:val="24"/>
              </w:rPr>
            </w:pPr>
            <w:r w:rsidRPr="00CC7D67">
              <w:rPr>
                <w:b/>
                <w:i/>
              </w:rPr>
              <w:t>supprimé</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648</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Elisabetta Gardini, Lorenzo Cesa, Giovanni La Via, Stefano Maullu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4 – sous-alinéa 2</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E454A5" w:rsidP="00B0509C">
            <w:pPr>
              <w:pStyle w:val="Normal6"/>
              <w:rPr>
                <w:color w:val="0000FA"/>
              </w:rPr>
            </w:pPr>
            <w:r>
              <w:pict>
                <v:shape id="_x0000_i1037" type="#_x0000_t75" style="width:22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8075F&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15276&quot;/&gt;&lt;wsp:rsid wsp:val=&quot;00546117&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A7A25&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34188&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515276&quot; wsp:rsidRDefault=&quot;00515276&quot; wsp:rsidP=&quot;00515276&quot;&gt;&lt;m:oMathPara&gt;&lt;m:oMath&gt;&lt;m:sSub&gt;&lt;m:sSubPr&gt;&lt;m:ctrlPr&gt;&lt;w:rPr&gt;&lt;w:rFonts w:ascii=&quot;Cambria Math&quot; w:h-ansi=&quot;Cambria Math&quot;/&gt;&lt;wx:font wx:val=&quot;Cambria Math&quot;/&gt;&lt;w:b/&gt;&lt;w:i/&gt;&lt;w:highlight w:val=&quot;light-gray&quot;/&gt;&lt;/w:rPr&gt;&lt;/m:ctrlPr&gt;&lt;/m:sSubPr&gt;&lt;m:e&gt;&lt;m:r&gt;&lt;m:rPr&gt;&lt;m:sty m:val=&quot;bi&quot;/&gt;&lt;/m:rPr&gt;&lt;w:rPr&gt;&lt;w:rFonts w:ascii=&quot;Cambria Math&quot; w:h-ansi=&quot;Cambria Math&quot;/&gt;&lt;wx:font wx:val=&quot;Cambria Math&quot;/&gt;&lt;w:b/&gt;&lt;w:i/&gt;&lt;w:highlight w:val=&quot;light-gray&quot;/&gt;&lt;/w:rPr&gt;&lt;m:t&gt;ZLEV&lt;/m:t&gt;&lt;/m:r&gt;&lt;/m:e&gt;&lt;m:sub&gt;&lt;m:r&gt;&lt;m:rPr&gt;&lt;m:sty m:val=&quot;bi&quot;/&gt;&lt;/m:rPr&gt;&lt;w:rPr&gt;&lt;w:rFonts w:ascii=&quot;Cambria Math&quot; w:h-ansi=&quot;Cambria Math&quot;/&gt;&lt;wx:font wx:val=&quot;Cambria Math&quot;/&gt;&lt;w:b/&gt;&lt;w:i/&gt;&lt;w:highlight w:val=&quot;light-gray&quot;/&gt;&lt;/w:rPr&gt;&lt;m:t&gt;spÃ©cifique&lt;/m:t&gt;&lt;/m:r&gt;&lt;/m:sub&gt;&lt;/m:sSub&gt;&lt;m:r&gt;&lt;m:rPr&gt;&lt;m:sty m:val=&quot;bi&quot;/&gt;&lt;/m:rPr&gt;&lt;w:rPr&gt;&lt;w:rFonts w:ascii=&quot;Cambria Math&quot; w:h-ansi=&quot;Cambria Math&quot;/&gt;&lt;wx:font wx:val=&quot;Cambria Math&quot;/&gt;&lt;w:b/&gt;&lt;w:i/&gt;&lt;w:highlight w:val=&quot;light-gray&quot;/&gt;&lt;/w:rPr&gt;&lt;m:t&gt;=1-&lt;/m:t&gt;&lt;/m:r&gt;&lt;m:d&gt;&lt;m:dPr&gt;&lt;m:ctrlPr&gt;&lt;w:rPr&gt;&lt;w:rFonts w:ascii=&quot;Cambria Math&quot; w:h-ansi=&quot;Cambria Math&quot;/&gt;&lt;wx:font wx:val=&quot;Cambria Math&quot;/&gt;&lt;w:b/&gt;&lt;w:i/&gt;&lt;w:highlight w:val=&quot;light-gray&quot;/&gt;&lt;/w:rPr&gt;&lt;/m:ctrlPr&gt;&lt;/m:dPr&gt;&lt;m:e&gt;&lt;m:f&gt;&lt;m:fPr&gt;&lt;m:ctrlPr&gt;&lt;w:rPr&gt;&lt;w:rFonts w:ascii=&quot;Cambria Math&quot; w:h-ansi=&quot;Cambria Math&quot;/&gt;&lt;wx:font wx:val=&quot;Cambria Math&quot;/&gt;&lt;w:b/&gt;&lt;w:i/&gt;&lt;w:highlight w:val=&quot;light-gray&quot;/&gt;&lt;/w:rPr&gt;&lt;/m:ctrlPr&gt;&lt;/m:fPr&gt;&lt;m:num&gt;&lt;m:r&gt;&lt;m:rPr&gt;&lt;m:sty m:val=&quot;bi&quot;/&gt;&lt;/m:rPr&gt;&lt;w:rPr&gt;&lt;w:rFonts w:ascii=&quot;Cambria Math&quot; w:h-ansi=&quot;Cambria Math&quot;/&gt;&lt;wx:font wx:val=&quot;Cambria Math&quot;/&gt;&lt;w:b/&gt;&lt;w:i/&gt;&lt;w:highlight w:val=&quot;light-gray&quot;/&gt;&lt;/w:rPr&gt;&lt;m:t&gt;Ã©missions spÃ©cifiques &lt;/m:t&gt;&lt;/m:r&gt;&lt;/m:num&gt;&lt;m:den&gt;&lt;m:r&gt;&lt;m:rPr&gt;&lt;m:sty m:val=&quot;bi&quot;/&gt;&lt;/m:rPr&gt;&lt;w:rPr&gt;&lt;w:rFonts w:ascii=&quot;Cambria Math&quot; w:h-ansi=&quot;Cambria Math&quot;/&gt;&lt;wx:font wx:val=&quot;Cambria Math&quot;/&gt;&lt;w:b/&gt;&lt;w:i/&gt;&lt;w:highlight w:val=&quot;light-gray&quot;/&gt;&lt;/w:rPr&gt;&lt;m:t&gt;50&lt;/m:t&gt;&lt;/m:r&gt;&lt;/m:den&gt;&lt;/m:f&gt;&lt;/m:e&gt;&lt;/m:d&gt;&lt;/m:oMath&gt;&lt;/m:oMathPara&gt;&lt;/w:p&gt;&lt;w:sectPr wsp:rsidR=&quot;00000000&quot; wsp:rsidRPr=&quot;0051527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p>
        </w:tc>
        <w:tc>
          <w:tcPr>
            <w:tcW w:w="4876" w:type="dxa"/>
            <w:hideMark/>
          </w:tcPr>
          <w:p w:rsidR="00B0509C" w:rsidRPr="00CC7D67" w:rsidRDefault="00E454A5" w:rsidP="00B0509C">
            <w:pPr>
              <w:pStyle w:val="Normal6"/>
              <w:rPr>
                <w:szCs w:val="24"/>
              </w:rPr>
            </w:pPr>
            <w:r>
              <w:pict>
                <v:shape id="_x0000_i1038" type="#_x0000_t75" style="width:227.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tDisplayPageBoundaries/&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AMACTMNU&quot; w:val=&quot; 2&quot;/&gt;&lt;w:docVar w:name=&quot;AMPLURMNU&quot; w:val=&quot; 2&quot;/&gt;&lt;w:docVar w:name=&quot;CODEMNU&quot; w:val=&quot; 1&quot;/&gt;&lt;w:docVar w:name=&quot;COMKEY&quot; w:val=&quot;ENVI&quot;/&gt;&lt;w:docVar w:name=&quot;CopyToNetwork&quot; w:val=&quot;0&quot;/&gt;&lt;w:docVar w:name=&quot;CVA&quot; w:val=&quot;1&quot;/&gt;&lt;w:docVar w:name=&quot;DOCCODMNU&quot; w:val=&quot; 1&quot;/&gt;&lt;w:docVar w:name=&quot;DOCDT&quot; w:val=&quot;24/05/2018&quot;/&gt;&lt;w:docVar w:name=&quot;End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amp;lt;&amp;lt;&amp;lt;}{\rtlch\fcs1 \af0 \ltrch\fcs0 \insrsid13127606\charrsid946740 #@&amp;gt;ZOTHAMA&amp;lt;@#}{\rtlch\fcs1 \af0 \ltrch\fcs0 \cs15\v\f1\fs20\cf9\insrsid13127606\charrsid946740 &amp;lt;/RepeatBlock-AmendA&amp;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End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amp;lt;&amp;lt;&amp;lt;}{\rtlch\fcs1 \af0 \ltrch\fcs0 \insrsid10948606\charrsid946740 #@&amp;gt;ZOTHAMB&amp;lt;@#}{\rtlch\fcs1 \af0 \ltrch\fcs0 \cs15\v\f1\fs20\cf9\insrsid10948606\charrsid946740 &amp;lt;/RepeatBlock-AmendB&amp;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oAmend&quot; w:val=&quot;1&quot;/&gt;&lt;w:docVar w:name=&quot;IntroA&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amp;lt;RepeatBlock-AmendA&amp;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IntroB&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amp;lt;RepeatBlock-AmendB&amp;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LastEditedSection&quot; w:val=&quot; 1&quot;/&gt;&lt;w:docVar w:name=&quot;PROPOSALCODMNU&quot; w:val=&quot; 1&quot;/&gt;&lt;w:docVar w:name=&quot;RepeatBlock-AmendAENold&quot; w:val=&quot;{\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amp;gt;&amp;gt;&amp;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AENoldToDel&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amp;lt;AmendA&amp;gt;}{_x000d__x000a_\rtlch\fcs1 \af0 \ltrch\fcs0 \insrsid8420960\charrsid1408896 Amendment\tab \tab }{\rtlch\fcs1 \af0 \ltrch\fcs0 \cs15\b0\v\f1\fs20\cf9\insrsid8420960\charrsid1408896 &amp;lt;NumAmA&amp;gt;}{\rtlch\fcs1 \af0 \ltrch\fcs0 \insrsid8420960\charrsid1408896 #}{\rtlch\fcs1 _x000d__x000a_\af0 \ltrch\fcs0 \cs16\v\cf15\insrsid8420960\charrsid1408896 ENMIENDA@NRAM@}{\rtlch\fcs1 \af0 \ltrch\fcs0 \insrsid8420960\charrsid1408896 #}{\rtlch\fcs1 \af0 \ltrch\fcs0 \cs15\b0\v\f1\fs20\cf9\insrsid8420960\charrsid1408896 &amp;lt;/NumAmA&amp;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RepeatBlock-By&amp;gt;}{\rtlch\fcs1 \af0 \ltrch\fcs0 \insrsid8420960\charrsid1408896 #}{\rtlch\fcs1 \af0 \ltrch\fcs0 \cs16\v\cf15\insrsid8420960\charrsid1408896 &amp;gt;&amp;gt;&amp;gt;@[ZMEMBERSMSG]@}{\rtlch\fcs1 _x000d__x000a_\af0 \ltrch\fcs0 \insrsid8420960\charrsid1408896 #}{\rtlch\fcs1 \af0 \ltrch\fcs0 \cs15\b0\v\f1\fs20\cf9\insrsid8420960\charrsid1408896 &amp;lt;Members&amp;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amp;lt;/Members&amp;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amp;lt;AuNomDe&amp;gt;&amp;lt;OptDel&amp;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amp;lt;/OptDel&amp;gt;&amp;lt;/AuNomDe&amp;gt;}{\rtlch\fcs1 \af0 \ltrch\fcs0 \insrsid8420960\charrsid1408896 _x000d__x000a_\par &amp;lt;&amp;lt;&amp;lt;}{\rtlch\fcs1 \af0 \ltrch\fcs0 \cs15\v\f1\fs20\cf9\insrsid8420960\charrsid1408896 &amp;lt;/RepeatBlock-By&amp;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amp;lt;DocAmend&amp;gt;}{\rtlch\fcs1 \af0 \ltrch\fcs0 \insrsid8420960\charrsid1408896 Draft legislative resolution}{\rtlch\fcs1 \af0 \ltrch\fcs0 \cs15\b0\v\f1\fs20\cf9\insrsid8420960\charrsid1408896 _x000d__x000a_&amp;lt;/DocAmend&amp;gt;}{\rtlch\fcs1 \af0 \ltrch\fcs0 \insrsid8420960\charrsid1408896 _x000d__x000a_\par }\pard \ltrpar\s19\ql \li0\ri0\nowidctlpar\wrapdefault\aspalpha\aspnum\faauto\adjustright\rin0\lin0\itap0\pararsid16013815 {\rtlch\fcs1 \af0 \ltrch\fcs0 \cs15\b0\v\f1\fs20\cf9\insrsid8420960\charrsid1408896 &amp;lt;Article&amp;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amp;lt;/Article&amp;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amp;lt;Original&amp;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amp;lt;/Original&amp;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amp;lt;TitreJust&amp;gt;}{\rtlch\fcs1 \af0 \ltrch\fcs0 \noproof0\insrsid8420960\charrsid1408896 Justification_x000d__x000a_}{\rtlch\fcs1 \af0 \ltrch\fcs0 \cs15\i0\v\f1\fs20\cf9\noproof0\insrsid8420960\charrsid1408896 &amp;lt;/TitreJust&amp;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amp;lt;OptDelPrev&amp;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amp;lt;/OptDelPrev&amp;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BENoldToKeep&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amp;lt;AmendB&amp;gt;}{_x000d__x000a_\rtlch\fcs1 \af0 \ltrch\fcs0 \insrsid9520314\charrsid1408896 Amendment\tab \tab }{\rtlch\fcs1 \af0 \ltrch\fcs0 \cs15\b0\v\f1\fs20\cf9\insrsid9520314\charrsid1408896 &amp;lt;NumAmB&amp;gt;}{\rtlch\fcs1 \af0 \ltrch\fcs0 \insrsid9520314\charrsid1408896 #}{\rtlch\fcs1 _x000d__x000a_\af0 \ltrch\fcs0 \cs16\v\cf15\insrsid9520314\charrsid1408896 ENMIENDA@NRAM@}{\rtlch\fcs1 \af0 \ltrch\fcs0 \insrsid9520314\charrsid1408896 #}{\rtlch\fcs1 \af0 \ltrch\fcs0 \cs15\b0\v\f1\fs20\cf9\insrsid9520314\charrsid1408896 &amp;lt;/NumAmB&amp;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RepeatBlock-By&amp;gt;}{\rtlch\fcs1 \af0 \ltrch\fcs0 \insrsid9520314\charrsid1408896 #}{\rtlch\fcs1 \af0 \ltrch\fcs0 \cs16\v\cf15\insrsid9520314\charrsid1408896 &amp;gt;&amp;gt;&amp;gt;@[ZMEMBERSMSG]@}{\rtlch\fcs1 _x000d__x000a_\af0 \ltrch\fcs0 \insrsid9520314\charrsid1408896 #}{\rtlch\fcs1 \af0 \ltrch\fcs0 \cs15\b0\v\f1\fs20\cf9\insrsid9520314\charrsid1408896 &amp;lt;Members&amp;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amp;lt;/Members&amp;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amp;lt;AuNomDe&amp;gt;&amp;lt;OptDel&amp;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amp;lt;/OptDel&amp;gt;&amp;lt;/AuNomDe&amp;gt;}{\rtlch\fcs1 \af0 \ltrch\fcs0 \insrsid9520314\charrsid1408896 _x000d__x000a_\par &amp;lt;&amp;lt;&amp;lt;}{\rtlch\fcs1 \af0 \ltrch\fcs0 \cs15\v\f1\fs20\cf9\insrsid9520314\charrsid1408896 &amp;lt;/RepeatBlock-By&amp;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amp;lt;DocAmend&amp;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amp;lt;/DocAmend&amp;gt;}{\rtlch\fcs1 \af0 _x000d__x000a_\ltrch\fcs0 \insrsid9520314\charrsid1408896 _x000d__x000a_\par }\pard \ltrpar\s19\ql \li0\ri0\keepn\nowidctlpar\wrapdefault\aspalpha\aspnum\faauto\adjustright\rin0\lin0\itap0\pararsid10630121 {\rtlch\fcs1 \af0 \ltrch\fcs0 \cs15\b0\v\f1\fs20\cf9\insrsid9520314\charrsid1408896 &amp;lt;Article&amp;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amp;lt;/Article&amp;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amp;lt;DocAmend2&amp;gt;&amp;lt;OptDel&amp;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amp;lt;/OptDel&amp;gt;&amp;lt;/DocAmend2&amp;gt;}{\rtlch\fcs1 \af0 \ltrch\fcs0 _x000d__x000a_\insrsid9520314\charrsid1408896 _x000d__x000a_\par }\pard \ltrpar\ql \li0\ri0\widctlpar\wrapdefault\aspalpha\aspnum\faauto\adjustright\rin0\lin0\itap0\pararsid10158853 {\rtlch\fcs1 \af0 \ltrch\fcs0 \cs15\v\f1\fs20\cf9\insrsid9520314\charrsid1408896 &amp;lt;Article2&amp;gt;&amp;lt;OptDel&amp;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amp;lt;/OptDel&amp;gt;&amp;lt;/Article2&amp;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amp;lt;Original&amp;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amp;lt;/Original&amp;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amp;lt;OptDel&amp;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amp;lt;/OptDel&amp;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amp;lt;TitreJust&amp;gt;}{\rtlch\fcs1 \af0 \ltrch\fcs0 \noproof0\insrsid9520314\charrsid1408896 Justification_x000d__x000a_}{\rtlch\fcs1 \af0 \ltrch\fcs0 \cs15\i0\v\f1\fs20\cf9\noproof0\insrsid9520314\charrsid1408896 &amp;lt;/TitreJust&amp;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amp;lt;OptDelPrev&amp;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amp;lt;/OptDelPrev&amp;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peatBlock-AmendexBEN&quot; w:val=&quot;{\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amp;lt;}{\rtlch\fcs1 _x000d__x000a_\af0 \ltrch\fcs0 \cs15\b0\v\f1\fs20\cf9\insrsid14633222 Amend}{\rtlch\fcs1 \af0 \ltrch\fcs0 \cs15\b0\v\f1\fs20\cf9\insrsid14633222\charrsid1408896 &amp;gt;}{\rtlch\fcs1 \af0 \ltrch\fcs0 \insrsid14633222\charrsid1408896 Amendment\tab \tab }{\rtlch\fcs1 \af0 _x000d__x000a_\ltrch\fcs0 \cs15\b0\v\f1\fs20\cf9\insrsid14633222\charrsid1408896 &amp;lt;}{\rtlch\fcs1 \af0 \ltrch\fcs0 \cs15\b0\v\f1\fs20\cf9\insrsid14633222 NumAm&amp;gt;}{\rtlch\fcs1 \af0 \ltrch\fcs0 \insrsid14633222\charrsid1408896 #}{\rtlch\fcs1 \af0 \ltrch\fcs0 _x000d__x000a_\cs16\v\cf15\insrsid14633222\charrsid1408896 ENMIENDA@NRAM@}{\rtlch\fcs1 \af0 \ltrch\fcs0 \insrsid14633222\charrsid1408896 #}{\rtlch\fcs1 \af0 \ltrch\fcs0 \cs15\b0\v\f1\fs20\cf9\insrsid14633222\charrsid1408896 &amp;lt;/}{\rtlch\fcs1 \af0 \ltrch\fcs0 _x000d__x000a_\cs15\b0\v\f1\fs20\cf9\insrsid14633222 NumAm&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RepeatBlock-By&amp;gt;}{\rtlch\fcs1 \af0 \ltrch\fcs0 \insrsid14633222\charrsid1408896 #}{\rtlch\fcs1 \af0 \ltrch\fcs0 \cs16\v\cf15\insrsid14633222\charrsid1408896 &amp;gt;&amp;gt;&amp;gt;@[ZMEMBERSMSG]@}{_x000d__x000a_\rtlch\fcs1 \af0 \ltrch\fcs0 \insrsid14633222\charrsid1408896 #}{\rtlch\fcs1 \af0 \ltrch\fcs0 \cs15\b0\v\f1\fs20\cf9\insrsid14633222\charrsid1408896 &amp;lt;Members&amp;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amp;lt;/Members&amp;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amp;lt;AuNomDe&amp;gt;&amp;lt;OptDel&amp;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amp;lt;/OptDel&amp;gt;&amp;lt;/AuNomDe&amp;gt;}{\rtlch\fcs1 \af0 \ltrch\fcs0 \insrsid14633222\charrsid1408896 _x000d__x000a_\par &amp;lt;&amp;lt;&amp;lt;}{\rtlch\fcs1 \af0 \ltrch\fcs0 \cs15\v\f1\fs20\cf9\insrsid14633222\charrsid1408896 &amp;lt;/RepeatBlock-By&amp;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amp;lt;DocAmend&amp;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amp;lt;/DocAmend&amp;gt;}{\rtlch\fcs1 \af0 _x000d__x000a_\ltrch\fcs0 \insrsid14633222\charrsid1408896 _x000d__x000a_\par }\pard \ltrpar\s19\ql \li0\ri0\keepn\nowidctlpar\wrapdefault\aspalpha\aspnum\faauto\adjustright\rin0\lin0\itap0\pararsid10630121 {\rtlch\fcs1 \af0 \ltrch\fcs0 \cs15\b0\v\f1\fs20\cf9\insrsid14633222\charrsid1408896 &amp;lt;Article&amp;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amp;lt;/Article&amp;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amp;lt;DocAmend2&amp;gt;&amp;lt;OptDel&amp;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amp;lt;/OptDel&amp;gt;&amp;lt;/DocAmend2&amp;gt;}{\rtlch\fcs1 \af0 \ltrch\fcs0 _x000d__x000a_\insrsid14633222\charrsid1408896 _x000d__x000a_\par }\pard \ltrpar\ql \li0\ri0\widctlpar\wrapdefault\aspalpha\aspnum\faauto\adjustright\rin0\lin0\itap0\pararsid10158853 {\rtlch\fcs1 \af0 \ltrch\fcs0 \cs15\v\f1\fs20\cf9\insrsid14633222\charrsid1408896 &amp;lt;Article2&amp;gt;&amp;lt;OptDel&amp;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amp;lt;/OptDel&amp;gt;&amp;lt;/Article2&amp;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amp;lt;Original&amp;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amp;lt;/Original&amp;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amp;lt;OptDel&amp;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amp;lt;/OptDel&amp;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amp;lt;TitreJust&amp;gt;}{\rtlch\fcs1 \af0 \ltrch\fcs0 \noproof0\insrsid14633222\charrsid1408896 _x000d__x000a_Justification}{\rtlch\fcs1 \af0 \ltrch\fcs0 \cs15\i0\v\f1\fs20\cf9\noproof0\insrsid14633222\charrsid1408896 &amp;lt;/TitreJust&amp;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amp;lt;OptDelPrev&amp;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amp;lt;/OptDelPrev&amp;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amp;lt;/}{\rtlch\fcs1 \af0 \ltrch\fcs0 \cs15\v\f1\fs20\cf9\insrsid14633222 Amend}{\rtlch\fcs1 \af0 \ltrch\fcs0 \cs15\v\f1\fs20\cf9\insrsid14633222\charrsid1408896 &amp;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A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amp;lt;AmendA&amp;gt;}{_x000d__x000a_\rtlch\fcs1 \af0 \ltrch\fcs0 \insrsid15625260\charrsid946740 [ZAMENDMENT]\tab \tab }{\rtlch\fcs1 \af0 \ltrch\fcs0 \cs15\b0\v\f1\fs20\cf9\insrsid15625260\charrsid946740 &amp;lt;NumAmA&amp;gt;}{\rtlch\fcs1 \af0 \ltrch\fcs0 \insrsid15625260\charrsid946740 [ZNRAM]}{_x000d__x000a_\rtlch\fcs1 \af0 \ltrch\fcs0 \cs15\b0\v\f1\fs20\cf9\insrsid15625260\charrsid946740 &amp;lt;/NumAmA&amp;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amp;lt;RepeatBlock-By&amp;gt;}{\rtlch\fcs1 \af0 \ltrch\fcs0 \lang1024\langfe1024\noproof\insrsid15625260\charrsid14699840 [RepeatMembers]}{\rtlch\fcs1 \af0 \ltrch\fcs0 _x000d__x000a_\cs15\b0\v\f1\fs20\cf9\lang1024\langfe1024\noproof\insrsid15625260\charrsid14699840 &amp;lt;Members&amp;gt;}{\rtlch\fcs1 \af0 \ltrch\fcs0 \insrsid15625260\charrsid14699840 [ZMEMBERS]}{\rtlch\fcs1 \af0 \ltrch\fcs0 _x000d__x000a_\cs15\b0\v\f1\fs20\cf9\lang1024\langfe1024\noproof\insrsid15625260\charrsid14699840 &amp;lt;/Members&amp;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amp;lt;AuNomDe&amp;gt;&amp;lt;OptDel&amp;gt;}{\rtlch\fcs1 \af0 \ltrch\fcs0 \lang1024\langfe1024\noproof\insrsid15625260\charrsid14699840 [ZONBEHALF]}{\rtlch\fcs1 \af0 \ltrch\fcs0 _x000d__x000a_\cs15\v\f1\fs20\cf9\lang1024\langfe1024\noproof\insrsid15625260\charrsid14699840 &amp;lt;/OptDel&amp;gt;&amp;lt;/AuNomDe&amp;gt;}{\rtlch\fcs1 \af0 \ltrch\fcs0 \insrsid15625260\charrsid14699840 _x000d__x000a_\par &amp;lt;&amp;lt;&amp;lt;}{\rtlch\fcs1 \af0 \ltrch\fcs0 \cs15\v\f1\fs20\cf9\lang1024\langfe1024\noproof\insrsid15625260\charrsid14699840 &amp;lt;/RepeatBlock-By&amp;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amp;lt;DocAmend&amp;gt;}{\rtlch\fcs1 \af0 \ltrch\fcs0 \insrsid15625260\charrsid946740 [ZRESOLUTION]}{\rtlch\fcs1 \af0 \ltrch\fcs0 \cs15\b0\v\f1\fs20\cf9\insrsid15625260\charrsid946740 &amp;lt;/DocAmend&amp;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amp;lt;Article&amp;gt;}{_x000d__x000a_\rtlch\fcs1 \af0 \ltrch\fcs0 \insrsid15625260\charrsid16013815 [ZRESPART]}{\rtlch\fcs1 \af0 \ltrch\fcs0 \cs15\b0\v\f1\fs20\cf9\lang1024\langfe1024\noproof\insrsid15625260\charrsid16013815 &amp;lt;/Article&amp;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amp;lt;Original&amp;gt;}{\rtlch\fcs1 \af0 \ltrch\fcs0 \noproof0\insrsid15625260\charrsid946740 [ZORLANG]}{\rtlch\fcs1 _x000d__x000a_\af0 \ltrch\fcs0 \cs15\v\f1\fs20\cf9\noproof0\insrsid15625260\charrsid946740 &amp;lt;/Original&amp;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amp;lt;TitreJust&amp;gt;}{\rtlch\fcs1 \af0 \ltrch\fcs0 \noproof0\insrsid15625260\charrsid946740 _x000d__x000a_[ZJUSTIFICATION]}{\rtlch\fcs1 \af0 \ltrch\fcs0 \cs15\i0\v\f1\fs20\cf9\noproof0\insrsid15625260\charrsid946740 &amp;lt;/TitreJust&amp;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amp;lt;OptDelPrev&amp;gt;}{\rtlch\fcs1 \af0 \ltrch\fcs0 \noproof0\insrsid15625260\charrsid946740 [ZTEXTJUST]}{\rtlch\fcs1 \af0 \ltrch\fcs0 _x000d__x000a_\cs15\i0\v\f1\fs20\cf9\noproof0\insrsid15625260\charrsid946740 &amp;lt;/OptDelPrev&amp;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amp;lt;/AmendA&amp;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restartBrut&quot; w:val=&quot;{\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amp;lt;AmendB&amp;gt;}{_x000d__x000a_\rtlch\fcs1 \af0 \ltrch\fcs0 \insrsid2490866\charrsid946740 [ZAMENDMENT]\tab \tab }{\rtlch\fcs1 \af0 \ltrch\fcs0 \cs15\b0\v\f1\fs20\cf9\insrsid2490866\charrsid946740 &amp;lt;NumAmB&amp;gt;}{\rtlch\fcs1 \af0 \ltrch\fcs0 \insrsid2490866\charrsid946740 [ZNRAM]}{_x000d__x000a_\rtlch\fcs1 \af0 \ltrch\fcs0 \cs15\b0\v\f1\fs20\cf9\insrsid2490866\charrsid946740 &amp;lt;/NumAmB&amp;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amp;lt;RepeatBlock-By&amp;gt;}{\rtlch\fcs1 \af0 \ltrch\fcs0 \lang1024\langfe1024\noproof\insrsid2490866\charrsid14699840 [RepeatMembers]}{\rtlch\fcs1 \af0 \ltrch\fcs0 _x000d__x000a_\cs15\b0\v\f1\fs20\cf9\lang1024\langfe1024\noproof\insrsid2490866\charrsid14699840 &amp;lt;Members&amp;gt;}{\rtlch\fcs1 \af0 \ltrch\fcs0 \insrsid2490866\charrsid14699840 [ZMEMBERS]}{\rtlch\fcs1 \af0 \ltrch\fcs0 _x000d__x000a_\cs15\b0\v\f1\fs20\cf9\lang1024\langfe1024\noproof\insrsid2490866\charrsid14699840 &amp;lt;/Members&amp;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amp;lt;AuNomDe&amp;gt;&amp;lt;OptDel&amp;gt;}{\rtlch\fcs1 \af0 \ltrch\fcs0 \lang1024\langfe1024\noproof\insrsid2490866\charrsid14699840 [ZONBEHALF]}{\rtlch\fcs1 \af0 \ltrch\fcs0 _x000d__x000a_\cs15\v\f1\fs20\cf9\lang1024\langfe1024\noproof\insrsid2490866\charrsid14699840 &amp;lt;/OptDel&amp;gt;&amp;lt;/AuNomDe&amp;gt;}{\rtlch\fcs1 \af0 \ltrch\fcs0 \insrsid2490866\charrsid14699840 _x000d__x000a_\par &amp;lt;&amp;lt;&amp;lt;}{\rtlch\fcs1 \af0 \ltrch\fcs0 \cs15\v\f1\fs20\cf9\lang1024\langfe1024\noproof\insrsid2490866\charrsid14699840 &amp;lt;/RepeatBlock-By&amp;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amp;lt;DocAmend&amp;gt;}{\rtlch\fcs1 \af0 \ltrch\fcs0 \insrsid2490866\charrsid946740 [Z}{\rtlch\fcs1 \af0 \ltrch\fcs0 \insrsid2490866 AMDOC}{\rtlch\fcs1 \af0 \ltrch\fcs0 \insrsid2490866\charrsid946740 ]}_x000d__x000a_{\rtlch\fcs1 \af0 \ltrch\fcs0 \cs15\b0\v\f1\fs20\cf9\insrsid2490866\charrsid946740 &amp;lt;/DocAmend&amp;gt;}{\rtlch\fcs1 \af0 \ltrch\fcs0 \insrsid2490866\charrsid946740 _x000d__x000a_\par }\pard \ltrpar\s18\ql \li0\ri0\keepn\nowidctlpar\wrapdefault\aspalpha\aspnum\faauto\adjustright\rin0\lin0\itap0\pararsid10630121 {\rtlch\fcs1 \af0 \ltrch\fcs0 \cs15\b0\v\f1\fs20\cf9\insrsid2490866\charrsid946740 &amp;lt;Article&amp;gt;}{\rtlch\fcs1 \af0 \ltrch\fcs0 _x000d__x000a_\insrsid2490866\charrsid946740 [ZAMPART]}{\rtlch\fcs1 \af0 \ltrch\fcs0 \cs15\b0\v\f1\fs20\cf9\insrsid2490866\charrsid946740 &amp;lt;/Article&amp;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amp;lt;DocAmend2&amp;gt;&amp;lt;OptDel&amp;gt;}{\rtlch\fcs1 \af0 \ltrch\fcs0 \insrsid2490866\charrsid946740 [ZNRACT]}{\rtlch\fcs1 \af0 \ltrch\fcs0 \cs15\v\f1\fs20\cf9\insrsid2490866\charrsid946740 &amp;lt;/OptDel&amp;gt;&amp;lt;/DocAmend2&amp;gt;}{_x000d__x000a_\rtlch\fcs1 \af0 \ltrch\fcs0 \insrsid2490866\charrsid946740 _x000d__x000a_\par }\pard \ltrpar\ql \li0\ri0\widctlpar\wrapdefault\aspalpha\aspnum\faauto\adjustright\rin0\lin0\itap0\pararsid10158853 {\rtlch\fcs1 \af0 \ltrch\fcs0 \cs15\v\f1\fs20\cf9\insrsid2490866\charrsid946740 &amp;lt;Article2&amp;gt;&amp;lt;OptDel&amp;gt;}{\rtlch\fcs1 \af0 \ltrch\fcs0 _x000d__x000a_\insrsid2490866\charrsid946740 [ZACTPART]}{\rtlch\fcs1 \af0 \ltrch\fcs0 \cs15\v\f1\fs20\cf9\insrsid2490866\charrsid946740 &amp;lt;/OptDel&amp;gt;&amp;lt;/Article2&amp;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amp;lt;Original&amp;gt;}{\rtlch\fcs1 \af0 \ltrch\fcs0 \noproof0\insrsid2490866\charrsid946740 [ZORLANG]}{\rtlch\fcs1 \af0 _x000d__x000a_\ltrch\fcs0 \cs15\v\f1\fs20\cf9\noproof0\insrsid2490866\charrsid946740 &amp;lt;/Original&amp;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amp;lt;OptDel&amp;gt;}{\rtlch\fcs1 \af0 \ltrch\fcs0 \insrsid2490866\charrsid946740 [ZCROSSREF]}{\rtlch\fcs1 \af0 \ltrch\fcs0 \cs15\i0\v\f1\fs20\cf9\insrsid2490866\charrsid946740 &amp;lt;/OptDel&amp;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amp;lt;TitreJust&amp;gt;}{\rtlch\fcs1 \af0 \ltrch\fcs0 \noproof0\insrsid2490866\charrsid946740 _x000d__x000a_[ZJUSTIFICATION]}{\rtlch\fcs1 \af0 \ltrch\fcs0 \cs15\i0\v\f1\fs20\cf9\noproof0\insrsid2490866\charrsid946740 &amp;lt;/TitreJust&amp;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amp;lt;OptDelPrev&amp;gt;}{\rtlch\fcs1 \af0 \ltrch\fcs0 \noproof0\insrsid2490866\charrsid946740 [ZTEXTJUST]}{\rtlch\fcs1 \af0 \ltrch\fcs0 _x000d__x000a_\cs15\i0\v\f1\fs20\cf9\noproof0\insrsid2490866\charrsid946740 &amp;lt;/OptDelPrev&amp;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amp;lt;/AmendB&amp;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quot;/&gt;&lt;w:docVar w:name=&quot;strDocTypeID&quot; w:val=&quot;AM_Com_LegReport&quot;/&gt;&lt;w:docVar w:name=&quot;strSubDir&quot; w:val=&quot;1154&quot;/&gt;&lt;w:docVar w:name=&quot;TVTAMPART&quot; w:val=&quot;Article 1 - paragraph 2&quot;/&gt;&lt;w:docVar w:name=&quot;TVTMEMBERS&quot; w:val=&quot;Miriam Dalli&quot;/&gt;&lt;w:docVar w:name=&quot;TXTAUTHOR&quot; w:val=&quot;Miriam Dalli&quot;/&gt;&lt;w:docVar w:name=&quot;TXTLANGUE&quot; w:val=&quot;FR&quot;/&gt;&lt;w:docVar w:name=&quot;TXTLANGUEMIN&quot; w:val=&quot;fr&quot;/&gt;&lt;w:docVar w:name=&quot;TXTNRAM&quot; w:val=&quot;1&quot;/&gt;&lt;w:docVar w:name=&quot;TXTNRC&quot; w:val=&quot;0395/2017&quot;/&gt;&lt;w:docVar w:name=&quot;TXTNRCOM&quot; w:val=&quot;2017/0676&quot;/&gt;&lt;w:docVar w:name=&quot;TXTNRFIRSTAM&quot; w:val=&quot;1&quot;/&gt;&lt;w:docVar w:name=&quot;TXTNRLASTAM&quot; w:val=&quot;1&quot;/&gt;&lt;w:docVar w:name=&quot;TXTNRPE&quot; w:val=&quot;622.230&quot;/&gt;&lt;w:docVar w:name=&quot;TXTNRPE2&quot; w:val=&quot;619.135&quot;/&gt;&lt;w:docVar w:name=&quot;TXTNRPROC&quot; w:val=&quot;2017/0293&quot;/&gt;&lt;w:docVar w:name=&quot;TXTPEorAP&quot; w:val=&quot;PE&quot;/&gt;&lt;w:docVar w:name=&quot;TXTROUTE&quot; w:val=&quot;AM\1154052FR.docx&quot;/&gt;&lt;w:docVar w:name=&quot;TXTTITLE&quot; w:val=&quot;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quot;/&gt;&lt;w:docVar w:name=&quot;TXTVERSION&quot; w:val=&quot;01-00&quot;/&gt;&lt;w:docVar w:name=&quot;TXTVERSION2&quot; w:val=&quot;01-00&quot;/&gt;&lt;/w:docVars&gt;&lt;wsp:rsids&gt;&lt;wsp:rsidRoot wsp:val=&quot;005D2D0B&quot;/&gt;&lt;wsp:rsid wsp:val=&quot;000111BD&quot;/&gt;&lt;wsp:rsid wsp:val=&quot;0003605A&quot;/&gt;&lt;wsp:rsid wsp:val=&quot;00073830&quot;/&gt;&lt;wsp:rsid wsp:val=&quot;00075DBE&quot;/&gt;&lt;wsp:rsid wsp:val=&quot;0008075F&quot;/&gt;&lt;wsp:rsid wsp:val=&quot;000B0781&quot;/&gt;&lt;wsp:rsid wsp:val=&quot;000E7234&quot;/&gt;&lt;wsp:rsid wsp:val=&quot;000F2A80&quot;/&gt;&lt;wsp:rsid wsp:val=&quot;00121CF8&quot;/&gt;&lt;wsp:rsid wsp:val=&quot;00126BC4&quot;/&gt;&lt;wsp:rsid wsp:val=&quot;00150057&quot;/&gt;&lt;wsp:rsid wsp:val=&quot;00166CCB&quot;/&gt;&lt;wsp:rsid wsp:val=&quot;001A4802&quot;/&gt;&lt;wsp:rsid wsp:val=&quot;001B761C&quot;/&gt;&lt;wsp:rsid wsp:val=&quot;001C2054&quot;/&gt;&lt;wsp:rsid wsp:val=&quot;001C502E&quot;/&gt;&lt;wsp:rsid wsp:val=&quot;001D13C9&quot;/&gt;&lt;wsp:rsid wsp:val=&quot;001D5CC4&quot;/&gt;&lt;wsp:rsid wsp:val=&quot;001F0FDD&quot;/&gt;&lt;wsp:rsid wsp:val=&quot;00231EA7&quot;/&gt;&lt;wsp:rsid wsp:val=&quot;00236619&quot;/&gt;&lt;wsp:rsid wsp:val=&quot;002574CB&quot;/&gt;&lt;wsp:rsid wsp:val=&quot;00280EA6&quot;/&gt;&lt;wsp:rsid wsp:val=&quot;002A1C82&quot;/&gt;&lt;wsp:rsid wsp:val=&quot;002A77A0&quot;/&gt;&lt;wsp:rsid wsp:val=&quot;002B6A7B&quot;/&gt;&lt;wsp:rsid wsp:val=&quot;002C5761&quot;/&gt;&lt;wsp:rsid wsp:val=&quot;003003A7&quot;/&gt;&lt;wsp:rsid wsp:val=&quot;00315664&quot;/&gt;&lt;wsp:rsid wsp:val=&quot;00322475&quot;/&gt;&lt;wsp:rsid wsp:val=&quot;00331135&quot;/&gt;&lt;wsp:rsid wsp:val=&quot;00363AD3&quot;/&gt;&lt;wsp:rsid wsp:val=&quot;003743DE&quot;/&gt;&lt;wsp:rsid wsp:val=&quot;0037660F&quot;/&gt;&lt;wsp:rsid wsp:val=&quot;00384E84&quot;/&gt;&lt;wsp:rsid wsp:val=&quot;003923F7&quot;/&gt;&lt;wsp:rsid wsp:val=&quot;003D466C&quot;/&gt;&lt;wsp:rsid wsp:val=&quot;003E43AC&quot;/&gt;&lt;wsp:rsid wsp:val=&quot;003F21EB&quot;/&gt;&lt;wsp:rsid wsp:val=&quot;003F3B0C&quot;/&gt;&lt;wsp:rsid wsp:val=&quot;00422BB2&quot;/&gt;&lt;wsp:rsid wsp:val=&quot;0042354E&quot;/&gt;&lt;wsp:rsid wsp:val=&quot;004367B3&quot;/&gt;&lt;wsp:rsid wsp:val=&quot;00441413&quot;/&gt;&lt;wsp:rsid wsp:val=&quot;00441D7D&quot;/&gt;&lt;wsp:rsid wsp:val=&quot;0045552B&quot;/&gt;&lt;wsp:rsid wsp:val=&quot;00461E32&quot;/&gt;&lt;wsp:rsid wsp:val=&quot;00495E20&quot;/&gt;&lt;wsp:rsid wsp:val=&quot;004E0A0F&quot;/&gt;&lt;wsp:rsid wsp:val=&quot;004E0AAC&quot;/&gt;&lt;wsp:rsid wsp:val=&quot;004F1695&quot;/&gt;&lt;wsp:rsid wsp:val=&quot;004F2903&quot;/&gt;&lt;wsp:rsid wsp:val=&quot;0051442D&quot;/&gt;&lt;wsp:rsid wsp:val=&quot;00546117&quot;/&gt;&lt;wsp:rsid wsp:val=&quot;00547F73&quot;/&gt;&lt;wsp:rsid wsp:val=&quot;005572EA&quot;/&gt;&lt;wsp:rsid wsp:val=&quot;00557617&quot;/&gt;&lt;wsp:rsid wsp:val=&quot;00571479&quot;/&gt;&lt;wsp:rsid wsp:val=&quot;005A7EB4&quot;/&gt;&lt;wsp:rsid wsp:val=&quot;005B32E3&quot;/&gt;&lt;wsp:rsid wsp:val=&quot;005D2D0B&quot;/&gt;&lt;wsp:rsid wsp:val=&quot;005E50C2&quot;/&gt;&lt;wsp:rsid wsp:val=&quot;00607ABE&quot;/&gt;&lt;wsp:rsid wsp:val=&quot;006337D4&quot;/&gt;&lt;wsp:rsid wsp:val=&quot;00637384&quot;/&gt;&lt;wsp:rsid wsp:val=&quot;0066168A&quot;/&gt;&lt;wsp:rsid wsp:val=&quot;00665DDA&quot;/&gt;&lt;wsp:rsid wsp:val=&quot;00672807&quot;/&gt;&lt;wsp:rsid wsp:val=&quot;0067632C&quot;/&gt;&lt;wsp:rsid wsp:val=&quot;00684130&quot;/&gt;&lt;wsp:rsid wsp:val=&quot;00695CC1&quot;/&gt;&lt;wsp:rsid wsp:val=&quot;006A2838&quot;/&gt;&lt;wsp:rsid wsp:val=&quot;006A7A25&quot;/&gt;&lt;wsp:rsid wsp:val=&quot;006B4B58&quot;/&gt;&lt;wsp:rsid wsp:val=&quot;006B6438&quot;/&gt;&lt;wsp:rsid wsp:val=&quot;006D6B15&quot;/&gt;&lt;wsp:rsid wsp:val=&quot;006F3F81&quot;/&gt;&lt;wsp:rsid wsp:val=&quot;006F4B73&quot;/&gt;&lt;wsp:rsid wsp:val=&quot;00702F62&quot;/&gt;&lt;wsp:rsid wsp:val=&quot;007059E9&quot;/&gt;&lt;wsp:rsid wsp:val=&quot;00706049&quot;/&gt;&lt;wsp:rsid wsp:val=&quot;007152AF&quot;/&gt;&lt;wsp:rsid wsp:val=&quot;00736FBA&quot;/&gt;&lt;wsp:rsid wsp:val=&quot;007659AC&quot;/&gt;&lt;wsp:rsid wsp:val=&quot;0079060C&quot;/&gt;&lt;wsp:rsid wsp:val=&quot;00792D0F&quot;/&gt;&lt;wsp:rsid wsp:val=&quot;007A42AB&quot;/&gt;&lt;wsp:rsid wsp:val=&quot;007C71DE&quot;/&gt;&lt;wsp:rsid wsp:val=&quot;00822C94&quot;/&gt;&lt;wsp:rsid wsp:val=&quot;008363E4&quot;/&gt;&lt;wsp:rsid wsp:val=&quot;00851460&quot;/&gt;&lt;wsp:rsid wsp:val=&quot;0087052C&quot;/&gt;&lt;wsp:rsid wsp:val=&quot;00874862&quot;/&gt;&lt;wsp:rsid wsp:val=&quot;00875A9C&quot;/&gt;&lt;wsp:rsid wsp:val=&quot;00887FDC&quot;/&gt;&lt;wsp:rsid wsp:val=&quot;008934CE&quot;/&gt;&lt;wsp:rsid wsp:val=&quot;008958DE&quot;/&gt;&lt;wsp:rsid wsp:val=&quot;008F0DDD&quot;/&gt;&lt;wsp:rsid wsp:val=&quot;00900CAE&quot;/&gt;&lt;wsp:rsid wsp:val=&quot;00904AD5&quot;/&gt;&lt;wsp:rsid wsp:val=&quot;009154FF&quot;/&gt;&lt;wsp:rsid wsp:val=&quot;00917A85&quot;/&gt;&lt;wsp:rsid wsp:val=&quot;00966038&quot;/&gt;&lt;wsp:rsid wsp:val=&quot;009A65D8&quot;/&gt;&lt;wsp:rsid wsp:val=&quot;009B0305&quot;/&gt;&lt;wsp:rsid wsp:val=&quot;00A15973&quot;/&gt;&lt;wsp:rsid wsp:val=&quot;00A233E9&quot;/&gt;&lt;wsp:rsid wsp:val=&quot;00A44691&quot;/&gt;&lt;wsp:rsid wsp:val=&quot;00A46736&quot;/&gt;&lt;wsp:rsid wsp:val=&quot;00A507FC&quot;/&gt;&lt;wsp:rsid wsp:val=&quot;00A5426B&quot;/&gt;&lt;wsp:rsid wsp:val=&quot;00A845EF&quot;/&gt;&lt;wsp:rsid wsp:val=&quot;00A93389&quot;/&gt;&lt;wsp:rsid wsp:val=&quot;00A93F8C&quot;/&gt;&lt;wsp:rsid wsp:val=&quot;00AB74D6&quot;/&gt;&lt;wsp:rsid wsp:val=&quot;00AC7149&quot;/&gt;&lt;wsp:rsid wsp:val=&quot;00AE4459&quot;/&gt;&lt;wsp:rsid wsp:val=&quot;00AF25FC&quot;/&gt;&lt;wsp:rsid wsp:val=&quot;00AF2819&quot;/&gt;&lt;wsp:rsid wsp:val=&quot;00B0309C&quot;/&gt;&lt;wsp:rsid wsp:val=&quot;00B0509C&quot;/&gt;&lt;wsp:rsid wsp:val=&quot;00B10564&quot;/&gt;&lt;wsp:rsid wsp:val=&quot;00B155AC&quot;/&gt;&lt;wsp:rsid wsp:val=&quot;00B41B4D&quot;/&gt;&lt;wsp:rsid wsp:val=&quot;00B77A45&quot;/&gt;&lt;wsp:rsid wsp:val=&quot;00B8066A&quot;/&gt;&lt;wsp:rsid wsp:val=&quot;00B85286&quot;/&gt;&lt;wsp:rsid wsp:val=&quot;00B90B7F&quot;/&gt;&lt;wsp:rsid wsp:val=&quot;00BA48D2&quot;/&gt;&lt;wsp:rsid wsp:val=&quot;00BC1B1F&quot;/&gt;&lt;wsp:rsid wsp:val=&quot;00BE0C84&quot;/&gt;&lt;wsp:rsid wsp:val=&quot;00BE61A3&quot;/&gt;&lt;wsp:rsid wsp:val=&quot;00C077BC&quot;/&gt;&lt;wsp:rsid wsp:val=&quot;00C10F61&quot;/&gt;&lt;wsp:rsid wsp:val=&quot;00C22CC4&quot;/&gt;&lt;wsp:rsid wsp:val=&quot;00C35E35&quot;/&gt;&lt;wsp:rsid wsp:val=&quot;00C41E32&quot;/&gt;&lt;wsp:rsid wsp:val=&quot;00C63765&quot;/&gt;&lt;wsp:rsid wsp:val=&quot;00C92798&quot;/&gt;&lt;wsp:rsid wsp:val=&quot;00CB34F1&quot;/&gt;&lt;wsp:rsid wsp:val=&quot;00CB7B07&quot;/&gt;&lt;wsp:rsid wsp:val=&quot;00CC3983&quot;/&gt;&lt;wsp:rsid wsp:val=&quot;00CC7D67&quot;/&gt;&lt;wsp:rsid wsp:val=&quot;00CD115F&quot;/&gt;&lt;wsp:rsid wsp:val=&quot;00D00CC7&quot;/&gt;&lt;wsp:rsid wsp:val=&quot;00D100D1&quot;/&gt;&lt;wsp:rsid wsp:val=&quot;00D14FCE&quot;/&gt;&lt;wsp:rsid wsp:val=&quot;00D15308&quot;/&gt;&lt;wsp:rsid wsp:val=&quot;00D1583C&quot;/&gt;&lt;wsp:rsid wsp:val=&quot;00D15D1E&quot;/&gt;&lt;wsp:rsid wsp:val=&quot;00D677D5&quot;/&gt;&lt;wsp:rsid wsp:val=&quot;00D755F1&quot;/&gt;&lt;wsp:rsid wsp:val=&quot;00D767AC&quot;/&gt;&lt;wsp:rsid wsp:val=&quot;00D82FCC&quot;/&gt;&lt;wsp:rsid wsp:val=&quot;00D83219&quot;/&gt;&lt;wsp:rsid wsp:val=&quot;00D8506E&quot;/&gt;&lt;wsp:rsid wsp:val=&quot;00DB429F&quot;/&gt;&lt;wsp:rsid wsp:val=&quot;00DC4160&quot;/&gt;&lt;wsp:rsid wsp:val=&quot;00DC6A1B&quot;/&gt;&lt;wsp:rsid wsp:val=&quot;00DE672F&quot;/&gt;&lt;wsp:rsid wsp:val=&quot;00E15A86&quot;/&gt;&lt;wsp:rsid wsp:val=&quot;00E25DC5&quot;/&gt;&lt;wsp:rsid wsp:val=&quot;00E34188&quot;/&gt;&lt;wsp:rsid wsp:val=&quot;00E44BB0&quot;/&gt;&lt;wsp:rsid wsp:val=&quot;00E471BE&quot;/&gt;&lt;wsp:rsid wsp:val=&quot;00E57F50&quot;/&gt;&lt;wsp:rsid wsp:val=&quot;00E660E2&quot;/&gt;&lt;wsp:rsid wsp:val=&quot;00EB1580&quot;/&gt;&lt;wsp:rsid wsp:val=&quot;00EE011D&quot;/&gt;&lt;wsp:rsid wsp:val=&quot;00EF03A3&quot;/&gt;&lt;wsp:rsid wsp:val=&quot;00F27170&quot;/&gt;&lt;wsp:rsid wsp:val=&quot;00F333E2&quot;/&gt;&lt;wsp:rsid wsp:val=&quot;00F459F7&quot;/&gt;&lt;wsp:rsid wsp:val=&quot;00F92B49&quot;/&gt;&lt;wsp:rsid wsp:val=&quot;00F979B2&quot;/&gt;&lt;wsp:rsid wsp:val=&quot;00FA192C&quot;/&gt;&lt;wsp:rsid wsp:val=&quot;00FC1B08&quot;/&gt;&lt;wsp:rsid wsp:val=&quot;00FD05BD&quot;/&gt;&lt;wsp:rsid wsp:val=&quot;00FE03B4&quot;/&gt;&lt;/wsp:rsids&gt;&lt;/w:docPr&gt;&lt;w:body&gt;&lt;wx:sect&gt;&lt;w:p wsp:rsidR=&quot;00000000&quot; wsp:rsidRPr=&quot;00792D0F&quot; wsp:rsidRDefault=&quot;00792D0F&quot; wsp:rsidP=&quot;00792D0F&quot;&gt;&lt;m:oMathPara&gt;&lt;m:oMath&gt;&lt;m:sSub&gt;&lt;m:sSubPr&gt;&lt;m:ctrlPr&gt;&lt;w:rPr&gt;&lt;w:rFonts w:ascii=&quot;Cambria Math&quot; w:h-ansi=&quot;Cambria Math&quot;/&gt;&lt;wx:font wx:val=&quot;Cambria Math&quot;/&gt;&lt;w:b/&gt;&lt;w:i/&gt;&lt;w:highlight w:val=&quot;light-gray&quot;/&gt;&lt;/w:rPr&gt;&lt;/m:ctrlPr&gt;&lt;/m:sSubPr&gt;&lt;m:e&gt;&lt;m:r&gt;&lt;m:rPr&gt;&lt;m:sty m:val=&quot;bi&quot;/&gt;&lt;/m:rPr&gt;&lt;w:rPr&gt;&lt;w:rFonts w:ascii=&quot;Cambria Math&quot; w:h-ansi=&quot;Cambria Math&quot;/&gt;&lt;wx:font wx:val=&quot;Cambria Math&quot;/&gt;&lt;w:b/&gt;&lt;w:i/&gt;&lt;w:highlight w:val=&quot;light-gray&quot;/&gt;&lt;/w:rPr&gt;&lt;m:t&gt;ZLEV&lt;/m:t&gt;&lt;/m:r&gt;&lt;/m:e&gt;&lt;m:sub&gt;&lt;m:r&gt;&lt;m:rPr&gt;&lt;m:sty m:val=&quot;bi&quot;/&gt;&lt;/m:rPr&gt;&lt;w:rPr&gt;&lt;w:rFonts w:ascii=&quot;Cambria Math&quot; w:h-ansi=&quot;Cambria Math&quot;/&gt;&lt;wx:font wx:val=&quot;Cambria Math&quot;/&gt;&lt;w:b/&gt;&lt;w:i/&gt;&lt;w:highlight w:val=&quot;light-gray&quot;/&gt;&lt;/w:rPr&gt;&lt;m:t&gt;spÃ©cifique&lt;/m:t&gt;&lt;/m:r&gt;&lt;/m:sub&gt;&lt;/m:sSub&gt;&lt;m:r&gt;&lt;m:rPr&gt;&lt;m:sty m:val=&quot;bi&quot;/&gt;&lt;/m:rPr&gt;&lt;w:rPr&gt;&lt;w:rFonts w:ascii=&quot;Cambria Math&quot; w:h-ansi=&quot;Cambria Math&quot;/&gt;&lt;wx:font wx:val=&quot;Cambria Math&quot;/&gt;&lt;w:b/&gt;&lt;w:i/&gt;&lt;w:highlight w:val=&quot;light-gray&quot;/&gt;&lt;/w:rPr&gt;&lt;m:t&gt;=1-&lt;/m:t&gt;&lt;/m:r&gt;&lt;m:d&gt;&lt;m:dPr&gt;&lt;m:ctrlPr&gt;&lt;w:rPr&gt;&lt;w:rFonts w:ascii=&quot;Cambria Math&quot; w:h-ansi=&quot;Cambria Math&quot;/&gt;&lt;wx:font wx:val=&quot;Cambria Math&quot;/&gt;&lt;w:b/&gt;&lt;w:i/&gt;&lt;w:highlight w:val=&quot;light-gray&quot;/&gt;&lt;/w:rPr&gt;&lt;/m:ctrlPr&gt;&lt;/m:dPr&gt;&lt;m:e&gt;&lt;m:f&gt;&lt;m:fPr&gt;&lt;m:ctrlPr&gt;&lt;w:rPr&gt;&lt;w:rFonts w:ascii=&quot;Cambria Math&quot; w:h-ansi=&quot;Cambria Math&quot;/&gt;&lt;wx:font wx:val=&quot;Cambria Math&quot;/&gt;&lt;w:b/&gt;&lt;w:i/&gt;&lt;w:highlight w:val=&quot;light-gray&quot;/&gt;&lt;/w:rPr&gt;&lt;/m:ctrlPr&gt;&lt;/m:fPr&gt;&lt;m:num&gt;&lt;m:r&gt;&lt;m:rPr&gt;&lt;m:sty m:val=&quot;bi&quot;/&gt;&lt;/m:rPr&gt;&lt;w:rPr&gt;&lt;w:rFonts w:ascii=&quot;Cambria Math&quot; w:h-ansi=&quot;Cambria Math&quot;/&gt;&lt;wx:font wx:val=&quot;Cambria Math&quot;/&gt;&lt;w:b/&gt;&lt;w:i/&gt;&lt;w:highlight w:val=&quot;light-gray&quot;/&gt;&lt;/w:rPr&gt;&lt;m:t&gt;Ã©missions spÃ©cifiques x 0,5 &lt;/m:t&gt;&lt;/m:r&gt;&lt;/m:num&gt;&lt;m:den&gt;&lt;m:r&gt;&lt;m:rPr&gt;&lt;m:sty m:val=&quot;bi&quot;/&gt;&lt;/m:rPr&gt;&lt;w:rPr&gt;&lt;w:rFonts w:ascii=&quot;Cambria Math&quot; w:h-ansi=&quot;Cambria Math&quot;/&gt;&lt;wx:font wx:val=&quot;Cambria Math&quot;/&gt;&lt;w:b/&gt;&lt;w:i/&gt;&lt;w:highlight w:val=&quot;light-gray&quot;/&gt;&lt;/w:rPr&gt;&lt;m:t&gt;70&lt;/m:t&gt;&lt;/m:r&gt;&lt;/m:den&gt;&lt;/m:f&gt;&lt;/m:e&gt;&lt;/m:d&gt;&lt;/m:oMath&gt;&lt;/m:oMathPara&gt;&lt;/w:p&gt;&lt;w:sectPr wsp:rsidR=&quot;00000000&quot; wsp:rsidRPr=&quot;00792D0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649</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Jytte Guteland</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30 %</w:t>
            </w:r>
            <w:r w:rsidRPr="00CC7D67">
              <w:t>.</w:t>
            </w:r>
          </w:p>
        </w:tc>
        <w:tc>
          <w:tcPr>
            <w:tcW w:w="4876" w:type="dxa"/>
            <w:hideMark/>
          </w:tcPr>
          <w:p w:rsidR="00B0509C" w:rsidRPr="00CC7D67" w:rsidRDefault="00B0509C" w:rsidP="00B0509C">
            <w:pPr>
              <w:pStyle w:val="Normal6"/>
              <w:rPr>
                <w:szCs w:val="24"/>
              </w:rPr>
            </w:pPr>
            <w:r w:rsidRPr="00CC7D67">
              <w:t>x est égal à </w:t>
            </w:r>
            <w:r w:rsidRPr="00CC7D67">
              <w:rPr>
                <w:b/>
                <w:i/>
              </w:rPr>
              <w:t>55 %</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650</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Jens Gieseke</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30 %</w:t>
            </w:r>
            <w:r w:rsidRPr="00CC7D67">
              <w:t>.</w:t>
            </w:r>
          </w:p>
        </w:tc>
        <w:tc>
          <w:tcPr>
            <w:tcW w:w="4876" w:type="dxa"/>
            <w:hideMark/>
          </w:tcPr>
          <w:p w:rsidR="00B0509C" w:rsidRPr="00CC7D67" w:rsidRDefault="00B0509C" w:rsidP="00B0509C">
            <w:pPr>
              <w:pStyle w:val="Normal6"/>
              <w:rPr>
                <w:szCs w:val="24"/>
              </w:rPr>
            </w:pPr>
            <w:r w:rsidRPr="00CC7D67">
              <w:t>x est égal à </w:t>
            </w:r>
            <w:r w:rsidRPr="00CC7D67">
              <w:rPr>
                <w:b/>
                <w:i/>
              </w:rPr>
              <w:t>25 %</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En raison de la longue durée des cycles de production dans l’industrie automobile, nous devons définir des objectifs à la fois ambitieux et réalisables.</w:t>
      </w:r>
    </w:p>
    <w:p w:rsidR="00B0509C" w:rsidRPr="00CC7D67" w:rsidRDefault="00B0509C" w:rsidP="00B0509C">
      <w:pPr>
        <w:rPr>
          <w:rStyle w:val="HideTWBExt"/>
          <w:noProof w:val="0"/>
        </w:rPr>
      </w:pPr>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651</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Elisabetta Gardini, Lorenzo Cesa, Giovanni La Via, Stefano Maullu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30 %</w:t>
            </w:r>
            <w:r w:rsidRPr="00CC7D67">
              <w:t>.</w:t>
            </w:r>
          </w:p>
        </w:tc>
        <w:tc>
          <w:tcPr>
            <w:tcW w:w="4876" w:type="dxa"/>
            <w:hideMark/>
          </w:tcPr>
          <w:p w:rsidR="00B0509C" w:rsidRPr="00CC7D67" w:rsidRDefault="00B0509C" w:rsidP="00B0509C">
            <w:pPr>
              <w:pStyle w:val="Normal6"/>
              <w:rPr>
                <w:szCs w:val="24"/>
              </w:rPr>
            </w:pPr>
            <w:r w:rsidRPr="00CC7D67">
              <w:t>x est égal à </w:t>
            </w:r>
            <w:r w:rsidRPr="00CC7D67">
              <w:rPr>
                <w:b/>
                <w:i/>
              </w:rPr>
              <w:t>15 %</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652</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John Procter</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 – point 6.3 – point 6.3.2 – alinéa 4 – sous-alinéa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30 %</w:t>
            </w:r>
            <w:r w:rsidRPr="00CC7D67">
              <w:t>.</w:t>
            </w:r>
          </w:p>
        </w:tc>
        <w:tc>
          <w:tcPr>
            <w:tcW w:w="4876" w:type="dxa"/>
            <w:hideMark/>
          </w:tcPr>
          <w:p w:rsidR="00B0509C" w:rsidRPr="00CC7D67" w:rsidRDefault="00B0509C" w:rsidP="00B0509C">
            <w:pPr>
              <w:pStyle w:val="Normal6"/>
              <w:rPr>
                <w:szCs w:val="24"/>
              </w:rPr>
            </w:pPr>
            <w:r w:rsidRPr="00CC7D67">
              <w:t>x est égal à </w:t>
            </w:r>
            <w:r w:rsidRPr="00CC7D67">
              <w:rPr>
                <w:b/>
                <w:i/>
              </w:rPr>
              <w:t>10 %</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r w:rsidRPr="00CC7D67">
        <w:rPr>
          <w:rStyle w:val="HideTWBExt"/>
          <w:noProof w:val="0"/>
        </w:rPr>
        <w:t>&lt;/Amend&gt;</w:t>
      </w:r>
    </w:p>
    <w:p w:rsidR="00B0509C" w:rsidRPr="00CC7D67" w:rsidRDefault="00B0509C" w:rsidP="00B0509C">
      <w:pPr>
        <w:pStyle w:val="AMNumberTabs"/>
        <w:keepNext/>
      </w:pP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653</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Joëlle Mélin, Sylvie Goddyn</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I – partie B – point 6.3.2 – alinéa 4 – ligne 3</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hideMark/>
          </w:tcPr>
          <w:p w:rsidR="00B0509C" w:rsidRPr="00CC7D67" w:rsidRDefault="00B0509C" w:rsidP="00B0509C">
            <w:pPr>
              <w:pStyle w:val="Normal6"/>
              <w:rPr>
                <w:color w:val="0000FA"/>
              </w:rPr>
            </w:pPr>
            <w:r w:rsidRPr="00CC7D67">
              <w:t>x est égal à </w:t>
            </w:r>
            <w:r w:rsidRPr="00CC7D67">
              <w:rPr>
                <w:b/>
                <w:i/>
              </w:rPr>
              <w:t>30%</w:t>
            </w:r>
            <w:r w:rsidRPr="00CC7D67">
              <w:t>.</w:t>
            </w:r>
          </w:p>
        </w:tc>
        <w:tc>
          <w:tcPr>
            <w:tcW w:w="4876" w:type="dxa"/>
            <w:hideMark/>
          </w:tcPr>
          <w:p w:rsidR="00B0509C" w:rsidRPr="00CC7D67" w:rsidRDefault="00B0509C" w:rsidP="00B0509C">
            <w:pPr>
              <w:pStyle w:val="Normal6"/>
              <w:rPr>
                <w:szCs w:val="24"/>
              </w:rPr>
            </w:pPr>
            <w:r w:rsidRPr="00CC7D67">
              <w:t>x est égal à </w:t>
            </w:r>
            <w:r w:rsidRPr="00CC7D67">
              <w:rPr>
                <w:b/>
                <w:i/>
              </w:rPr>
              <w:t>10%</w:t>
            </w:r>
            <w:r w:rsidRPr="00CC7D67">
              <w:t>.</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{IT}</w:t>
      </w:r>
      <w:r w:rsidRPr="00CC7D67">
        <w:rPr>
          <w:noProof w:val="0"/>
        </w:rPr>
        <w:t>it</w:t>
      </w:r>
      <w:r w:rsidRPr="00CC7D67">
        <w:rPr>
          <w:rStyle w:val="HideTWBExt"/>
          <w:noProof w:val="0"/>
        </w:rPr>
        <w:t>&lt;/Original&gt;</w:t>
      </w:r>
    </w:p>
    <w:p w:rsidR="00B0509C" w:rsidRPr="00CC7D67" w:rsidRDefault="00B0509C" w:rsidP="00B0509C">
      <w:pPr>
        <w:pStyle w:val="AMNumberTabs"/>
        <w:keepNext/>
      </w:pPr>
      <w:r w:rsidRPr="00CC7D67">
        <w:rPr>
          <w:rStyle w:val="HideTWBExt"/>
          <w:noProof w:val="0"/>
        </w:rPr>
        <w:t>&lt;/Amend&gt;</w:t>
      </w:r>
      <w:r w:rsidRPr="00CC7D67">
        <w:rPr>
          <w:rStyle w:val="HideTWBExt"/>
          <w:b w:val="0"/>
          <w:noProof w:val="0"/>
        </w:rPr>
        <w:t>&lt;Amend&gt;</w:t>
      </w:r>
      <w:r w:rsidRPr="00CC7D67">
        <w:t>Amendement</w:t>
      </w:r>
      <w:r w:rsidRPr="00CC7D67">
        <w:tab/>
      </w:r>
      <w:r w:rsidRPr="00CC7D67">
        <w:tab/>
      </w:r>
      <w:r w:rsidRPr="00CC7D67">
        <w:rPr>
          <w:rStyle w:val="HideTWBExt"/>
          <w:b w:val="0"/>
          <w:noProof w:val="0"/>
        </w:rPr>
        <w:t>&lt;NumAm&gt;</w:t>
      </w:r>
      <w:r w:rsidRPr="00CC7D67">
        <w:t>654</w:t>
      </w:r>
      <w:r w:rsidRPr="00CC7D67">
        <w:rPr>
          <w:rStyle w:val="HideTWBExt"/>
          <w:b w:val="0"/>
          <w:noProof w:val="0"/>
        </w:rPr>
        <w:t>&lt;/NumAm&gt;</w:t>
      </w:r>
    </w:p>
    <w:p w:rsidR="00B0509C" w:rsidRPr="00CC7D67" w:rsidRDefault="00B0509C" w:rsidP="00B0509C">
      <w:pPr>
        <w:pStyle w:val="NormalBold"/>
      </w:pPr>
      <w:r w:rsidRPr="00CC7D67">
        <w:rPr>
          <w:rStyle w:val="HideTWBExt"/>
          <w:b w:val="0"/>
          <w:noProof w:val="0"/>
        </w:rPr>
        <w:t>&lt;RepeatBlock-By&gt;&lt;Members&gt;</w:t>
      </w:r>
      <w:r w:rsidRPr="00CC7D67">
        <w:t>Pavel Poc, Daciana Octavia Sârbu</w:t>
      </w:r>
      <w:r w:rsidRPr="00CC7D67">
        <w:rPr>
          <w:rStyle w:val="HideTWBExt"/>
          <w:b w:val="0"/>
          <w:noProof w:val="0"/>
        </w:rPr>
        <w:t>&lt;/Members&gt;</w:t>
      </w:r>
    </w:p>
    <w:p w:rsidR="00B0509C" w:rsidRPr="00CC7D67" w:rsidRDefault="00B0509C" w:rsidP="00B0509C">
      <w:r w:rsidRPr="00CC7D67">
        <w:rPr>
          <w:rStyle w:val="HideTWBExt"/>
          <w:noProof w:val="0"/>
        </w:rPr>
        <w:t>&lt;/RepeatBlock-By&gt;</w:t>
      </w:r>
    </w:p>
    <w:p w:rsidR="00B0509C" w:rsidRPr="00CC7D67" w:rsidRDefault="00B0509C" w:rsidP="00B0509C">
      <w:pPr>
        <w:pStyle w:val="NormalBold"/>
        <w:keepNext/>
      </w:pPr>
      <w:r w:rsidRPr="00CC7D67">
        <w:rPr>
          <w:rStyle w:val="HideTWBExt"/>
          <w:b w:val="0"/>
          <w:noProof w:val="0"/>
        </w:rPr>
        <w:t>&lt;DocAmend&gt;</w:t>
      </w:r>
      <w:r w:rsidRPr="00CC7D67">
        <w:t>Proposition de règlement</w:t>
      </w:r>
      <w:r w:rsidRPr="00CC7D67">
        <w:rPr>
          <w:rStyle w:val="HideTWBExt"/>
          <w:b w:val="0"/>
          <w:noProof w:val="0"/>
        </w:rPr>
        <w:t>&lt;/DocAmend&gt;</w:t>
      </w:r>
    </w:p>
    <w:p w:rsidR="00B0509C" w:rsidRPr="00CC7D67" w:rsidRDefault="00B0509C" w:rsidP="00B0509C">
      <w:pPr>
        <w:pStyle w:val="NormalBold"/>
      </w:pPr>
      <w:r w:rsidRPr="00CC7D67">
        <w:rPr>
          <w:rStyle w:val="HideTWBExt"/>
          <w:b w:val="0"/>
          <w:noProof w:val="0"/>
        </w:rPr>
        <w:t>&lt;Article&gt;</w:t>
      </w:r>
      <w:r w:rsidRPr="00CC7D67">
        <w:t>Annexe V bis (nouveau)</w:t>
      </w:r>
      <w:r w:rsidRPr="00CC7D67">
        <w:rPr>
          <w:rStyle w:val="HideTWBExt"/>
          <w:b w:val="0"/>
          <w:noProof w:val="0"/>
        </w:rPr>
        <w:t>&lt;/Article&gt;</w:t>
      </w:r>
    </w:p>
    <w:tbl>
      <w:tblPr>
        <w:tblW w:w="0" w:type="auto"/>
        <w:jc w:val="center"/>
        <w:tblLayout w:type="fixed"/>
        <w:tblCellMar>
          <w:left w:w="340" w:type="dxa"/>
          <w:right w:w="340" w:type="dxa"/>
        </w:tblCellMar>
        <w:tblLook w:val="04A0" w:firstRow="1" w:lastRow="0" w:firstColumn="1" w:lastColumn="0" w:noHBand="0" w:noVBand="1"/>
      </w:tblPr>
      <w:tblGrid>
        <w:gridCol w:w="4876"/>
        <w:gridCol w:w="4876"/>
      </w:tblGrid>
      <w:tr w:rsidR="00B0509C" w:rsidRPr="00CC7D67" w:rsidTr="00B0509C">
        <w:trPr>
          <w:jc w:val="center"/>
        </w:trPr>
        <w:tc>
          <w:tcPr>
            <w:tcW w:w="9752" w:type="dxa"/>
            <w:gridSpan w:val="2"/>
          </w:tcPr>
          <w:p w:rsidR="00B0509C" w:rsidRPr="00CC7D67" w:rsidRDefault="00B0509C" w:rsidP="00B0509C">
            <w:pPr>
              <w:keepNext/>
            </w:pPr>
          </w:p>
        </w:tc>
      </w:tr>
      <w:tr w:rsidR="00B0509C" w:rsidRPr="00CC7D67" w:rsidTr="00B0509C">
        <w:trPr>
          <w:jc w:val="center"/>
        </w:trPr>
        <w:tc>
          <w:tcPr>
            <w:tcW w:w="4876" w:type="dxa"/>
            <w:hideMark/>
          </w:tcPr>
          <w:p w:rsidR="00B0509C" w:rsidRPr="00CC7D67" w:rsidRDefault="00B0509C" w:rsidP="00B0509C">
            <w:pPr>
              <w:pStyle w:val="ColumnHeading"/>
              <w:keepNext/>
              <w:rPr>
                <w:color w:val="0000FA"/>
              </w:rPr>
            </w:pPr>
            <w:r w:rsidRPr="00CC7D67">
              <w:t>Texte proposé par la Commission</w:t>
            </w:r>
          </w:p>
        </w:tc>
        <w:tc>
          <w:tcPr>
            <w:tcW w:w="4876" w:type="dxa"/>
            <w:hideMark/>
          </w:tcPr>
          <w:p w:rsidR="00B0509C" w:rsidRPr="00CC7D67" w:rsidRDefault="00B0509C" w:rsidP="00B0509C">
            <w:pPr>
              <w:pStyle w:val="ColumnHeading"/>
              <w:keepNext/>
              <w:rPr>
                <w:color w:val="0000F5"/>
              </w:rPr>
            </w:pPr>
            <w:r w:rsidRPr="00CC7D67">
              <w:t>Amendement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jc w:val="center"/>
              <w:rPr>
                <w:color w:val="000005"/>
                <w:szCs w:val="24"/>
              </w:rPr>
            </w:pPr>
            <w:r w:rsidRPr="00CC7D67">
              <w:rPr>
                <w:b/>
                <w:i/>
              </w:rPr>
              <w:t>Annexe V bis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1. L’annexe I détermine les objectifs d’émissions spécifiques pour les véhicules particuliers, y compris le niveau d’ambition de x % à partir de 2030. Ce niveau d’ambition requiert un ajustement en fonction de la commercialisation des véhicules rechargeables électriquement et des infrastructures alternatives.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2. Conformément à l’article 14, paragraphe 1, la Commission doit préparer un rapport en 2024 afin d’évaluer l’efficacité du présent règlement. Elle doit également modifier le niveau d’ambition si l’infrastructure appropriée pour les carburants concernés n’est pas en place.</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3. Faisant suite à la proposition originale de la directive sur le déploiement d’une infrastructure pour carburants alternatifs et de son analyse d’impact (SWD(2013) 5 final) ainsi qu’aux estimations du plan d’action relatif à l’infrastructure pour carburants alternatifs (COM(2017) 652 final), il convient de garantir une couverture suffisante des points de recharge à l’échelle de l’Union, qui devrait comprendre, pour l’année 2024, au moment de l’évaluation:</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a) 1 800 000 points de recharge électrique;</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b) 1 800 points de chargement H2; et</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c) 9 000 points de recharge en gaz naturel comprimé (GNC);</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en supposant que 1 320 000 véhicules électrifiés ont été immatriculés au sein de l’UE-28 (chiffre recalculé en équivalent de véhicules électriques à accumulateurs [BEV], où 1 BEV équivaut à 1 véhicule H2 et 2 véhicules hybrides rechargeables).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4. Le niveau d’ambition défini à l’annexe I à x % devrait ensuite être ajusté par l’un des moyens suivants: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a) une baisse/hausse de 0,5 point de pourcentage si le nombre de véhicules immatriculés (recalculé en BEV) est inférieur/supérieur pour chaque unité de 146 000 véhicules immatriculés;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b) une baisse/hausse de 0,25 point de pourcentage si le nombre de points de recharge électrique est inférieur/supérieur pour chaque unité de 200 000 stations;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color w:val="000005"/>
                <w:szCs w:val="24"/>
              </w:rPr>
            </w:pPr>
            <w:r w:rsidRPr="00CC7D67">
              <w:rPr>
                <w:b/>
                <w:i/>
              </w:rPr>
              <w:t>c) une baisse/hausse de 0,125 point de pourcentage si le nombre de points de recharge en GNC est inférieur/supérieur pour chaque unité de 800 stations;</w:t>
            </w:r>
          </w:p>
        </w:tc>
      </w:tr>
      <w:tr w:rsidR="00B0509C" w:rsidRPr="00CC7D67" w:rsidTr="00B0509C">
        <w:trPr>
          <w:jc w:val="center"/>
        </w:trPr>
        <w:tc>
          <w:tcPr>
            <w:tcW w:w="4876" w:type="dxa"/>
          </w:tcPr>
          <w:p w:rsidR="00B0509C" w:rsidRPr="00CC7D67" w:rsidRDefault="00B0509C" w:rsidP="00B0509C">
            <w:pPr>
              <w:pStyle w:val="Normal6"/>
              <w:rPr>
                <w:color w:val="0000FA"/>
              </w:rPr>
            </w:pPr>
          </w:p>
        </w:tc>
        <w:tc>
          <w:tcPr>
            <w:tcW w:w="4876" w:type="dxa"/>
            <w:hideMark/>
          </w:tcPr>
          <w:p w:rsidR="00B0509C" w:rsidRPr="00CC7D67" w:rsidRDefault="00B0509C" w:rsidP="00B0509C">
            <w:pPr>
              <w:pStyle w:val="Normal6"/>
              <w:rPr>
                <w:szCs w:val="24"/>
              </w:rPr>
            </w:pPr>
            <w:r w:rsidRPr="00CC7D67">
              <w:rPr>
                <w:b/>
                <w:i/>
              </w:rPr>
              <w:t>d) une baisse/hausse de 0,125 point de pourcentage si le nombre de points de recharge H2 est inférieur/supérieur pour chaque unité de 200 stations H2.</w:t>
            </w:r>
          </w:p>
        </w:tc>
      </w:tr>
    </w:tbl>
    <w:p w:rsidR="00B0509C" w:rsidRPr="00CC7D67" w:rsidRDefault="00B0509C" w:rsidP="00B0509C">
      <w:pPr>
        <w:pStyle w:val="Olang"/>
        <w:rPr>
          <w:noProof w:val="0"/>
          <w:szCs w:val="24"/>
        </w:rPr>
      </w:pPr>
      <w:r w:rsidRPr="00CC7D67">
        <w:rPr>
          <w:noProof w:val="0"/>
        </w:rPr>
        <w:t xml:space="preserve">Or. </w:t>
      </w:r>
      <w:r w:rsidRPr="00CC7D67">
        <w:rPr>
          <w:rStyle w:val="HideTWBExt"/>
          <w:noProof w:val="0"/>
        </w:rPr>
        <w:t>&lt;Original&gt;</w:t>
      </w:r>
      <w:r w:rsidRPr="00CC7D67">
        <w:rPr>
          <w:rStyle w:val="HideTWBInt"/>
          <w:noProof w:val="0"/>
        </w:rPr>
        <w:t>{EN}</w:t>
      </w:r>
      <w:r w:rsidRPr="00CC7D67">
        <w:rPr>
          <w:noProof w:val="0"/>
        </w:rPr>
        <w:t>en</w:t>
      </w:r>
      <w:r w:rsidRPr="00CC7D67">
        <w:rPr>
          <w:rStyle w:val="HideTWBExt"/>
          <w:noProof w:val="0"/>
        </w:rPr>
        <w:t>&lt;/Original&gt;</w:t>
      </w:r>
    </w:p>
    <w:p w:rsidR="00B0509C" w:rsidRPr="00CC7D67" w:rsidRDefault="00B0509C" w:rsidP="00B0509C">
      <w:pPr>
        <w:pStyle w:val="JustificationTitle"/>
        <w:rPr>
          <w:noProof w:val="0"/>
        </w:rPr>
      </w:pPr>
      <w:r w:rsidRPr="00CC7D67">
        <w:rPr>
          <w:rStyle w:val="HideTWBExt"/>
          <w:i w:val="0"/>
          <w:noProof w:val="0"/>
        </w:rPr>
        <w:t>&lt;TitreJust&gt;</w:t>
      </w:r>
      <w:r w:rsidRPr="00CC7D67">
        <w:rPr>
          <w:noProof w:val="0"/>
        </w:rPr>
        <w:t>Justification</w:t>
      </w:r>
      <w:r w:rsidRPr="00CC7D67">
        <w:rPr>
          <w:rStyle w:val="HideTWBExt"/>
          <w:i w:val="0"/>
          <w:noProof w:val="0"/>
        </w:rPr>
        <w:t>&lt;/TitreJust&gt;</w:t>
      </w:r>
    </w:p>
    <w:p w:rsidR="00B0509C" w:rsidRPr="00CC7D67" w:rsidRDefault="00B0509C" w:rsidP="00B0509C">
      <w:pPr>
        <w:pStyle w:val="Normal12Italic"/>
        <w:rPr>
          <w:noProof w:val="0"/>
        </w:rPr>
      </w:pPr>
      <w:r w:rsidRPr="00CC7D67">
        <w:rPr>
          <w:noProof w:val="0"/>
        </w:rPr>
        <w:t>Le principe de conditionnalité doit garantir que les objectifs établis sont atteints dans des conditions réalistes et qu’ils reflètent la réalité du marché ainsi que le déploiement de l’infrastructure de la part des autorités publiques. La modification de l’objectif proposé pour 2030 dépend de la commercialisation des véhicules rechargeables électriquement (conformément à la définition des véhicules à faibles émissions).</w:t>
      </w:r>
    </w:p>
    <w:p w:rsidR="008363E4" w:rsidRPr="00CC7D67" w:rsidRDefault="00B0509C" w:rsidP="00B0509C">
      <w:r w:rsidRPr="00CC7D67">
        <w:rPr>
          <w:rStyle w:val="HideTWBExt"/>
          <w:noProof w:val="0"/>
        </w:rPr>
        <w:t>&lt;/Amend&gt;&lt;/RepeatBlock-Amend&gt;</w:t>
      </w:r>
    </w:p>
    <w:sectPr w:rsidR="008363E4" w:rsidRPr="00CC7D67" w:rsidSect="00A44691">
      <w:headerReference w:type="even" r:id="rId13"/>
      <w:headerReference w:type="default" r:id="rId14"/>
      <w:footerReference w:type="even" r:id="rId15"/>
      <w:footerReference w:type="default" r:id="rId16"/>
      <w:headerReference w:type="first" r:id="rId17"/>
      <w:footerReference w:type="first" r:id="rId18"/>
      <w:footnotePr>
        <w:numRestart w:val="eachPage"/>
      </w:footnotePr>
      <w:endnotePr>
        <w:numFmt w:val="decimal"/>
      </w:endnotePr>
      <w:pgSz w:w="11906" w:h="16838" w:code="9"/>
      <w:pgMar w:top="1134" w:right="1418" w:bottom="1418" w:left="1418" w:header="567" w:footer="567"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188" w:rsidRPr="00CC7D67" w:rsidRDefault="00E34188">
      <w:r w:rsidRPr="00CC7D67">
        <w:separator/>
      </w:r>
    </w:p>
  </w:endnote>
  <w:endnote w:type="continuationSeparator" w:id="0">
    <w:p w:rsidR="00E34188" w:rsidRPr="00CC7D67" w:rsidRDefault="00E34188">
      <w:r w:rsidRPr="00CC7D6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188" w:rsidRPr="00B0309C" w:rsidRDefault="00E34188" w:rsidP="00A44691">
    <w:pPr>
      <w:pStyle w:val="Footer"/>
      <w:rPr>
        <w:lang w:val="de-DE"/>
      </w:rPr>
    </w:pPr>
    <w:r w:rsidRPr="00B0309C">
      <w:rPr>
        <w:lang w:val="de-DE"/>
      </w:rPr>
      <w:t>PE</w:t>
    </w:r>
    <w:r w:rsidRPr="00B0309C">
      <w:rPr>
        <w:rStyle w:val="HideTWBExt"/>
        <w:noProof w:val="0"/>
        <w:lang w:val="de-DE"/>
      </w:rPr>
      <w:t>&lt;NoPE&gt;</w:t>
    </w:r>
    <w:r w:rsidRPr="00B0309C">
      <w:rPr>
        <w:lang w:val="de-DE"/>
      </w:rPr>
      <w:t>622.230</w:t>
    </w:r>
    <w:r w:rsidRPr="00B0309C">
      <w:rPr>
        <w:rStyle w:val="HideTWBExt"/>
        <w:noProof w:val="0"/>
        <w:lang w:val="de-DE"/>
      </w:rPr>
      <w:t>&lt;/NoPE&gt;&lt;Version&gt;</w:t>
    </w:r>
    <w:r w:rsidRPr="00B0309C">
      <w:rPr>
        <w:lang w:val="de-DE"/>
      </w:rPr>
      <w:t>v01-00</w:t>
    </w:r>
    <w:r w:rsidRPr="00B0309C">
      <w:rPr>
        <w:rStyle w:val="HideTWBExt"/>
        <w:noProof w:val="0"/>
        <w:lang w:val="de-DE"/>
      </w:rPr>
      <w:t>&lt;/Version&gt;</w:t>
    </w:r>
    <w:r w:rsidRPr="00B0309C">
      <w:rPr>
        <w:lang w:val="de-DE"/>
      </w:rPr>
      <w:tab/>
    </w:r>
    <w:r w:rsidRPr="00CC7D67">
      <w:fldChar w:fldCharType="begin"/>
    </w:r>
    <w:r w:rsidRPr="00B0309C">
      <w:rPr>
        <w:lang w:val="de-DE"/>
      </w:rPr>
      <w:instrText xml:space="preserve"> PAGE  \* MERGEFORMAT </w:instrText>
    </w:r>
    <w:r w:rsidRPr="00CC7D67">
      <w:fldChar w:fldCharType="separate"/>
    </w:r>
    <w:r w:rsidR="00E454A5">
      <w:rPr>
        <w:noProof/>
        <w:lang w:val="de-DE"/>
      </w:rPr>
      <w:t>56</w:t>
    </w:r>
    <w:r w:rsidRPr="00CC7D67">
      <w:fldChar w:fldCharType="end"/>
    </w:r>
    <w:r w:rsidRPr="00B0309C">
      <w:rPr>
        <w:lang w:val="de-DE"/>
      </w:rPr>
      <w:t>/</w:t>
    </w:r>
    <w:r>
      <w:fldChar w:fldCharType="begin"/>
    </w:r>
    <w:r w:rsidRPr="00B0309C">
      <w:rPr>
        <w:lang w:val="de-DE"/>
      </w:rPr>
      <w:instrText xml:space="preserve"> NUMPAGES  \* MERGEFORMAT </w:instrText>
    </w:r>
    <w:r>
      <w:fldChar w:fldCharType="separate"/>
    </w:r>
    <w:r w:rsidR="00E454A5">
      <w:rPr>
        <w:noProof/>
        <w:lang w:val="de-DE"/>
      </w:rPr>
      <w:t>182</w:t>
    </w:r>
    <w:r>
      <w:rPr>
        <w:noProof/>
      </w:rPr>
      <w:fldChar w:fldCharType="end"/>
    </w:r>
    <w:r w:rsidRPr="00B0309C">
      <w:rPr>
        <w:lang w:val="de-DE"/>
      </w:rPr>
      <w:tab/>
    </w:r>
    <w:r w:rsidRPr="00B0309C">
      <w:rPr>
        <w:rStyle w:val="HideTWBExt"/>
        <w:noProof w:val="0"/>
        <w:lang w:val="de-DE"/>
      </w:rPr>
      <w:t>&lt;PathFdR&gt;</w:t>
    </w:r>
    <w:r w:rsidRPr="00B0309C">
      <w:rPr>
        <w:lang w:val="de-DE"/>
      </w:rPr>
      <w:t>AM\1154052FR.docx</w:t>
    </w:r>
    <w:r w:rsidRPr="00B0309C">
      <w:rPr>
        <w:rStyle w:val="HideTWBExt"/>
        <w:noProof w:val="0"/>
        <w:lang w:val="de-DE"/>
      </w:rPr>
      <w:t>&lt;/PathFdR&gt;</w:t>
    </w:r>
  </w:p>
  <w:p w:rsidR="00E34188" w:rsidRPr="00CC7D67" w:rsidRDefault="00E34188" w:rsidP="00A44691">
    <w:pPr>
      <w:pStyle w:val="Footer2"/>
    </w:pPr>
    <w:r w:rsidRPr="00CC7D67">
      <w:t>FR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188" w:rsidRPr="00B0309C" w:rsidRDefault="00E34188" w:rsidP="00A44691">
    <w:pPr>
      <w:pStyle w:val="Footer"/>
      <w:rPr>
        <w:lang w:val="de-DE"/>
      </w:rPr>
    </w:pPr>
    <w:r w:rsidRPr="00B0309C">
      <w:rPr>
        <w:rStyle w:val="HideTWBExt"/>
        <w:noProof w:val="0"/>
        <w:lang w:val="de-DE"/>
      </w:rPr>
      <w:t>&lt;PathFdR&gt;</w:t>
    </w:r>
    <w:r w:rsidRPr="00B0309C">
      <w:rPr>
        <w:lang w:val="de-DE"/>
      </w:rPr>
      <w:t>AM\1154052FR.docx</w:t>
    </w:r>
    <w:r w:rsidRPr="00B0309C">
      <w:rPr>
        <w:rStyle w:val="HideTWBExt"/>
        <w:noProof w:val="0"/>
        <w:lang w:val="de-DE"/>
      </w:rPr>
      <w:t>&lt;/PathFdR&gt;</w:t>
    </w:r>
    <w:r w:rsidRPr="00B0309C">
      <w:rPr>
        <w:lang w:val="de-DE"/>
      </w:rPr>
      <w:tab/>
    </w:r>
    <w:r w:rsidRPr="00CC7D67">
      <w:fldChar w:fldCharType="begin"/>
    </w:r>
    <w:r w:rsidRPr="00B0309C">
      <w:rPr>
        <w:lang w:val="de-DE"/>
      </w:rPr>
      <w:instrText xml:space="preserve"> PAGE  \* MERGEFORMAT </w:instrText>
    </w:r>
    <w:r w:rsidRPr="00CC7D67">
      <w:fldChar w:fldCharType="separate"/>
    </w:r>
    <w:r w:rsidR="00E454A5">
      <w:rPr>
        <w:noProof/>
        <w:lang w:val="de-DE"/>
      </w:rPr>
      <w:t>57</w:t>
    </w:r>
    <w:r w:rsidRPr="00CC7D67">
      <w:fldChar w:fldCharType="end"/>
    </w:r>
    <w:r w:rsidRPr="00B0309C">
      <w:rPr>
        <w:lang w:val="de-DE"/>
      </w:rPr>
      <w:t>/</w:t>
    </w:r>
    <w:r>
      <w:fldChar w:fldCharType="begin"/>
    </w:r>
    <w:r w:rsidRPr="00B0309C">
      <w:rPr>
        <w:lang w:val="de-DE"/>
      </w:rPr>
      <w:instrText xml:space="preserve"> NUMPAGES  \* MERGEFORMAT </w:instrText>
    </w:r>
    <w:r>
      <w:fldChar w:fldCharType="separate"/>
    </w:r>
    <w:r w:rsidR="00E454A5">
      <w:rPr>
        <w:noProof/>
        <w:lang w:val="de-DE"/>
      </w:rPr>
      <w:t>182</w:t>
    </w:r>
    <w:r>
      <w:rPr>
        <w:noProof/>
      </w:rPr>
      <w:fldChar w:fldCharType="end"/>
    </w:r>
    <w:r w:rsidRPr="00B0309C">
      <w:rPr>
        <w:lang w:val="de-DE"/>
      </w:rPr>
      <w:tab/>
      <w:t>PE</w:t>
    </w:r>
    <w:r w:rsidRPr="00B0309C">
      <w:rPr>
        <w:rStyle w:val="HideTWBExt"/>
        <w:noProof w:val="0"/>
        <w:lang w:val="de-DE"/>
      </w:rPr>
      <w:t>&lt;NoPE&gt;</w:t>
    </w:r>
    <w:r w:rsidRPr="00B0309C">
      <w:rPr>
        <w:lang w:val="de-DE"/>
      </w:rPr>
      <w:t>622.230</w:t>
    </w:r>
    <w:r w:rsidRPr="00B0309C">
      <w:rPr>
        <w:rStyle w:val="HideTWBExt"/>
        <w:noProof w:val="0"/>
        <w:lang w:val="de-DE"/>
      </w:rPr>
      <w:t>&lt;/NoPE&gt;&lt;Version&gt;</w:t>
    </w:r>
    <w:r w:rsidRPr="00B0309C">
      <w:rPr>
        <w:lang w:val="de-DE"/>
      </w:rPr>
      <w:t>v01-00</w:t>
    </w:r>
    <w:r w:rsidRPr="00B0309C">
      <w:rPr>
        <w:rStyle w:val="HideTWBExt"/>
        <w:noProof w:val="0"/>
        <w:lang w:val="de-DE"/>
      </w:rPr>
      <w:t>&lt;/Version&gt;</w:t>
    </w:r>
  </w:p>
  <w:p w:rsidR="00E34188" w:rsidRPr="00CC7D67" w:rsidRDefault="00E34188" w:rsidP="00A44691">
    <w:pPr>
      <w:pStyle w:val="Footer2"/>
    </w:pPr>
    <w:r w:rsidRPr="00B0309C">
      <w:rPr>
        <w:lang w:val="de-DE"/>
      </w:rPr>
      <w:tab/>
    </w:r>
    <w:r w:rsidRPr="00CC7D67">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188" w:rsidRPr="00B0309C" w:rsidRDefault="00E34188" w:rsidP="00A44691">
    <w:pPr>
      <w:pStyle w:val="Footer"/>
      <w:rPr>
        <w:lang w:val="de-DE"/>
      </w:rPr>
    </w:pPr>
    <w:r w:rsidRPr="00B0309C">
      <w:rPr>
        <w:rStyle w:val="HideTWBExt"/>
        <w:noProof w:val="0"/>
        <w:lang w:val="de-DE"/>
      </w:rPr>
      <w:t>&lt;PathFdR&gt;</w:t>
    </w:r>
    <w:r w:rsidRPr="00B0309C">
      <w:rPr>
        <w:lang w:val="de-DE"/>
      </w:rPr>
      <w:t>AM\1154052FR.docx</w:t>
    </w:r>
    <w:r w:rsidRPr="00B0309C">
      <w:rPr>
        <w:rStyle w:val="HideTWBExt"/>
        <w:noProof w:val="0"/>
        <w:lang w:val="de-DE"/>
      </w:rPr>
      <w:t>&lt;/PathFdR&gt;</w:t>
    </w:r>
    <w:r w:rsidRPr="00B0309C">
      <w:rPr>
        <w:lang w:val="de-DE"/>
      </w:rPr>
      <w:tab/>
    </w:r>
    <w:r w:rsidRPr="00B0309C">
      <w:rPr>
        <w:lang w:val="de-DE"/>
      </w:rPr>
      <w:tab/>
      <w:t>PE</w:t>
    </w:r>
    <w:r w:rsidRPr="00B0309C">
      <w:rPr>
        <w:rStyle w:val="HideTWBExt"/>
        <w:noProof w:val="0"/>
        <w:lang w:val="de-DE"/>
      </w:rPr>
      <w:t>&lt;NoPE&gt;</w:t>
    </w:r>
    <w:r w:rsidRPr="00B0309C">
      <w:rPr>
        <w:lang w:val="de-DE"/>
      </w:rPr>
      <w:t>622.230</w:t>
    </w:r>
    <w:r w:rsidRPr="00B0309C">
      <w:rPr>
        <w:rStyle w:val="HideTWBExt"/>
        <w:noProof w:val="0"/>
        <w:lang w:val="de-DE"/>
      </w:rPr>
      <w:t>&lt;/NoPE&gt;&lt;Version&gt;</w:t>
    </w:r>
    <w:r w:rsidRPr="00B0309C">
      <w:rPr>
        <w:lang w:val="de-DE"/>
      </w:rPr>
      <w:t>v01-00</w:t>
    </w:r>
    <w:r w:rsidRPr="00B0309C">
      <w:rPr>
        <w:rStyle w:val="HideTWBExt"/>
        <w:noProof w:val="0"/>
        <w:lang w:val="de-DE"/>
      </w:rPr>
      <w:t>&lt;/Version&gt;</w:t>
    </w:r>
  </w:p>
  <w:p w:rsidR="00E34188" w:rsidRPr="00CC7D67" w:rsidRDefault="00E34188" w:rsidP="00A44691">
    <w:pPr>
      <w:pStyle w:val="Footer2"/>
      <w:tabs>
        <w:tab w:val="center" w:pos="4535"/>
      </w:tabs>
    </w:pPr>
    <w:r w:rsidRPr="00CC7D67">
      <w:t>FR</w:t>
    </w:r>
    <w:r w:rsidRPr="00CC7D67">
      <w:tab/>
    </w:r>
    <w:r w:rsidRPr="00CC7D67">
      <w:rPr>
        <w:b w:val="0"/>
        <w:i/>
        <w:color w:val="C0C0C0"/>
        <w:sz w:val="22"/>
      </w:rPr>
      <w:t>Unie dans la diversité</w:t>
    </w:r>
    <w:r w:rsidRPr="00CC7D67">
      <w:tab/>
      <w:t>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188" w:rsidRPr="00CC7D67" w:rsidRDefault="00E34188">
      <w:r w:rsidRPr="00CC7D67">
        <w:separator/>
      </w:r>
    </w:p>
  </w:footnote>
  <w:footnote w:type="continuationSeparator" w:id="0">
    <w:p w:rsidR="00E34188" w:rsidRPr="00CC7D67" w:rsidRDefault="00E34188">
      <w:r w:rsidRPr="00CC7D6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40" w:rsidRDefault="006A46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40" w:rsidRDefault="006A46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40" w:rsidRDefault="006A46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B22A8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C0EE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B40F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525D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3091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26A2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DC9A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120C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2AAA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4278A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8"/>
  </w:num>
  <w:num w:numId="13">
    <w:abstractNumId w:val="3"/>
  </w:num>
  <w:num w:numId="14">
    <w:abstractNumId w:val="3"/>
  </w:num>
  <w:num w:numId="15">
    <w:abstractNumId w:val="2"/>
  </w:num>
  <w:num w:numId="16">
    <w:abstractNumId w:val="2"/>
  </w:num>
  <w:num w:numId="17">
    <w:abstractNumId w:val="1"/>
  </w:num>
  <w:num w:numId="18">
    <w:abstractNumId w:val="1"/>
  </w:num>
  <w:num w:numId="19">
    <w:abstractNumId w:val="0"/>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Page"/>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MACTMNU" w:val=" 2"/>
    <w:docVar w:name="AMPLURMNU" w:val=" 2"/>
    <w:docVar w:name="CODEMNU" w:val=" 1"/>
    <w:docVar w:name="COMKEY" w:val="ENVI"/>
    <w:docVar w:name="CopyToNetwork" w:val="0"/>
    <w:docVar w:name="CVA" w:val="1"/>
    <w:docVar w:name="DOCCODMNU" w:val=" 1"/>
    <w:docVar w:name="DOCDT" w:val="24/05/2018"/>
    <w:docVar w:name="EndA" w:val="{\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3127606 HideTWBExt;}}{\*\rsidtbl \rsid24658\rsid735077\rsid2892074\rsid4666813\rsid6641733\rsid7286045\rsid9636012\rsid11215221\rsid12154954\rsid1312760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6}{\nofchars33}{\*\company European Parliament}{\nofcharsws38}{\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3127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86045 \chftnsep _x000d__x000a_\par }}{\*\ftnsepc \ltrpar \pard\plain \ltrpar\ql \li0\ri0\widctlpar\wrapdefault\aspalpha\aspnum\faauto\adjustright\rin0\lin0\itap0 \rtlch\fcs1 \af0\afs20\alang1025 \ltrch\fcs0 \fs24\lang2057\langfe2057\cgrid\langnp2057\langfenp2057 {\rtlch\fcs1 \af0 _x000d__x000a_\ltrch\fcs0 \insrsid7286045 \chftnsepc _x000d__x000a_\par }}{\*\aftnsep \ltrpar \pard\plain \ltrpar\ql \li0\ri0\widctlpar\wrapdefault\aspalpha\aspnum\faauto\adjustright\rin0\lin0\itap0 \rtlch\fcs1 \af0\afs20\alang1025 \ltrch\fcs0 \fs24\lang2057\langfe2057\cgrid\langnp2057\langfenp2057 {\rtlch\fcs1 \af0 _x000d__x000a_\ltrch\fcs0 \insrsid7286045 \chftnsep _x000d__x000a_\par }}{\*\aftnsepc \ltrpar \pard\plain \ltrpar\ql \li0\ri0\widctlpar\wrapdefault\aspalpha\aspnum\faauto\adjustright\rin0\lin0\itap0 \rtlch\fcs1 \af0\afs20\alang1025 \ltrch\fcs0 \fs24\lang2057\langfe2057\cgrid\langnp2057\langfenp2057 {\rtlch\fcs1 \af0 _x000d__x000a_\ltrch\fcs0 \insrsid72860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90444 \rtlch\fcs1 \af0\afs20\alang1025 \ltrch\fcs0 \fs24\lang2057\langfe2057\cgrid\langnp2057\langfenp2057 {\rtlch\fcs1 \af0 \ltrch\fcs0 _x000d__x000a_\cs15\v\f1\fs20\cf9\insrsid13127606\charrsid946740 {\*\bkmkstart EndA}&lt;&lt;&lt;}{\rtlch\fcs1 \af0 \ltrch\fcs0 \insrsid13127606\charrsid946740 #@&gt;ZOTHAMA&lt;@#}{\rtlch\fcs1 \af0 \ltrch\fcs0 \cs15\v\f1\fs20\cf9\insrsid13127606\charrsid946740 &lt;/RepeatBlock-AmendA&gt;}{_x000d__x000a_\rtlch\fcs1 \af0 \ltrch\fcs0 \insrsid13127606\charrsid946740 _x000d__x000a_\par }\pard \ltrpar\ql \li0\ri0\widctlpar\wrapdefault\aspalpha\aspnum\faauto\adjustright\rin0\lin0\itap0\pararsid16324206 {\rtlch\fcs1 \af0 \ltrch\fcs0 \insrsid24658\charrsid16324206 {\*\bkmkend End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407c_x000d__x000a_a3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EndB" w:val="{\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0948606 HideTWBExt;}}{\*\rsidtbl \rsid24658\rsid735077\rsid2892074\rsid4666813\rsid6641733\rsid9636012\rsid10711257\rsid10948606\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5}{\nofchars33}{\*\company European Parliament}{\nofcharsws37}{\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094860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0711257 \chftnsep _x000d__x000a_\par }}{\*\ftnsepc \ltrpar \pard\plain \ltrpar\ql \li0\ri0\widctlpar\wrapdefault\aspalpha\aspnum\faauto\adjustright\rin0\lin0\itap0 \rtlch\fcs1 \af0\afs20\alang1025 \ltrch\fcs0 \fs24\lang2057\langfe2057\cgrid\langnp2057\langfenp2057 {\rtlch\fcs1 \af0 _x000d__x000a_\ltrch\fcs0 \insrsid10711257 \chftnsepc _x000d__x000a_\par }}{\*\aftnsep \ltrpar \pard\plain \ltrpar\ql \li0\ri0\widctlpar\wrapdefault\aspalpha\aspnum\faauto\adjustright\rin0\lin0\itap0 \rtlch\fcs1 \af0\afs20\alang1025 \ltrch\fcs0 \fs24\lang2057\langfe2057\cgrid\langnp2057\langfenp2057 {\rtlch\fcs1 \af0 _x000d__x000a_\ltrch\fcs0 \insrsid10711257 \chftnsep _x000d__x000a_\par }}{\*\aftnsepc \ltrpar \pard\plain \ltrpar\ql \li0\ri0\widctlpar\wrapdefault\aspalpha\aspnum\faauto\adjustright\rin0\lin0\itap0 \rtlch\fcs1 \af0\afs20\alang1025 \ltrch\fcs0 \fs24\lang2057\langfe2057\cgrid\langnp2057\langfenp2057 {\rtlch\fcs1 \af0 _x000d__x000a_\ltrch\fcs0 \insrsid1071125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v\f1\fs20\cf9\insrsid10948606\charrsid946740 {\*\bkmkstart EndB}&lt;&lt;&lt;}{\rtlch\fcs1 \af0 \ltrch\fcs0 \insrsid10948606\charrsid946740 #@&gt;ZOTHAMB&lt;@#}{\rtlch\fcs1 \af0 \ltrch\fcs0 \cs15\v\f1\fs20\cf9\insrsid10948606\charrsid946740 &lt;/RepeatBlock-AmendB&gt;}{_x000d__x000a_\rtlch\fcs1 \af0 \ltrch\fcs0 \insrsid24658\charrsid16324206 {\*\bkmkend End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27_x000d__x000a_29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iNoAmend" w:val="1"/>
    <w:docVar w:name="IntroA" w:val="{\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1163973 HideTWBExt;}}{\*\rsidtbl \rsid24658\rsid735077\rsid2892074\rsid4666813\rsid6057549\rsid6641733\rsid9636012\rsid11163973\rsid11215221\rsid12154954\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1163973\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6057549 \chftnsep _x000d__x000a_\par }}{\*\ftnsepc \ltrpar \pard\plain \ltrpar\ql \li0\ri0\widctlpar\wrapdefault\aspalpha\aspnum\faauto\adjustright\rin0\lin0\itap0 \rtlch\fcs1 \af0\afs20\alang1025 \ltrch\fcs0 \fs24\lang2057\langfe2057\cgrid\langnp2057\langfenp2057 {\rtlch\fcs1 \af0 _x000d__x000a_\ltrch\fcs0 \insrsid6057549 \chftnsepc _x000d__x000a_\par }}{\*\aftnsep \ltrpar \pard\plain \ltrpar\ql \li0\ri0\widctlpar\wrapdefault\aspalpha\aspnum\faauto\adjustright\rin0\lin0\itap0 \rtlch\fcs1 \af0\afs20\alang1025 \ltrch\fcs0 \fs24\lang2057\langfe2057\cgrid\langnp2057\langfenp2057 {\rtlch\fcs1 \af0 _x000d__x000a_\ltrch\fcs0 \insrsid6057549 \chftnsep _x000d__x000a_\par }}{\*\aftnsepc \ltrpar \pard\plain \ltrpar\ql \li0\ri0\widctlpar\wrapdefault\aspalpha\aspnum\faauto\adjustright\rin0\lin0\itap0 \rtlch\fcs1 \af0\afs20\alang1025 \ltrch\fcs0 \fs24\lang2057\langfe2057\cgrid\langnp2057\langfenp2057 {\rtlch\fcs1 \af0 _x000d__x000a_\ltrch\fcs0 \insrsid6057549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1163973\charrsid946740 {\*\bkmkstart IntroA}&lt;RepeatBlock-AmendA&gt;}{\rtlch\fcs1 \af0 \ltrch\fcs0 \insrsid24658\charrsid16324206 {\*\bkmkend Intro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0095_x000d__x000a_761f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IntroB" w:val="{\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2335126 HideTWBExt;}}{\*\rsidtbl \rsid24658\rsid735077\rsid2892074\rsid4666813\rsid6641733\rsid9636012\rsid11215221\rsid11358468\rsid12154954\rsid12335126\rsid14424199\rsid15204470_x000d__x000a_\rsid15285974\rsid15950462\rsid16324206\rsid16662270}{\mmathPr\mmathFont34\mbrkBin0\mbrkBinSub0\msmallFrac0\mdispDef1\mlMargin0\mrMargin0\mdefJc1\mwrapIndent1440\mintLim0\mnaryLim1}{\info{\author FELIX Karina}{\operator FELIX Karina}_x000d__x000a_{\creatim\yr2015\mo5\dy8\hr15\min23}{\revtim\yr2015\mo5\dy8\hr15\min23}{\version1}{\edmins0}{\nofpages1}{\nofwords3}{\nofchars18}{\*\company European Parliament}{\nofcharsws20}{\vern49165}}{\*\xmlnstbl {\xmlns1 http://schemas.microsoft.com/office/word/200_x000d__x000a_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233512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1358468 \chftnsep _x000d__x000a_\par }}{\*\ftnsepc \ltrpar \pard\plain \ltrpar\ql \li0\ri0\widctlpar\wrapdefault\aspalpha\aspnum\faauto\adjustright\rin0\lin0\itap0 \rtlch\fcs1 \af0\afs20\alang1025 \ltrch\fcs0 \fs24\lang2057\langfe2057\cgrid\langnp2057\langfenp2057 {\rtlch\fcs1 \af0 _x000d__x000a_\ltrch\fcs0 \insrsid11358468 \chftnsepc _x000d__x000a_\par }}{\*\aftnsep \ltrpar \pard\plain \ltrpar\ql \li0\ri0\widctlpar\wrapdefault\aspalpha\aspnum\faauto\adjustright\rin0\lin0\itap0 \rtlch\fcs1 \af0\afs20\alang1025 \ltrch\fcs0 \fs24\lang2057\langfe2057\cgrid\langnp2057\langfenp2057 {\rtlch\fcs1 \af0 _x000d__x000a_\ltrch\fcs0 \insrsid11358468 \chftnsep _x000d__x000a_\par }}{\*\aftnsepc \ltrpar \pard\plain \ltrpar\ql \li0\ri0\widctlpar\wrapdefault\aspalpha\aspnum\faauto\adjustright\rin0\lin0\itap0 \rtlch\fcs1 \af0\afs20\alang1025 \ltrch\fcs0 \fs24\lang2057\langfe2057\cgrid\langnp2057\langfenp2057 {\rtlch\fcs1 \af0 _x000d__x000a_\ltrch\fcs0 \insrsid11358468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cs15\b\v\f1\fs20\cf9\insrsid12335126\charrsid946740 {\*\bkmkstart IntroB}&lt;RepeatBlock-AmendB&gt;}{\rtlch\fcs1 \af0 \ltrch\fcs0 \insrsid24658\charrsid16324206 {\*\bkmkend Intro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fc_x000d__x000a_1b20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LastEditedSection" w:val=" 1"/>
    <w:docVar w:name="PROPOSALCODMNU" w:val=" 1"/>
    <w:docVar w:name="RepeatBlock-AmendAENold" w:val="{\rtf1\adeflang1025\ansi\ansicpg1252\uc1\adeff0\deff0\stshfdbch0\stshfloch0\stshfhich0\stshfbi0\deflang2057\deflangfe2057\themelang2057\themelangfe0\themelangcs0{\fonttbl{\f0\fbidi \froman\fcharset0\fprq2{\*\panose 02020603050405020304}Times New Roman;}{\f34\fbidi \froman\fcharset0\fprq2{\*\panose 02040503050406030204}Cambria Math;}_x000d__x000a_{\flomajor\f31500\fbidi \froman\fcharset0\fprq2{\*\panose 02020603050405020304}Times New Roman;}{\fdbmajor\f31501\fbidi \froman\fcharset0\fprq2{\*\panose 02020603050405020304}Times New Roman;}_x000d__x000a_{\fhimajor\f31502\fbidi \fswiss\fcharset0\fprq2{\*\panose 020f0302020204030204}Calibri Light;}{\fbimajor\f31503\fbidi \froman\fcharset0\fprq2{\*\panose 02020603050405020304}Times New Roman;}_x000d__x000a_{\flominor\f31504\fbidi \froman\fcharset0\fprq2{\*\panose 02020603050405020304}Times New Roman;}{\fdbminor\f31505\fbidi \froman\fcharset0\fprq2{\*\panose 02020603050405020304}Times New Roman;}_x000d__x000a_{\fhiminor\f31506\fbidi \fswiss\fcharset0\fprq2{\*\panose 020f0502020204030204}Calibri;}{\fbiminor\f31507\fbidi \froman\fcharset0\fprq2{\*\panose 02020603050405020304}Times New Roman;}{\f309\fbidi \froman\fcharset238\fprq2 Times New Roman CE;}_x000d__x000a_{\f310\fbidi \froman\fcharset204\fprq2 Times New Roman Cyr;}{\f312\fbidi \froman\fcharset161\fprq2 Times New Roman Greek;}{\f313\fbidi \froman\fcharset162\fprq2 Times New Roman Tur;}{\f314\fbidi \froman\fcharset177\fprq2 Times New Roman (Hebrew);}_x000d__x000a_{\f315\fbidi \froman\fcharset178\fprq2 Times New Roman (Arabic);}{\f316\fbidi \froman\fcharset186\fprq2 Times New Roman Baltic;}{\f317\fbidi \froman\fcharset163\fprq2 Times New Roman (Vietnamese);}{\f649\fbidi \froman\fcharset238\fprq2 Cambria Math CE;}_x000d__x000a_{\f650\fbidi \froman\fcharset204\fprq2 Cambria Math Cyr;}{\f652\fbidi \froman\fcharset161\fprq2 Cambria Math Greek;}{\f653\fbidi \froman\fcharset162\fprq2 Cambria Math Tur;}{\f656\fbidi \froman\fcharset186\fprq2 Cambria Math Baltic;}_x000d__x000a_{\f657\fbidi \froman\fcharset163\fprq2 Cambria Math (Vietnamese);}{\flomajor\f31508\fbidi \froman\fcharset238\fprq2 Times New Roman CE;}{\flomajor\f31509\fbidi \froman\fcharset204\fprq2 Times New Roman Cyr;}_x000d__x000a_{\flomajor\f31511\fbidi \froman\fcharset161\fprq2 Times New Roman Greek;}{\flomajor\f31512\fbidi \froman\fcharset162\fprq2 Times New Roman Tur;}{\flomajor\f31513\fbidi \froman\fcharset177\fprq2 Times New Roman (Hebrew);}_x000d__x000a_{\flomajor\f31514\fbidi \froman\fcharset178\fprq2 Times New Roman (Arabic);}{\flomajor\f31515\fbidi \froman\fcharset186\fprq2 Times New Roman Baltic;}{\flomajor\f31516\fbidi \froman\fcharset163\fprq2 Times New Roman (Vietnamese);}_x000d__x000a_{\fdbmajor\f31518\fbidi \froman\fcharset238\fprq2 Times New Roman CE;}{\fdbmajor\f31519\fbidi \froman\fcharset204\fprq2 Times New Roman Cyr;}{\fdbmajor\f31521\fbidi \froman\fcharset161\fprq2 Times New Roman Greek;}_x000d__x000a_{\fdbmajor\f31522\fbidi \froman\fcharset162\fprq2 Times New Roman Tur;}{\fdbmajor\f31523\fbidi \froman\fcharset177\fprq2 Times New Roman (Hebrew);}{\fdbmajor\f31524\fbidi \froman\fcharset178\fprq2 Times New Roman (Arabic);}_x000d__x000a_{\fdbmajor\f31525\fbidi \froman\fcharset186\fprq2 Times New Roman Baltic;}{\fdbmajor\f31526\fbidi \froman\fcharset163\fprq2 Times New Roman (Vietnamese);}{\fhimajor\f31528\fbidi \fswiss\fcharset238\fprq2 Calibri Light CE;}_x000d__x000a_{\fhimajor\f31529\fbidi \fswiss\fcharset204\fprq2 Calibri Light Cyr;}{\fhimajor\f31531\fbidi \fswiss\fcharset161\fprq2 Calibri Light Greek;}{\fhimajor\f31532\fbidi \fswiss\fcharset162\fprq2 Calibri Light Tur;}_x000d__x000a_{\fhimajor\f31535\fbidi \fswiss\fcharset186\fprq2 Calibri Light Baltic;}{\fhimajor\f31536\fbidi \fswiss\fcharset163\fprq2 Calibri Light (Vietnamese);}{\fbimajor\f31538\fbidi \froman\fcharset238\fprq2 Times New Roman CE;}_x000d__x000a_{\fbimajor\f31539\fbidi \froman\fcharset204\fprq2 Times New Roman Cyr;}{\fbimajor\f31541\fbidi \froman\fcharset161\fprq2 Times New Roman Greek;}{\fbimajor\f31542\fbidi \froman\fcharset162\fprq2 Times New Roman Tur;}_x000d__x000a_{\fbimajor\f31543\fbidi \froman\fcharset177\fprq2 Times New Roman (Hebrew);}{\fbimajor\f31544\fbidi \froman\fcharset178\fprq2 Times New Roman (Arabic);}{\fbimajor\f31545\fbidi \froman\fcharset186\fprq2 Times New Roman Baltic;}_x000d__x000a_{\fbimajor\f31546\fbidi \froman\fcharset163\fprq2 Times New Roman (Vietnamese);}{\flominor\f31548\fbidi \froman\fcharset238\fprq2 Times New Roman CE;}{\flominor\f31549\fbidi \froman\fcharset204\fprq2 Times New Roman Cyr;}_x000d__x000a_{\flominor\f31551\fbidi \froman\fcharset161\fprq2 Times New Roman Greek;}{\flominor\f31552\fbidi \froman\fcharset162\fprq2 Times New Roman Tur;}{\flominor\f31553\fbidi \froman\fcharset177\fprq2 Times New Roman (Hebrew);}_x000d__x000a_{\flominor\f31554\fbidi \froman\fcharset178\fprq2 Times New Roman (Arabic);}{\flominor\f31555\fbidi \froman\fcharset186\fprq2 Times New Roman Baltic;}{\flominor\f31556\fbidi \froman\fcharset163\fprq2 Times New Roman (Vietnamese);}_x000d__x000a_{\fdbminor\f31558\fbidi \froman\fcharset238\fprq2 Times New Roman CE;}{\fdbminor\f31559\fbidi \froman\fcharset204\fprq2 Times New Roman Cyr;}{\fdbminor\f31561\fbidi \froman\fcharset161\fprq2 Times New Roman Greek;}_x000d__x000a_{\fdbminor\f31562\fbidi \froman\fcharset162\fprq2 Times New Roman Tur;}{\fdbminor\f31563\fbidi \froman\fcharset177\fprq2 Times New Roman (Hebrew);}{\fdbminor\f31564\fbidi \froman\fcharset178\fprq2 Times New Roman (Arabic);}_x000d__x000a_{\fdbminor\f31565\fbidi \froman\fcharset186\fprq2 Times New Roman Baltic;}{\fdbminor\f31566\fbidi \froman\fcharset163\fprq2 Times New Roman (Vietnamese);}{\fhiminor\f31568\fbidi \fswiss\fcharset238\fprq2 Calibri CE;}_x000d__x000a_{\fhiminor\f31569\fbidi \fswiss\fcharset204\fprq2 Calibri Cyr;}{\fhiminor\f31571\fbidi \fswiss\fcharset161\fprq2 Calibri Greek;}{\fhiminor\f31572\fbidi \fswiss\fcharset162\fprq2 Calibri Tur;}_x000d__x000a_{\fhiminor\f31575\fbidi \fswiss\fcharset186\fprq2 Calibri Baltic;}{\fhiminor\f31576\fbidi \fswiss\fcharset163\fprq2 Calibri (Vietnamese);}{\fbiminor\f31578\fbidi \froman\fcharset238\fprq2 Times New Roman CE;}_x000d__x000a_{\fbiminor\f31579\fbidi \froman\fcharset204\fprq2 Times New Roman Cyr;}{\fbiminor\f31581\fbidi \froman\fcharset161\fprq2 Times New Roman Greek;}{\fbiminor\f31582\fbidi \froman\fcharset162\fprq2 Times New Roman Tur;}_x000d__x000a_{\fbiminor\f31583\fbidi \froman\fcharset177\fprq2 Times New Roman (Hebrew);}{\fbiminor\f31584\fbidi \froman\fcharset178\fprq2 Times New Roman (Arabic);}{\fbiminor\f31585\fbidi \froman\fcharset186\fprq2 Times New Roman Baltic;}_x000d__x000a_{\fbiminor\f31586\fbidi \froman\fcharset163\fprq2 Times New Roman (Vietnamese);}}{\colortbl;\red0\green0\blue0;\red0\green0\blue255;\red0\green255\blue255;\red0\green255\blue0;\red255\green0\blue255;\red255\green0\blue0;\red255\green255\blue0;_x000d__x000a_\red255\green255\blue255;\red0\green0\blue128;\red0\green128\blue128;\red0\green128\blue0;\red128\green0\blue128;\red128\green0\blue0;\red128\green128\blue0;\red128\green128\blue128;\red192\green192\blue192;}{\*\defchp }{\*\defpap _x000d__x000a_\ql \li0\ri0\widctlpar\wrapdefault\aspalpha\aspnum\faauto\adjustright\rin0\lin0\itap0 }\noqfpromote {\stylesheet{\ql \li0\ri0\widctlpar\wrapdefault\aspalpha\aspnum\faauto\adjustright\rin0\lin0\itap0 \rtlch\fcs1 \af0\afs20\alang1025 \ltrch\fcs0 _x000d__x000a_\fs24\lang2057\langfe2057\cgrid\langnp2057\langfenp2057 \snext0 \sqformat \spriority0 Normal;}{\*\cs10 \additive \ssemihidden \spriority0 Default Paragraph Font;}{\*_x000d__x000a_\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cf15 \spriority0 \styrsid4357789 HideTWBInt;}}{\*\rsidtbl \rsid24658\rsid735077\rsid2892074\rsid4357789\rsid4666813\rsid6641733\rsid9636012\rsid11215221\rsid11865281\rsid12154954\rsid14424199\rsid15204470\rsid15285974\rsid15950462\rsid16324206_x000d__x000a_\rsid16662270}{\mmathPr\mmathFont34\mbrkBin0\mbrkBinSub0\msmallFrac0\mdispDef1\mlMargin0\mrMargin0\mdefJc1\mwrapIndent1440\mintLim0\mnaryLim1}{\info{\author STOIAN Andreea Alina}{\operator STOIAN Andreea Alina}{\creatim\yr2018\mo5\dy24\hr12\min55}_x000d__x000a_{\revtim\yr2018\mo5\dy24\hr12\min55}{\version1}{\edmins0}{\nofpages1}{\nofwords1}{\nofchars17}{\*\company European Parliament}{\nofcharsws17}{\vern57445}}{\*\xmlnstbl {\xmlns1 http://schemas.microsoft.com/office/word/2003/wordml}}_x000d__x000a_\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4357789\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11865281 \chftnsep _x000d__x000a_\par }}{\*\ftnsepc \ltrpar \pard\plain \ltrpar\ql \li0\ri0\widctlpar\wrapdefault\aspalpha\aspnum\faauto\adjustright\rin0\lin0\itap0 \rtlch\fcs1 \af0\afs20\alang1025 \ltrch\fcs0 \fs24\lang2057\langfe2057\cgrid\langnp2057\langfenp2057 {\rtlch\fcs1 \af0 _x000d__x000a_\ltrch\fcs0 \insrsid11865281 \chftnsepc _x000d__x000a_\par }}{\*\aftnsep \ltrpar \pard\plain \ltrpar\ql \li0\ri0\widctlpar\wrapdefault\aspalpha\aspnum\faauto\adjustright\rin0\lin0\itap0 \rtlch\fcs1 \af0\afs20\alang1025 \ltrch\fcs0 \fs24\lang2057\langfe2057\cgrid\langnp2057\langfenp2057 {\rtlch\fcs1 \af0 _x000d__x000a_\ltrch\fcs0 \insrsid11865281 \chftnsep _x000d__x000a_\par }}{\*\aftnsepc \ltrpar \pard\plain \ltrpar\ql \li0\ri0\widctlpar\wrapdefault\aspalpha\aspnum\faauto\adjustright\rin0\lin0\itap0 \rtlch\fcs1 \af0\afs20\alang1025 \ltrch\fcs0 \fs24\lang2057\langfe2057\cgrid\langnp2057\langfenp2057 {\rtlch\fcs1 \af0 _x000d__x000a_\ltrch\fcs0 \insrsid1186528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ql \li0\ri0\widctlpar\wrapdefault\aspalpha\aspnum\faauto\adjustright\rin0\lin0\itap0\pararsid16324206 \rtlch\fcs1 \af0\afs20\alang1025 \ltrch\fcs0 \fs24\lang2057\langfe2057\cgrid\langnp2057\langfenp2057 {\rtlch\fcs1 \af0 \ltrch\fcs0 _x000d__x000a_\insrsid4357789\charrsid1408896 {\*\bkmkstart ReplaceBookmark}#}{\rtlch\fcs1 \af0 \ltrch\fcs0 \cs15\v\cf15\insrsid4357789\charrsid1408896 &gt;&gt;&gt;CVAR@@AmendA}{\rtlch\fcs1 \af0 \ltrch\fcs0 \insrsid4357789\charrsid1408896 #}{\rtlch\fcs1 \af0 \ltrch\fcs0 _x000d__x000a_\insrsid24658\charrsid16324206 {\*\bkmkend ReplaceBookmark}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d038_x000d__x000a_71ba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RepeatBlock-AmendAENoldToDel" w:val="{\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8420960 HideTWBExt;}{\*\cs16 \additive \v\cf15 \spriority0 \styrsid8420960 HideTWBInt;}{\s17\ql \li0\ri0\sa120\nowidctlpar\wrapdefault\aspalpha\aspnum\faauto\adjustright\rin0\lin0\itap0 _x000d__x000a_\rtlch\fcs1 \af0\afs20\alang1025 \ltrch\fcs0 \fs24\lang2057\langfe2057\cgrid\langnp2057\langfenp2057 \sbasedon0 \snext17 \slink18 \spriority0 \styrsid8420960 Normal6;}{\*\cs18 \additive \fs24 \slink17 \slocked \spriority0 \styrsid8420960 Normal6 Char;}{_x000d__x000a_\s19\ql \li0\ri0\nowidctlpar\wrapdefault\aspalpha\aspnum\faauto\adjustright\rin0\lin0\itap0 \rtlch\fcs1 \af0\afs20\alang1025 \ltrch\fcs0 \b\fs24\lang2057\langfe2057\cgrid\langnp2057\langfenp2057 \sbasedon0 \snext19 \slink20 \spriority0 \styrsid8420960 _x000d__x000a_NormalBold;}{\*\cs20 \additive \b\fs24 \slink19 \slocked \spriority0 \styrsid8420960 NormalBold Char;}{\s21\ql \li0\ri0\sa240\nowidctlpar\wrapdefault\aspalpha\aspnum\faauto\adjustright\rin0\lin0\itap0 \rtlch\fcs1 \af0\afs20\alang1025 \ltrch\fcs0 _x000d__x000a_\i\fs24\lang1024\langfe1024\cgrid\noproof\langnp2057\langfenp2057 \sbasedon0 \snext21 \spriority0 \styrsid8420960 Normal12Italic;}{\s22\qc \li0\ri0\sb240\sa240\keepn\nowidctlpar\wrapdefault\aspalpha\aspnum\faauto\adjustright\rin0\lin0\itap0 \rtlch\fcs1 _x000d__x000a_\af0\afs20\alang1025 \ltrch\fcs0 \i\fs24\lang1024\langfe1024\cgrid\noproof\langnp2057\langfenp2057 \sbasedon0 \snext0 \spriority0 \styrsid8420960 JustificationTitle;}{_x000d__x000a_\s23\qr \li0\ri0\sb240\sa240\nowidctlpar\wrapdefault\aspalpha\aspnum\faauto\adjustright\rin0\lin0\itap0 \rtlch\fcs1 \af0\afs20\alang1025 \ltrch\fcs0 \fs24\lang1024\langfe1024\cgrid\noproof\langnp2057\langfenp2057 _x000d__x000a_\sbasedon0 \snext23 \spriority0 \styrsid8420960 Olang;}{\s24\qc \li0\ri0\sa240\nowidctlpar\wrapdefault\aspalpha\aspnum\faauto\adjustright\rin0\lin0\itap0 \rtlch\fcs1 \af0\afs20\alang1025 \ltrch\fcs0 _x000d__x000a_\i\fs24\lang2057\langfe2057\cgrid\langnp2057\langfenp2057 \sbasedon0 \snext24 \spriority0 \styrsid8420960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8420960 AMNumberTabs;}}{\*\rsidtbl \rsid24658\rsid216631\rsid735077\rsid2892074\rsid4666813\rsid6641733\rsid8420960\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44}{\nofchars491}{\*\company European Parliament}{\nofcharsws491}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8420960\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216631 \chftnsep _x000d__x000a_\par }}{\*\ftnsepc \ltrpar \pard\plain \ltrpar\ql \li0\ri0\widctlpar\wrapdefault\aspalpha\aspnum\faauto\adjustright\rin0\lin0\itap0 \rtlch\fcs1 \af0\afs20\alang1025 \ltrch\fcs0 \fs24\lang2057\langfe2057\cgrid\langnp2057\langfenp2057 {\rtlch\fcs1 \af0 _x000d__x000a_\ltrch\fcs0 \insrsid216631 \chftnsepc _x000d__x000a_\par }}{\*\aftnsep \ltrpar \pard\plain \ltrpar\ql \li0\ri0\widctlpar\wrapdefault\aspalpha\aspnum\faauto\adjustright\rin0\lin0\itap0 \rtlch\fcs1 \af0\afs20\alang1025 \ltrch\fcs0 \fs24\lang2057\langfe2057\cgrid\langnp2057\langfenp2057 {\rtlch\fcs1 \af0 _x000d__x000a_\ltrch\fcs0 \insrsid216631 \chftnsep _x000d__x000a_\par }}{\*\aftnsepc \ltrpar \pard\plain \ltrpar\ql \li0\ri0\widctlpar\wrapdefault\aspalpha\aspnum\faauto\adjustright\rin0\lin0\itap0 \rtlch\fcs1 \af0\afs20\alang1025 \ltrch\fcs0 \fs24\lang2057\langfe2057\cgrid\langnp2057\langfenp2057 {\rtlch\fcs1 \af0 _x000d__x000a_\ltrch\fcs0 \insrsid216631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8420960\charrsid1408896 {\*\bkmkstart restartA}&lt;AmendA&gt;}{_x000d__x000a_\rtlch\fcs1 \af0 \ltrch\fcs0 \insrsid8420960\charrsid1408896 Amendment\tab \tab }{\rtlch\fcs1 \af0 \ltrch\fcs0 \cs15\b0\v\f1\fs20\cf9\insrsid8420960\charrsid1408896 &lt;NumAmA&gt;}{\rtlch\fcs1 \af0 \ltrch\fcs0 \insrsid8420960\charrsid1408896 #}{\rtlch\fcs1 _x000d__x000a_\af0 \ltrch\fcs0 \cs16\v\cf15\insrsid8420960\charrsid1408896 ENMIENDA@NRAM@}{\rtlch\fcs1 \af0 \ltrch\fcs0 \insrsid8420960\charrsid1408896 #}{\rtlch\fcs1 \af0 \ltrch\fcs0 \cs15\b0\v\f1\fs20\cf9\insrsid8420960\charrsid1408896 &lt;/NumAmA&gt;}{\rtlch\fcs1 \af0 _x000d__x000a_\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lt;RepeatBlock-By&gt;}{\rtlch\fcs1 \af0 \ltrch\fcs0 \insrsid8420960\charrsid1408896 #}{\rtlch\fcs1 \af0 \ltrch\fcs0 \cs16\v\cf15\insrsid8420960\charrsid1408896 &gt;&gt;&gt;@[ZMEMBERSMSG]@}{\rtlch\fcs1 _x000d__x000a_\af0 \ltrch\fcs0 \insrsid8420960\charrsid1408896 #}{\rtlch\fcs1 \af0 \ltrch\fcs0 \cs15\b0\v\f1\fs20\cf9\insrsid8420960\charrsid1408896 &lt;Members&gt;}{\rtlch\fcs1 \af0 \ltrch\fcs0 \cf10\insrsid8420960\charrsid1408896 \u9668\'3f}{\rtlch\fcs1 \af0 \ltrch\fcs0 _x000d__x000a_\insrsid8420960\charrsid1408896 #}{\rtlch\fcs1 \af0 \ltrch\fcs0 \cs16\v\cf15\insrsid8420960\charrsid1408896 TVTMEMBERS@MEMBERS@}{\rtlch\fcs1 \af0 \ltrch\fcs0 \insrsid8420960\charrsid1408896 #}{\rtlch\fcs1 \af0 \ltrch\fcs0 _x000d__x000a_\cf10\insrsid8420960\charrsid1408896 \u9658\'3f}{\rtlch\fcs1 \af0 \ltrch\fcs0 \cs15\b0\v\f1\fs20\cf9\insrsid8420960\charrsid1408896 &lt;/Members&gt;}{\rtlch\fcs1 \af0 \ltrch\fcs0 \insrsid8420960\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8420960\charrsid1408896 &lt;AuNomDe&gt;&lt;OptDel&gt;}{\rtlch\fcs1 \af0 \ltrch\fcs0 \insrsid8420960\charrsid1408896 #}{\rtlch\fcs1 \af0 \ltrch\fcs0 \cs16\v\cf15\insrsid8420960\charrsid1408896 MNU[ONBEHALFYES][NOTAPP]@CHOICE@}{\rtlch\fcs1 _x000d__x000a_\af0 \ltrch\fcs0 \insrsid8420960\charrsid1408896 #}{\rtlch\fcs1 \af0 \ltrch\fcs0 \cs15\v\f1\fs20\cf9\insrsid8420960\charrsid1408896 &lt;/OptDel&gt;&lt;/AuNomDe&gt;}{\rtlch\fcs1 \af0 \ltrch\fcs0 \insrsid8420960\charrsid1408896 _x000d__x000a_\par &lt;&lt;&lt;}{\rtlch\fcs1 \af0 \ltrch\fcs0 \cs15\v\f1\fs20\cf9\insrsid8420960\charrsid1408896 &lt;/RepeatBlock-By&gt;}{\rtlch\fcs1 \af0 \ltrch\fcs0 \insrsid8420960\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8420960\charrsid1408896 &lt;DocAmend&gt;}{\rtlch\fcs1 \af0 \ltrch\fcs0 \insrsid8420960\charrsid1408896 Draft legislative resolution}{\rtlch\fcs1 \af0 \ltrch\fcs0 \cs15\b0\v\f1\fs20\cf9\insrsid8420960\charrsid1408896 _x000d__x000a_&lt;/DocAmend&gt;}{\rtlch\fcs1 \af0 \ltrch\fcs0 \insrsid8420960\charrsid1408896 _x000d__x000a_\par }\pard \ltrpar\s19\ql \li0\ri0\nowidctlpar\wrapdefault\aspalpha\aspnum\faauto\adjustright\rin0\lin0\itap0\pararsid16013815 {\rtlch\fcs1 \af0 \ltrch\fcs0 \cs15\b0\v\f1\fs20\cf9\insrsid8420960\charrsid1408896 &lt;Article&gt;}{\rtlch\fcs1 \af0 \ltrch\fcs0 _x000d__x000a_\cf10\insrsid8420960\charrsid1408896 \u9668\'3f}{\rtlch\fcs1 \af0 \ltrch\fcs0 \insrsid8420960\charrsid1408896 #}{\rtlch\fcs1 \af0 \ltrch\fcs0 \cs16\v\cf15\insrsid8420960\charrsid1408896 TVTRESPART@RESPART@}{\rtlch\fcs1 \af0 \ltrch\fcs0 _x000d__x000a_\insrsid8420960\charrsid1408896 #}{\rtlch\fcs1 \af0 \ltrch\fcs0 \cf10\insrsid8420960\charrsid1408896 \u9658\'3f}{\rtlch\fcs1 \af0 \ltrch\fcs0 \cs15\b0\v\f1\fs20\cf9\insrsid8420960\charrsid1408896 &lt;/Article&gt;}{\rtlch\fcs1 \af0 \ltrch\fcs0 _x000d__x000a_\insrsid8420960\charrsid1408896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8420960\charrsid1408896 \cell }\pard \ltrpar\ql \li0\ri0\widctlpar\intbl\wrapdefault\aspalpha\aspnum\faauto\adjustright\rin0\lin0 {\rtlch\fcs1 \af0 \ltrch\fcs0 _x000d__x000a_\insrsid8420960\charrsid1408896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8420960\charrsid1408896 Draft legislative resolution\cell Amendment\cell }\pard\plain \ltrpar\ql \li0\ri0\widctlpar\intbl\wrapdefault\aspalpha\aspnum\faauto\adjustright\rin0\lin0 \rtlch\fcs1 \af0\afs20\alang1025 _x000d__x000a_\ltrch\fcs0 \fs24\lang2057\langfe2057\cgrid\langnp2057\langfenp2057 {\rtlch\fcs1 \af0 \ltrch\fcs0 \insrsid8420960\charrsid1408896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8420960\charrsid1408896 ##\cell ##}{\rtlch\fcs1 \af0\afs24 \ltrch\fcs0 \insrsid8420960\charrsid1408896 \cell }\pard\plain \ltrpar\ql \li0\ri0\widctlpar\intbl\wrapdefault\aspalpha\aspnum\faauto\adjustright\rin0\lin0 \rtlch\fcs1 _x000d__x000a_\af0\afs20\alang1025 \ltrch\fcs0 \fs24\lang2057\langfe2057\cgrid\langnp2057\langfenp2057 {\rtlch\fcs1 \af0 \ltrch\fcs0 \insrsid8420960\charrsid1408896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0118616 \rtlch\fcs1 \af0\afs20\alang1025 \ltrch\fcs0 \fs24\lang1024\langfe1024\cgrid\noproof\langnp2057\langfenp2057 {\rtlch\fcs1 \af0 _x000d__x000a_\ltrch\fcs0 \noproof0\insrsid8420960\charrsid1408896 Or. }{\rtlch\fcs1 \af0 \ltrch\fcs0 \cs15\v\f1\fs20\cf9\noproof0\insrsid8420960\charrsid1408896 &lt;Original&gt;}{\rtlch\fcs1 \af0 \ltrch\fcs0 \noproof0\insrsid8420960\charrsid1408896 #}{\rtlch\fcs1 \af0 _x000d__x000a_\ltrch\fcs0 \cs16\v\cf15\noproof0\insrsid8420960\charrsid1408896 KEY(MAIN/LANGMIN)sh@ORLANGMSG@}{\rtlch\fcs1 \af0 \ltrch\fcs0 \noproof0\insrsid8420960\charrsid1408896 #}{\rtlch\fcs1 \af0 \ltrch\fcs0 _x000d__x000a_\cs15\v\f1\fs20\cf9\noproof0\insrsid8420960\charrsid1408896 &lt;/Original&gt;}{\rtlch\fcs1 \af0 \ltrch\fcs0 \noproof0\insrsid8420960\charrsid1408896 _x000d__x000a_\par }\pard\plain \ltrpar\s22\qc \li0\ri0\sb240\sa240\keepn\nowidctlpar\wrapdefault\aspalpha\aspnum\faauto\adjustright\rin0\lin0\itap0\pararsid16390444 \rtlch\fcs1 \af0\afs20\alang1025 \ltrch\fcs0 _x000d__x000a_\i\fs24\lang1024\langfe1024\cgrid\noproof\langnp2057\langfenp2057 {\rtlch\fcs1 \af0 \ltrch\fcs0 \cs15\i0\v\f1\fs20\cf9\noproof0\insrsid8420960\charrsid1408896 &lt;TitreJust&gt;}{\rtlch\fcs1 \af0 \ltrch\fcs0 \noproof0\insrsid8420960\charrsid1408896 Justification_x000d__x000a_}{\rtlch\fcs1 \af0 \ltrch\fcs0 \cs15\i0\v\f1\fs20\cf9\noproof0\insrsid8420960\charrsid1408896 &lt;/TitreJust&gt;}{\rtlch\fcs1 \af0 \ltrch\fcs0 \noproof0\insrsid8420960\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8420960\charrsid1408896 &lt;OptDelPrev&gt;}{\rtlch\fcs1 \af0 \ltrch\fcs0 \noproof0\insrsid8420960\charrsid1408896 #}{\rtlch\fcs1 \af0 \ltrch\fcs0 _x000d__x000a_\cs16\v\cf15\noproof0\insrsid8420960\charrsid1408896 MNU[TEXTJUSTYES][TEXTJUSTNO]@CHOICE@}{\rtlch\fcs1 \af0 \ltrch\fcs0 \noproof0\insrsid8420960\charrsid1408896 #}{\rtlch\fcs1 \af0 \ltrch\fcs0 _x000d__x000a_\cs15\i0\v\f1\fs20\cf9\noproof0\insrsid8420960\charrsid1408896 &lt;/OptDelPrev&gt;}{\rtlch\fcs1 \af0 \ltrch\fcs0 \noproof0\insrsid8420960\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8420960\charrsid1408896 &lt;/AmendA&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92_x000d__x000a_9d4d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RepeatBlock-AmendBENoldToKeep" w:val="{\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9520314 HideTWBExt;}{\*\cs16 \additive \v\cf15 \spriority0 \styrsid9520314 HideTWBInt;}{\s17\ql \li0\ri0\sa120\nowidctlpar\wrapdefault\aspalpha\aspnum\faauto\adjustright\rin0\lin0\itap0 _x000d__x000a_\rtlch\fcs1 \af0\afs20\alang1025 \ltrch\fcs0 \fs24\lang2057\langfe2057\cgrid\langnp2057\langfenp2057 \sbasedon0 \snext17 \slink18 \spriority0 \styrsid9520314 Normal6;}{\*\cs18 \additive \fs24 \slink17 \slocked \spriority0 \styrsid9520314 Normal6 Char;}{_x000d__x000a_\s19\ql \li0\ri0\nowidctlpar\wrapdefault\aspalpha\aspnum\faauto\adjustright\rin0\lin0\itap0 \rtlch\fcs1 \af0\afs20\alang1025 \ltrch\fcs0 \b\fs24\lang2057\langfe2057\cgrid\langnp2057\langfenp2057 \sbasedon0 \snext19 \slink20 \spriority0 \styrsid9520314 _x000d__x000a_NormalBold;}{\*\cs20 \additive \b\fs24 \slink19 \slocked \spriority0 \styrsid9520314 NormalBold Char;}{\s21\ql \li0\ri0\sa240\nowidctlpar\wrapdefault\aspalpha\aspnum\faauto\adjustright\rin0\lin0\itap0 \rtlch\fcs1 \af0\afs20\alang1025 \ltrch\fcs0 _x000d__x000a_\i\fs24\lang1024\langfe1024\cgrid\noproof\langnp2057\langfenp2057 \sbasedon0 \snext21 \spriority0 \styrsid9520314 Normal12Italic;}{\s22\qc \li0\ri0\sb240\nowidctlpar\wrapdefault\aspalpha\aspnum\faauto\adjustright\rin0\lin0\itap0 \rtlch\fcs1 _x000d__x000a_\af0\afs20\alang1025 \ltrch\fcs0 \i\fs24\lang2057\langfe2057\cgrid\langnp2057\langfenp2057 \sbasedon0 \snext22 \spriority0 \styrsid9520314 CrossRef;}{_x000d__x000a_\s23\qc \li0\ri0\sb240\sa240\keepn\nowidctlpar\wrapdefault\aspalpha\aspnum\faauto\adjustright\rin0\lin0\itap0 \rtlch\fcs1 \af0\afs20\alang1025 \ltrch\fcs0 \i\fs24\lang1024\langfe1024\cgrid\noproof\langnp2057\langfenp2057 _x000d__x000a_\sbasedon0 \snext0 \spriority0 \styrsid9520314 JustificationTitle;}{\s24\qr \li0\ri0\sb240\sa240\nowidctlpar\wrapdefault\aspalpha\aspnum\faauto\adjustright\rin0\lin0\itap0 \rtlch\fcs1 \af0\afs20\alang1025 \ltrch\fcs0 _x000d__x000a_\fs24\lang1024\langfe1024\cgrid\noproof\langnp2057\langfenp2057 \sbasedon0 \snext24 \spriority0 \styrsid9520314 Olang;}{\s25\qc \li0\ri0\sa240\nowidctlpar\wrapdefault\aspalpha\aspnum\faauto\adjustright\rin0\lin0\itap0 \rtlch\fcs1 \af0\afs20\alang1025 _x000d__x000a_\ltrch\fcs0 \i\fs24\lang2057\langfe2057\cgrid\langnp2057\langfenp2057 \sbasedon0 \snext25 \spriority0 \styrsid9520314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9520314 AMNumberTabs;}}{\*\rsidtbl \rsid24658\rsid735077\rsid2892074\rsid4666813\rsid4815165\rsid6641733\rsid9520314\rsid9636012\rsid11215221_x000d__x000a_\rsid12154954\rsid14424199\rsid15204470\rsid15285974\rsid15950462\rsid16324206\rsid16662270}{\mmathPr\mmathFont34\mbrkBin0\mbrkBinSub0\msmallFrac0\mdispDef1\mlMargin0\mrMargin0\mdefJc1\mwrapIndent1440\mintLim0\mnaryLim1}{\info_x000d__x000a_{\author STOIAN Andreea Alina}{\operator STOIAN Andreea Alina}{\creatim\yr2018\mo5\dy24\hr12\min52}{\revtim\yr2018\mo5\dy24\hr12\min52}{\version1}{\edmins0}{\nofpages1}{\nofwords70}{\nofchars769}{\*\company European Parliament}{\nofcharsws770}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9520314\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4815165 \chftnsep _x000d__x000a_\par }}{\*\ftnsepc \ltrpar \pard\plain \ltrpar\ql \li0\ri0\widctlpar\wrapdefault\aspalpha\aspnum\faauto\adjustright\rin0\lin0\itap0 \rtlch\fcs1 \af0\afs20\alang1025 \ltrch\fcs0 \fs24\lang2057\langfe2057\cgrid\langnp2057\langfenp2057 {\rtlch\fcs1 \af0 _x000d__x000a_\ltrch\fcs0 \insrsid4815165 \chftnsepc _x000d__x000a_\par }}{\*\aftnsep \ltrpar \pard\plain \ltrpar\ql \li0\ri0\widctlpar\wrapdefault\aspalpha\aspnum\faauto\adjustright\rin0\lin0\itap0 \rtlch\fcs1 \af0\afs20\alang1025 \ltrch\fcs0 \fs24\lang2057\langfe2057\cgrid\langnp2057\langfenp2057 {\rtlch\fcs1 \af0 _x000d__x000a_\ltrch\fcs0 \insrsid4815165 \chftnsep _x000d__x000a_\par }}{\*\aftnsepc \ltrpar \pard\plain \ltrpar\ql \li0\ri0\widctlpar\wrapdefault\aspalpha\aspnum\faauto\adjustright\rin0\lin0\itap0 \rtlch\fcs1 \af0\afs20\alang1025 \ltrch\fcs0 \fs24\lang2057\langfe2057\cgrid\langnp2057\langfenp2057 {\rtlch\fcs1 \af0 _x000d__x000a_\ltrch\fcs0 \insrsid481516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9520314\charrsid1408896 {\*\bkmkstart restartB}&lt;AmendB&gt;}{_x000d__x000a_\rtlch\fcs1 \af0 \ltrch\fcs0 \insrsid9520314\charrsid1408896 Amendment\tab \tab }{\rtlch\fcs1 \af0 \ltrch\fcs0 \cs15\b0\v\f1\fs20\cf9\insrsid9520314\charrsid1408896 &lt;NumAmB&gt;}{\rtlch\fcs1 \af0 \ltrch\fcs0 \insrsid9520314\charrsid1408896 #}{\rtlch\fcs1 _x000d__x000a_\af0 \ltrch\fcs0 \cs16\v\cf15\insrsid9520314\charrsid1408896 ENMIENDA@NRAM@}{\rtlch\fcs1 \af0 \ltrch\fcs0 \insrsid9520314\charrsid1408896 #}{\rtlch\fcs1 \af0 \ltrch\fcs0 \cs15\b0\v\f1\fs20\cf9\insrsid9520314\charrsid1408896 &lt;/NumAmB&gt;}{\rtlch\fcs1 \af0 _x000d__x000a_\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lt;RepeatBlock-By&gt;}{\rtlch\fcs1 \af0 \ltrch\fcs0 \insrsid9520314\charrsid1408896 #}{\rtlch\fcs1 \af0 \ltrch\fcs0 \cs16\v\cf15\insrsid9520314\charrsid1408896 &gt;&gt;&gt;@[ZMEMBERSMSG]@}{\rtlch\fcs1 _x000d__x000a_\af0 \ltrch\fcs0 \insrsid9520314\charrsid1408896 #}{\rtlch\fcs1 \af0 \ltrch\fcs0 \cs15\b0\v\f1\fs20\cf9\insrsid9520314\charrsid1408896 &lt;Members&gt;}{\rtlch\fcs1 \af0 \ltrch\fcs0 \cf10\insrsid9520314\charrsid1408896 \u9668\'3f}{\rtlch\fcs1 \af0 \ltrch\fcs0 _x000d__x000a_\insrsid9520314\charrsid1408896 #}{\rtlch\fcs1 \af0 \ltrch\fcs0 \cs16\v\cf15\insrsid9520314\charrsid1408896 TVTMEMBERS@MEMBERS@}{\rtlch\fcs1 \af0 \ltrch\fcs0 \insrsid9520314\charrsid1408896 #}{\rtlch\fcs1 \af0 \ltrch\fcs0 _x000d__x000a_\cf10\insrsid9520314\charrsid1408896 \u9658\'3f}{\rtlch\fcs1 \af0 \ltrch\fcs0 \cs15\b0\v\f1\fs20\cf9\insrsid9520314\charrsid1408896 &lt;/Members&gt;}{\rtlch\fcs1 \af0 \ltrch\fcs0 \insrsid9520314\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9520314\charrsid1408896 &lt;AuNomDe&gt;&lt;OptDel&gt;}{\rtlch\fcs1 \af0 \ltrch\fcs0 \insrsid9520314\charrsid1408896 #}{\rtlch\fcs1 \af0 \ltrch\fcs0 \cs16\v\cf15\insrsid9520314\charrsid1408896 MNU[ONBEHALFYES][NOTAPP]@CHOICE@}{\rtlch\fcs1 _x000d__x000a_\af0 \ltrch\fcs0 \insrsid9520314\charrsid1408896 #}{\rtlch\fcs1 \af0 \ltrch\fcs0 \cs15\v\f1\fs20\cf9\insrsid9520314\charrsid1408896 &lt;/OptDel&gt;&lt;/AuNomDe&gt;}{\rtlch\fcs1 \af0 \ltrch\fcs0 \insrsid9520314\charrsid1408896 _x000d__x000a_\par &lt;&lt;&lt;}{\rtlch\fcs1 \af0 \ltrch\fcs0 \cs15\v\f1\fs20\cf9\insrsid9520314\charrsid1408896 &lt;/RepeatBlock-By&gt;}{\rtlch\fcs1 \af0 \ltrch\fcs0 \insrsid9520314\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9520314\charrsid1408896 &lt;DocAmend&gt;}{\rtlch\fcs1 \af0 \ltrch\fcs0 \insrsid9520314\charrsid1408896 #}{\rtlch\fcs1 \af0 \ltrch\fcs0 \cs16\v\cf15\insrsid9520314\charrsid1408896 _x000d__x000a_MNU[OPTPROPOSALCOD][OPTPROPOSALCNS][OPTPROPOSALNLE]@CHOICE@CODEMNU}{\rtlch\fcs1 \af0 \ltrch\fcs0 \insrsid9520314\charrsid1408896 #}{\rtlch\fcs1 \af0 \ltrch\fcs0 \cs15\b0\v\f1\fs20\cf9\insrsid9520314\charrsid1408896 &lt;/DocAmend&gt;}{\rtlch\fcs1 \af0 _x000d__x000a_\ltrch\fcs0 \insrsid9520314\charrsid1408896 _x000d__x000a_\par }\pard \ltrpar\s19\ql \li0\ri0\keepn\nowidctlpar\wrapdefault\aspalpha\aspnum\faauto\adjustright\rin0\lin0\itap0\pararsid10630121 {\rtlch\fcs1 \af0 \ltrch\fcs0 \cs15\b0\v\f1\fs20\cf9\insrsid9520314\charrsid1408896 &lt;Article&gt;}{\rtlch\fcs1 \af0 \ltrch\fcs0 _x000d__x000a_\insrsid9520314\charrsid1408896 #}{\rtlch\fcs1 \af0 \ltrch\fcs0 \cs16\v\cf15\insrsid9520314\charrsid1408896 MNU[AMACTPARTYES][AMACTPARTNO]@CHOICE@AMACTMNU}{\rtlch\fcs1 \af0 \ltrch\fcs0 \insrsid9520314\charrsid1408896 #}{\rtlch\fcs1 \af0 \ltrch\fcs0 _x000d__x000a_\cs15\b0\v\f1\fs20\cf9\insrsid9520314\charrsid1408896 &lt;/Article&gt;}{\rtlch\fcs1 \af0 \ltrch\fcs0 \insrsid9520314\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9520314\charrsid1408896 &lt;DocAmend2&gt;&lt;OptDel&gt;}{\rtlch\fcs1 \af0 \ltrch\fcs0 \insrsid9520314\charrsid1408896 #}{\rtlch\fcs1 \af0 \ltrch\fcs0 \cs16\v\cf15\insrsid9520314\charrsid1408896 _x000d__x000a_MNU[OPTNRACTYES][NOTAPP]@CHOICE@AMACTMNU}{\rtlch\fcs1 \af0 \ltrch\fcs0 \insrsid9520314\charrsid1408896 #}{\rtlch\fcs1 \af0 \ltrch\fcs0 \cs15\v\f1\fs20\cf9\insrsid9520314\charrsid1408896 &lt;/OptDel&gt;&lt;/DocAmend2&gt;}{\rtlch\fcs1 \af0 \ltrch\fcs0 _x000d__x000a_\insrsid9520314\charrsid1408896 _x000d__x000a_\par }\pard \ltrpar\ql \li0\ri0\widctlpar\wrapdefault\aspalpha\aspnum\faauto\adjustright\rin0\lin0\itap0\pararsid10158853 {\rtlch\fcs1 \af0 \ltrch\fcs0 \cs15\v\f1\fs20\cf9\insrsid9520314\charrsid1408896 &lt;Article2&gt;&lt;OptDel&gt;}{\rtlch\fcs1 \af0 \ltrch\fcs0 _x000d__x000a_\insrsid9520314\charrsid1408896 #}{\rtlch\fcs1 \af0 \ltrch\fcs0 \cs16\v\cf15\insrsid9520314\charrsid1408896 MNU[OPTACTPARTYES][NOTAPP]@CHOICE@AMACTMNU}{\rtlch\fcs1 \af0 \ltrch\fcs0 \insrsid9520314\charrsid1408896 #}{\rtlch\fcs1 \af0 \ltrch\fcs0 _x000d__x000a_\cs15\v\f1\fs20\cf9\insrsid9520314\charrsid1408896 &lt;/OptDel&gt;&lt;/Article2&gt;}{\rtlch\fcs1 \af0 \ltrch\fcs0 \insrsid9520314\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9520314\charrsid1408896 \cell _x000d__x000a_}\pard \ltrpar\ql \li0\ri0\widctlpar\intbl\wrapdefault\aspalpha\aspnum\faauto\adjustright\rin0\lin0 {\rtlch\fcs1 \af0 \ltrch\fcs0 \insrsid9520314\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9520314\charrsid1408896 #}{\rtlch\fcs1 \af0 \ltrch\fcs0 \cs16\v\cf15\insrsid9520314\charrsid1408896 MNU[OPTLEFTAMACT][LEFTPROP]@CHOICE@AMACTMNU}{\rtlch\fcs1 \af0 \ltrch\fcs0 \insrsid9520314\charrsid1408896 #\cell _x000d__x000a_Amendment\cell }\pard\plain \ltrpar\ql \li0\ri0\widctlpar\intbl\wrapdefault\aspalpha\aspnum\faauto\adjustright\rin0\lin0 \rtlch\fcs1 \af0\afs20\alang1025 \ltrch\fcs0 \fs24\lang2057\langfe2057\cgrid\langnp2057\langfenp2057 {\rtlch\fcs1 \af0 \ltrch\fcs0 _x000d__x000a_\insrsid9520314\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9520314\charrsid1408896 ##\cell ##}{\rtlch\fcs1 \af0\afs24 \ltrch\fcs0 \insrsid9520314\charrsid1408896 \cell }\pard\plain \ltrpar\ql \li0\ri0\widctlpar\intbl\wrapdefault\aspalpha\aspnum\faauto\adjustright\rin0\lin0 \rtlch\fcs1 _x000d__x000a_\af0\afs20\alang1025 \ltrch\fcs0 \fs24\lang2057\langfe2057\cgrid\langnp2057\langfenp2057 {\rtlch\fcs1 \af0 \ltrch\fcs0 \insrsid9520314\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9520314\charrsid1408896 Or. }{\rtlch\fcs1 \af0 \ltrch\fcs0 \cs15\v\f1\fs20\cf9\noproof0\insrsid9520314\charrsid1408896 &lt;Original&gt;}{\rtlch\fcs1 \af0 \ltrch\fcs0 \noproof0\insrsid9520314\charrsid1408896 #}{\rtlch\fcs1 \af0 _x000d__x000a_\ltrch\fcs0 \cs16\v\cf15\noproof0\insrsid9520314\charrsid1408896 KEY(MAIN/LANGMIN)sh@ORLANGMSG@}{\rtlch\fcs1 \af0 \ltrch\fcs0 \noproof0\insrsid9520314\charrsid1408896 #}{\rtlch\fcs1 \af0 \ltrch\fcs0 _x000d__x000a_\cs15\v\f1\fs20\cf9\noproof0\insrsid9520314\charrsid1408896 &lt;/Original&gt;}{\rtlch\fcs1 \af0 \ltrch\fcs0 \noproof0\insrsid9520314\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9520314\charrsid1408896 &lt;OptDel&gt;}{\rtlch\fcs1 \af0 \ltrch\fcs0 \insrsid9520314\charrsid1408896 #}{\rtlch\fcs1 \af0 \ltrch\fcs0 \cs16\v\cf15\insrsid9520314\charrsid1408896 MNU[CROSSREFNO][CROSSREFYES]@CHOICE@}_x000d__x000a_{\rtlch\fcs1 \af0 \ltrch\fcs0 \insrsid9520314\charrsid1408896 #}{\rtlch\fcs1 \af0 \ltrch\fcs0 \cs15\i0\v\f1\fs20\cf9\insrsid9520314\charrsid1408896 &lt;/OptDel&gt;}{\rtlch\fcs1 \af0 \ltrch\fcs0 \insrsid9520314\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9520314\charrsid1408896 &lt;TitreJust&gt;}{\rtlch\fcs1 \af0 \ltrch\fcs0 \noproof0\insrsid9520314\charrsid1408896 Justification_x000d__x000a_}{\rtlch\fcs1 \af0 \ltrch\fcs0 \cs15\i0\v\f1\fs20\cf9\noproof0\insrsid9520314\charrsid1408896 &lt;/TitreJust&gt;}{\rtlch\fcs1 \af0 \ltrch\fcs0 \noproof0\insrsid9520314\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9520314\charrsid1408896 &lt;OptDelPrev&gt;}{\rtlch\fcs1 \af0 \ltrch\fcs0 \noproof0\insrsid9520314\charrsid1408896 #}{\rtlch\fcs1 \af0 \ltrch\fcs0 _x000d__x000a_\cs16\v\cf15\noproof0\insrsid9520314\charrsid1408896 MNU[TEXTJUSTYES][TEXTJUSTNO]@CHOICE@}{\rtlch\fcs1 \af0 \ltrch\fcs0 \noproof0\insrsid9520314\charrsid1408896 #}{\rtlch\fcs1 \af0 \ltrch\fcs0 _x000d__x000a_\cs15\i0\v\f1\fs20\cf9\noproof0\insrsid9520314\charrsid1408896 &lt;/OptDelPrev&gt;}{\rtlch\fcs1 \af0 \ltrch\fcs0 \noproof0\insrsid9520314\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9520314\charrsid1408896 &lt;/AmendB&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b004_x000d__x000a_5a4e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RepeatBlock-AmendexBEN" w:val="{\rtf1\adeflang1025\ansi\ansicpg1252\uc1\adeff0\deff0\stshfdbch0\stshfloch0\stshfhich0\stshfbi0\deflang2057\deflangfe2057\themelang2057\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swiss\fcharset0\fprq2{\*\panose 020f0302020204030204}Calibri Light;}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309\fbidi \froman\fcharset238\fprq2 Times New Roman CE;}{\f310\fbidi \froman\fcharset204\fprq2 Times New Roman Cyr;}_x000d__x000a_{\f312\fbidi \froman\fcharset161\fprq2 Times New Roman Greek;}{\f313\fbidi \froman\fcharset162\fprq2 Times New Roman Tur;}{\f314\fbidi \froman\fcharset177\fprq2 Times New Roman (Hebrew);}{\f315\fbidi \froman\fcharset178\fprq2 Times New Roman (Arabic);}_x000d__x000a_{\f316\fbidi \froman\fcharset186\fprq2 Times New Roman Baltic;}{\f317\fbidi \froman\fcharset163\fprq2 Times New Roman (Vietnamese);}{\f319\fbidi \fswiss\fcharset238\fprq2 Arial CE;}{\f320\fbidi \fswiss\fcharset204\fprq2 Arial Cyr;}_x000d__x000a_{\f322\fbidi \fswiss\fcharset161\fprq2 Arial Greek;}{\f323\fbidi \fswiss\fcharset162\fprq2 Arial Tur;}{\f324\fbidi \fswiss\fcharset177\fprq2 Arial (Hebrew);}{\f325\fbidi \fswiss\fcharset178\fprq2 Arial (Arabic);}_x000d__x000a_{\f326\fbidi \fswiss\fcharset186\fprq2 Arial Baltic;}{\f327\fbidi \fswiss\fcharset163\fprq2 Arial (Vietnamese);}{\f649\fbidi \froman\fcharset238\fprq2 Cambria Math CE;}{\f650\fbidi \froman\fcharset204\fprq2 Cambria Math Cyr;}_x000d__x000a_{\f652\fbidi \froman\fcharset161\fprq2 Cambria Math Greek;}{\f653\fbidi \froman\fcharset162\fprq2 Cambria Math Tur;}{\f656\fbidi \froman\fcharset186\fprq2 Cambria Math Baltic;}{\f657\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swiss\fcharset238\fprq2 Calibri Light CE;}{\fhimajor\f31529\fbidi \fswiss\fcharset204\fprq2 Calibri Light Cyr;}_x000d__x000a_{\fhimajor\f31531\fbidi \fswiss\fcharset161\fprq2 Calibri Light Greek;}{\fhimajor\f31532\fbidi \fswiss\fcharset162\fprq2 Calibri Light Tur;}{\fhimajor\f31535\fbidi \fswiss\fcharset186\fprq2 Calibri Light Baltic;}_x000d__x000a_{\fhimajor\f31536\fbidi \fswiss\fcharset163\fprq2 Calibri Light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2057\langfe2057\cgrid\langnp2057\langfenp2057 \snext11 \ssemihidden \spriority0 Normal Table;}{\*\cs15 \additive _x000d__x000a_\v\f1\fs20\cf9\lang1024\langfe1024\noproof \spriority0 \styrsid14633222 HideTWBExt;}{\*\cs16 \additive \v\cf15 \spriority0 \styrsid14633222 HideTWBInt;}{\s17\ql \li0\ri0\sa120\nowidctlpar\wrapdefault\aspalpha\aspnum\faauto\adjustright\rin0\lin0\itap0 _x000d__x000a_\rtlch\fcs1 \af0\afs20\alang1025 \ltrch\fcs0 \fs24\lang2057\langfe2057\cgrid\langnp2057\langfenp2057 \sbasedon0 \snext17 \slink18 \spriority0 \styrsid14633222 Normal6;}{\*\cs18 \additive \fs24 \slink17 \slocked \spriority0 \styrsid14633222 Normal6 Char;}{_x000d__x000a_\s19\ql \li0\ri0\nowidctlpar\wrapdefault\aspalpha\aspnum\faauto\adjustright\rin0\lin0\itap0 \rtlch\fcs1 \af0\afs20\alang1025 \ltrch\fcs0 \b\fs24\lang2057\langfe2057\cgrid\langnp2057\langfenp2057 \sbasedon0 \snext19 \slink20 \spriority0 \styrsid14633222 _x000d__x000a_NormalBold;}{\*\cs20 \additive \b\fs24 \slink19 \slocked \spriority0 \styrsid14633222 NormalBold Char;}{\s21\ql \li0\ri0\sa240\nowidctlpar\wrapdefault\aspalpha\aspnum\faauto\adjustright\rin0\lin0\itap0 \rtlch\fcs1 \af0\afs20\alang1025 \ltrch\fcs0 _x000d__x000a_\i\fs24\lang1024\langfe1024\cgrid\noproof\langnp2057\langfenp2057 \sbasedon0 \snext21 \spriority0 \styrsid14633222 Normal12Italic;}{\s22\qc \li0\ri0\sb240\nowidctlpar\wrapdefault\aspalpha\aspnum\faauto\adjustright\rin0\lin0\itap0 \rtlch\fcs1 _x000d__x000a_\af0\afs20\alang1025 \ltrch\fcs0 \i\fs24\lang2057\langfe2057\cgrid\langnp2057\langfenp2057 \sbasedon0 \snext22 \spriority0 \styrsid14633222 CrossRef;}{_x000d__x000a_\s23\qc \li0\ri0\sb240\sa240\keepn\nowidctlpar\wrapdefault\aspalpha\aspnum\faauto\adjustright\rin0\lin0\itap0 \rtlch\fcs1 \af0\afs20\alang1025 \ltrch\fcs0 \i\fs24\lang1024\langfe1024\cgrid\noproof\langnp2057\langfenp2057 _x000d__x000a_\sbasedon0 \snext0 \spriority0 \styrsid14633222 JustificationTitle;}{\s24\qr \li0\ri0\sb240\sa240\nowidctlpar\wrapdefault\aspalpha\aspnum\faauto\adjustright\rin0\lin0\itap0 \rtlch\fcs1 \af0\afs20\alang1025 \ltrch\fcs0 _x000d__x000a_\fs24\lang1024\langfe1024\cgrid\noproof\langnp2057\langfenp2057 \sbasedon0 \snext24 \spriority0 \styrsid14633222 Olang;}{\s25\qc \li0\ri0\sa240\nowidctlpar\wrapdefault\aspalpha\aspnum\faauto\adjustright\rin0\lin0\itap0 \rtlch\fcs1 \af0\afs20\alang1025 _x000d__x000a_\ltrch\fcs0 \i\fs24\lang2057\langfe2057\cgrid\langnp2057\langfenp2057 \sbasedon0 \snext25 \spriority0 \styrsid14633222 ColumnHeading;}{\s26\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6 \spriority0 \styrsid14633222 AMNumberTabs;}}{\*\rsidtbl \rsid24658\rsid735077\rsid2892074\rsid4666813\rsid6641733\rsid7229545\rsid9636012\rsid11215221\rsid12154954_x000d__x000a_\rsid14424199\rsid14633222\rsid15204470\rsid15285974\rsid15950462\rsid16324206\rsid16662270}{\mmathPr\mmathFont34\mbrkBin0\mbrkBinSub0\msmallFrac0\mdispDef1\mlMargin0\mrMargin0\mdefJc1\mwrapIndent1440\mintLim0\mnaryLim1}{\info_x000d__x000a_{\author STOIAN Andreea Alina}{\operator STOIAN Andreea Alina}{\creatim\yr2018\mo5\dy24\hr12\min55}{\revtim\yr2018\mo5\dy24\hr12\min55}{\version1}{\edmins0}{\nofpages1}{\nofwords70}{\nofchars765}{\*\company European Parliament}{\nofcharsws766}_x000d__x000a_{\vern57445}}{\*\xmlnstbl {\xmlns1 http://schemas.mi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100\pgbrdrhead\pgbrdrfoot\nolnhtadjtbl\nojkernpunct\rsidroot14633222\utinl \fet0{\*\wgrffmtfilter 013f}\ilfomacatclnup0{\*\template C:\\Users\\anstoian\\AppData\\Local\\Temp\\Blank1.dot}{\*\ftnsep \ltrpar \pard\plain \ltrpar_x000d__x000a_\ql \li0\ri0\widctlpar\wrapdefault\aspalpha\aspnum\faauto\adjustright\rin0\lin0\itap0 \rtlch\fcs1 \af0\afs20\alang1025 \ltrch\fcs0 \fs24\lang2057\langfe2057\cgrid\langnp2057\langfenp2057 {\rtlch\fcs1 \af0 \ltrch\fcs0 \insrsid7229545 \chftnsep _x000d__x000a_\par }}{\*\ftnsepc \ltrpar \pard\plain \ltrpar\ql \li0\ri0\widctlpar\wrapdefault\aspalpha\aspnum\faauto\adjustright\rin0\lin0\itap0 \rtlch\fcs1 \af0\afs20\alang1025 \ltrch\fcs0 \fs24\lang2057\langfe2057\cgrid\langnp2057\langfenp2057 {\rtlch\fcs1 \af0 _x000d__x000a_\ltrch\fcs0 \insrsid7229545 \chftnsepc _x000d__x000a_\par }}{\*\aftnsep \ltrpar \pard\plain \ltrpar\ql \li0\ri0\widctlpar\wrapdefault\aspalpha\aspnum\faauto\adjustright\rin0\lin0\itap0 \rtlch\fcs1 \af0\afs20\alang1025 \ltrch\fcs0 \fs24\lang2057\langfe2057\cgrid\langnp2057\langfenp2057 {\rtlch\fcs1 \af0 _x000d__x000a_\ltrch\fcs0 \insrsid7229545 \chftnsep _x000d__x000a_\par }}{\*\aftnsepc \ltrpar \pard\plain \ltrpar\ql \li0\ri0\widctlpar\wrapdefault\aspalpha\aspnum\faauto\adjustright\rin0\lin0\itap0 \rtlch\fcs1 \af0\afs20\alang1025 \ltrch\fcs0 \fs24\lang2057\langfe2057\cgrid\langnp2057\langfenp2057 {\rtlch\fcs1 \af0 _x000d__x000a_\ltrch\fcs0 \insrsid7229545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6\ql \li0\ri0\sb240\keepn\nowidctlpar\tx879\tx936\tx1021\tx1077\tx1134\tx1191\tx1247\tx1304\tx1361\tx1418\tx1474\tx1531\tx1588\tx1644\tx1701\tx1758\tx1814\tx1871\tx2070\tx2126\tx3374\tx3430\wrapdefault\aspalpha\aspnum\faauto\adjustright\rin0_x000d__x000a_\lin0\itap0\pararsid8590535 \rtlch\fcs1 \af0\afs20\alang1025 \ltrch\fcs0 \b\fs24\lang2057\langfe2057\cgrid\langnp2057\langfenp2057 {\rtlch\fcs1 \af0 \ltrch\fcs0 \cs15\b0\v\f1\fs20\cf9\insrsid14633222\charrsid1408896 {\*\bkmkstart restart}&lt;}{\rtlch\fcs1 _x000d__x000a_\af0 \ltrch\fcs0 \cs15\b0\v\f1\fs20\cf9\insrsid14633222 Amend}{\rtlch\fcs1 \af0 \ltrch\fcs0 \cs15\b0\v\f1\fs20\cf9\insrsid14633222\charrsid1408896 &gt;}{\rtlch\fcs1 \af0 \ltrch\fcs0 \insrsid14633222\charrsid1408896 Amendment\tab \tab }{\rtlch\fcs1 \af0 _x000d__x000a_\ltrch\fcs0 \cs15\b0\v\f1\fs20\cf9\insrsid14633222\charrsid1408896 &lt;}{\rtlch\fcs1 \af0 \ltrch\fcs0 \cs15\b0\v\f1\fs20\cf9\insrsid14633222 NumAm&gt;}{\rtlch\fcs1 \af0 \ltrch\fcs0 \insrsid14633222\charrsid1408896 #}{\rtlch\fcs1 \af0 \ltrch\fcs0 _x000d__x000a_\cs16\v\cf15\insrsid14633222\charrsid1408896 ENMIENDA@NRAM@}{\rtlch\fcs1 \af0 \ltrch\fcs0 \insrsid14633222\charrsid1408896 #}{\rtlch\fcs1 \af0 \ltrch\fcs0 \cs15\b0\v\f1\fs20\cf9\insrsid14633222\charrsid1408896 &lt;/}{\rtlch\fcs1 \af0 \ltrch\fcs0 _x000d__x000a_\cs15\b0\v\f1\fs20\cf9\insrsid14633222 NumAm&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lt;RepeatBlock-By&gt;}{\rtlch\fcs1 \af0 \ltrch\fcs0 \insrsid14633222\charrsid1408896 #}{\rtlch\fcs1 \af0 \ltrch\fcs0 \cs16\v\cf15\insrsid14633222\charrsid1408896 &gt;&gt;&gt;@[ZMEMBERSMSG]@}{_x000d__x000a_\rtlch\fcs1 \af0 \ltrch\fcs0 \insrsid14633222\charrsid1408896 #}{\rtlch\fcs1 \af0 \ltrch\fcs0 \cs15\b0\v\f1\fs20\cf9\insrsid14633222\charrsid1408896 &lt;Members&gt;}{\rtlch\fcs1 \af0 \ltrch\fcs0 \cf10\insrsid14633222\charrsid8590535 \u9668\'3f}{\rtlch\fcs1 _x000d__x000a_\af0 \ltrch\fcs0 \insrsid14633222\charrsid1408896 #}{\rtlch\fcs1 \af0 \ltrch\fcs0 \cs16\v\cf15\insrsid14633222\charrsid1408896 TVTMEMBERS@MEMBERS@}{\rtlch\fcs1 \af0 \ltrch\fcs0 \insrsid14633222\charrsid1408896 #}{\rtlch\fcs1 \af0 \ltrch\fcs0 _x000d__x000a_\cf10\insrsid14633222\charrsid8590535 \u9658\'3f}{\rtlch\fcs1 \af0 \ltrch\fcs0 \cs15\b0\v\f1\fs20\cf9\insrsid14633222\charrsid1408896 &lt;/Members&gt;}{\rtlch\fcs1 \af0 \ltrch\fcs0 \insrsid14633222\charrsid1408896 _x000d__x000a_\par }\pard\plain \ltrpar\ql \li0\ri0\widctlpar\wrapdefault\aspalpha\aspnum\faauto\adjustright\rin0\lin0\itap0\pararsid5976803 \rtlch\fcs1 \af0\afs20\alang1025 \ltrch\fcs0 \fs24\lang2057\langfe2057\cgrid\langnp2057\langfenp2057 {\rtlch\fcs1 \af0 \ltrch\fcs0 _x000d__x000a_\cs15\v\f1\fs20\cf9\insrsid14633222\charrsid1408896 &lt;AuNomDe&gt;&lt;OptDel&gt;}{\rtlch\fcs1 \af0 \ltrch\fcs0 \insrsid14633222\charrsid1408896 #}{\rtlch\fcs1 \af0 \ltrch\fcs0 \cs16\v\cf15\insrsid14633222\charrsid1408896 MNU[ONBEHALFYES][NOTAPP]@CHOICE@}{_x000d__x000a_\rtlch\fcs1 \af0 \ltrch\fcs0 \insrsid14633222\charrsid1408896 #}{\rtlch\fcs1 \af0 \ltrch\fcs0 \cs15\v\f1\fs20\cf9\insrsid14633222\charrsid1408896 &lt;/OptDel&gt;&lt;/AuNomDe&gt;}{\rtlch\fcs1 \af0 \ltrch\fcs0 \insrsid14633222\charrsid1408896 _x000d__x000a_\par &lt;&lt;&lt;}{\rtlch\fcs1 \af0 \ltrch\fcs0 \cs15\v\f1\fs20\cf9\insrsid14633222\charrsid1408896 &lt;/RepeatBlock-By&gt;}{\rtlch\fcs1 \af0 \ltrch\fcs0 \insrsid14633222\charrsid1408896 _x000d__x000a_\par }\pard\plain \ltrpar\s19\ql \li0\ri0\nowidctlpar\wrapdefault\aspalpha\aspnum\faauto\adjustright\rin0\lin0\itap0\pararsid5976803 \rtlch\fcs1 \af0\afs20\alang1025 \ltrch\fcs0 \b\fs24\lang2057\langfe2057\cgrid\langnp2057\langfenp2057 {\rtlch\fcs1 \af0 _x000d__x000a_\ltrch\fcs0 \cs15\b0\v\f1\fs20\cf9\insrsid14633222\charrsid1408896 &lt;DocAmend&gt;}{\rtlch\fcs1 \af0 \ltrch\fcs0 \insrsid14633222\charrsid1408896 #}{\rtlch\fcs1 \af0 \ltrch\fcs0 \cs16\v\cf15\insrsid14633222\charrsid1408896 _x000d__x000a_MNU[OPTPROPOSALCOD][OPTPROPOSALCNS][OPTPROPOSALNLE]@CHOICE@CODEMNU}{\rtlch\fcs1 \af0 \ltrch\fcs0 \insrsid14633222\charrsid1408896 #}{\rtlch\fcs1 \af0 \ltrch\fcs0 \cs15\b0\v\f1\fs20\cf9\insrsid14633222\charrsid1408896 &lt;/DocAmend&gt;}{\rtlch\fcs1 \af0 _x000d__x000a_\ltrch\fcs0 \insrsid14633222\charrsid1408896 _x000d__x000a_\par }\pard \ltrpar\s19\ql \li0\ri0\keepn\nowidctlpar\wrapdefault\aspalpha\aspnum\faauto\adjustright\rin0\lin0\itap0\pararsid10630121 {\rtlch\fcs1 \af0 \ltrch\fcs0 \cs15\b0\v\f1\fs20\cf9\insrsid14633222\charrsid1408896 &lt;Article&gt;}{\rtlch\fcs1 \af0 \ltrch\fcs0 _x000d__x000a_\insrsid14633222\charrsid1408896 #}{\rtlch\fcs1 \af0 \ltrch\fcs0 \cs16\v\cf15\insrsid14633222\charrsid1408896 MNU[AMACTPARTYES][AMACTPARTNO]@CHOICE@AMACTMNU}{\rtlch\fcs1 \af0 \ltrch\fcs0 \insrsid14633222\charrsid1408896 #}{\rtlch\fcs1 \af0 \ltrch\fcs0 _x000d__x000a_\cs15\b0\v\f1\fs20\cf9\insrsid14633222\charrsid1408896 &lt;/Article&gt;}{\rtlch\fcs1 \af0 \ltrch\fcs0 \insrsid14633222\charrsid1408896 _x000d__x000a_\par }\pard\plain \ltrpar\ql \li0\ri0\keepn\widctlpar\wrapdefault\aspalpha\aspnum\faauto\adjustright\rin0\lin0\itap0\pararsid3744759 \rtlch\fcs1 \af0\afs20\alang1025 \ltrch\fcs0 \fs24\lang2057\langfe2057\cgrid\langnp2057\langfenp2057 {\rtlch\fcs1 \af0 _x000d__x000a_\ltrch\fcs0 \cs15\v\f1\fs20\cf9\insrsid14633222\charrsid1408896 &lt;DocAmend2&gt;&lt;OptDel&gt;}{\rtlch\fcs1 \af0 \ltrch\fcs0 \insrsid14633222\charrsid1408896 #}{\rtlch\fcs1 \af0 \ltrch\fcs0 \cs16\v\cf15\insrsid14633222\charrsid1408896 _x000d__x000a_MNU[OPTNRACTYES][NOTAPP]@CHOICE@AMACTMNU}{\rtlch\fcs1 \af0 \ltrch\fcs0 \insrsid14633222\charrsid1408896 #}{\rtlch\fcs1 \af0 \ltrch\fcs0 \cs15\v\f1\fs20\cf9\insrsid14633222\charrsid1408896 &lt;/OptDel&gt;&lt;/DocAmend2&gt;}{\rtlch\fcs1 \af0 \ltrch\fcs0 _x000d__x000a_\insrsid14633222\charrsid1408896 _x000d__x000a_\par }\pard \ltrpar\ql \li0\ri0\widctlpar\wrapdefault\aspalpha\aspnum\faauto\adjustright\rin0\lin0\itap0\pararsid10158853 {\rtlch\fcs1 \af0 \ltrch\fcs0 \cs15\v\f1\fs20\cf9\insrsid14633222\charrsid1408896 &lt;Article2&gt;&lt;OptDel&gt;}{\rtlch\fcs1 \af0 \ltrch\fcs0 _x000d__x000a_\insrsid14633222\charrsid1408896 #}{\rtlch\fcs1 \af0 \ltrch\fcs0 \cs16\v\cf15\insrsid14633222\charrsid1408896 MNU[OPTACTPARTYES][NOTAPP]@CHOICE@AMACTMNU}{\rtlch\fcs1 \af0 \ltrch\fcs0 \insrsid14633222\charrsid1408896 #}{\rtlch\fcs1 \af0 \ltrch\fcs0 _x000d__x000a_\cs15\v\f1\fs20\cf9\insrsid14633222\charrsid1408896 &lt;/OptDel&gt;&lt;/Article2&gt;}{\rtlch\fcs1 \af0 \ltrch\fcs0 \insrsid14633222\charrsid1408896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14633222\charrsid1408896 \cell _x000d__x000a_}\pard \ltrpar\ql \li0\ri0\widctlpar\intbl\wrapdefault\aspalpha\aspnum\faauto\adjustright\rin0\lin0 {\rtlch\fcs1 \af0 \ltrch\fcs0 \insrsid14633222\charrsid1408896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5\qc \li0\ri0\sa240\keepn\nowidctlpar\intbl\wrapdefault\aspalpha\aspnum\faauto\adjustright\rin0\lin0\pararsid10630121 \rtlch\fcs1 \af0\afs20\alang1025 \ltrch\fcs0 \i\fs24\lang2057\langfe2057\cgrid\langnp2057\langfenp2057 {_x000d__x000a_\rtlch\fcs1 \af0 \ltrch\fcs0 \insrsid14633222\charrsid1408896 #}{\rtlch\fcs1 \af0 \ltrch\fcs0 \cs16\v\cf15\insrsid14633222\charrsid1408896 MNU[OPTLEFTAMACT][LEFTPROP]@CHOICE@AMACTMNU}{\rtlch\fcs1 \af0 \ltrch\fcs0 \insrsid14633222\charrsid1408896 #\cell _x000d__x000a_Amendment\cell }\pard\plain \ltrpar\ql \li0\ri0\widctlpar\intbl\wrapdefault\aspalpha\aspnum\faauto\adjustright\rin0\lin0 \rtlch\fcs1 \af0\afs20\alang1025 \ltrch\fcs0 \fs24\lang2057\langfe2057\cgrid\langnp2057\langfenp2057 {\rtlch\fcs1 \af0 \ltrch\fcs0 _x000d__x000a_\insrsid14633222\charrsid1408896 \trowd \ltrrow\ts11\trqc\trgaph340\trleft-340\trftsWidth3\trwWidth9752\trftsWidthB3\trftsWidthA3\trpaddl340\trpaddr340\trpaddfl3\trpaddfr3\tblind0\tblindtype3 \clvertalt\clbrdrt\brdrtbl \clbrdrl\brdrtbl \clbrdrb\brdrtbl _x000d__x000a_\clbrdrr\brdrtbl \cltxlrtb\clftsWidth3\clwWidth4876\clshdrawnil \cellx4536\clvertalt\clbrdrt\brdrtbl \clbrdrl\brdrtbl \clbrdrb\brdrtbl \clbrdrr\brdrtbl \cltxlrtb\clftsWidth3\clwWidth4876\clshdrawnil \cellx9412\row \ltrrow}\pard\plain \ltrpar_x000d__x000a_\s17\ql \li0\ri0\sa120\nowidctlpar\intbl\wrapdefault\aspalpha\aspnum\faauto\adjustright\rin0\lin0\pararsid12024389 \rtlch\fcs1 \af0\afs20\alang1025 \ltrch\fcs0 \fs24\lang2057\langfe2057\cgrid\langnp2057\langfenp2057 {\rtlch\fcs1 \af0 \ltrch\fcs0 _x000d__x000a_\insrsid14633222\charrsid1408896 ##\cell ##}{\rtlch\fcs1 \af0\afs24 \ltrch\fcs0 \insrsid14633222\charrsid1408896 \cell }\pard\plain \ltrpar\ql \li0\ri0\widctlpar\intbl\wrapdefault\aspalpha\aspnum\faauto\adjustright\rin0\lin0 \rtlch\fcs1 _x000d__x000a_\af0\afs20\alang1025 \ltrch\fcs0 \fs24\lang2057\langfe2057\cgrid\langnp2057\langfenp2057 {\rtlch\fcs1 \af0 \ltrch\fcs0 \insrsid14633222\charrsid1408896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4\qr \li0\ri0\sb240\sa240\nowidctlpar\wrapdefault\aspalpha\aspnum\faauto\adjustright\rin0\lin0\itap0\pararsid16390444 \rtlch\fcs1 \af0\afs20\alang1025 \ltrch\fcs0 \fs24\lang1024\langfe1024\cgrid\noproof\langnp2057\langfenp2057 {\rtlch\fcs1 \af0 _x000d__x000a_\ltrch\fcs0 \noproof0\insrsid14633222\charrsid1408896 Or. }{\rtlch\fcs1 \af0 \ltrch\fcs0 \cs15\v\f1\fs20\cf9\noproof0\insrsid14633222\charrsid1408896 &lt;Original&gt;}{\rtlch\fcs1 \af0 \ltrch\fcs0 \noproof0\insrsid14633222\charrsid1408896 #}{\rtlch\fcs1 \af0 _x000d__x000a_\ltrch\fcs0 \cs16\v\cf15\noproof0\insrsid14633222\charrsid1408896 KEY(MAIN/LANGMIN)sh@ORLANGMSG@}{\rtlch\fcs1 \af0 \ltrch\fcs0 \noproof0\insrsid14633222\charrsid1408896 #}{\rtlch\fcs1 \af0 \ltrch\fcs0 _x000d__x000a_\cs15\v\f1\fs20\cf9\noproof0\insrsid14633222\charrsid1408896 &lt;/Original&gt;}{\rtlch\fcs1 \af0 \ltrch\fcs0 \noproof0\insrsid14633222\charrsid1408896 _x000d__x000a_\par }\pard\plain \ltrpar\s22\qc \li0\ri0\sb240\nowidctlpar\wrapdefault\aspalpha\aspnum\faauto\adjustright\rin0\lin0\itap0\pararsid10630121 \rtlch\fcs1 \af0\afs20\alang1025 \ltrch\fcs0 \i\fs24\lang2057\langfe2057\cgrid\langnp2057\langfenp2057 {\rtlch\fcs1 _x000d__x000a_\af0 \ltrch\fcs0 \cs15\i0\v\f1\fs20\cf9\insrsid14633222\charrsid1408896 &lt;OptDel&gt;}{\rtlch\fcs1 \af0 \ltrch\fcs0 \insrsid14633222\charrsid1408896 #}{\rtlch\fcs1 \af0 \ltrch\fcs0 \cs16\v\cf15\insrsid14633222\charrsid1408896 _x000d__x000a_MNU[CROSSREFNO][CROSSREFYES]@CHOICE@}{\rtlch\fcs1 \af0 \ltrch\fcs0 \insrsid14633222\charrsid1408896 #}{\rtlch\fcs1 \af0 \ltrch\fcs0 \cs15\i0\v\f1\fs20\cf9\insrsid14633222\charrsid1408896 &lt;/OptDel&gt;}{\rtlch\fcs1 \af0 \ltrch\fcs0 _x000d__x000a_\insrsid14633222\charrsid1408896 _x000d__x000a_\par }\pard\plain \ltrpar\s23\qc \li0\ri0\sb240\sa240\keepn\nowidctlpar\wrapdefault\aspalpha\aspnum\faauto\adjustright\rin0\lin0\itap0\pararsid3744759 \rtlch\fcs1 \af0\afs20\alang1025 \ltrch\fcs0 _x000d__x000a_\i\fs24\lang1024\langfe1024\cgrid\noproof\langnp2057\langfenp2057 {\rtlch\fcs1 \af0 \ltrch\fcs0 \cs15\i0\v\f1\fs20\cf9\noproof0\insrsid14633222\charrsid1408896 &lt;TitreJust&gt;}{\rtlch\fcs1 \af0 \ltrch\fcs0 \noproof0\insrsid14633222\charrsid1408896 _x000d__x000a_Justification}{\rtlch\fcs1 \af0 \ltrch\fcs0 \cs15\i0\v\f1\fs20\cf9\noproof0\insrsid14633222\charrsid1408896 &lt;/TitreJust&gt;}{\rtlch\fcs1 \af0 \ltrch\fcs0 \noproof0\insrsid14633222\charrsid1408896 _x000d__x000a_\par }\pard\plain \ltrpar\s21\ql \li0\ri0\sa240\nowidctlpar\wrapdefault\aspalpha\aspnum\faauto\adjustright\rin0\lin0\itap0\pararsid16390444 \rtlch\fcs1 \af0\afs20\alang1025 \ltrch\fcs0 \i\fs24\lang1024\langfe1024\cgrid\noproof\langnp2057\langfenp2057 {_x000d__x000a_\rtlch\fcs1 \af0 \ltrch\fcs0 \cs15\i0\v\f1\fs20\cf9\noproof0\insrsid14633222\charrsid1408896 &lt;OptDelPrev&gt;}{\rtlch\fcs1 \af0 \ltrch\fcs0 \noproof0\insrsid14633222\charrsid1408896 #}{\rtlch\fcs1 \af0 \ltrch\fcs0 _x000d__x000a_\cs16\v\cf15\noproof0\insrsid14633222\charrsid1408896 MNU[TEXTJUSTYES][TEXTJUSTNO]@CHOICE@}{\rtlch\fcs1 \af0 \ltrch\fcs0 \noproof0\insrsid14633222\charrsid1408896 #}{\rtlch\fcs1 \af0 \ltrch\fcs0 _x000d__x000a_\cs15\i0\v\f1\fs20\cf9\noproof0\insrsid14633222\charrsid1408896 &lt;/OptDelPrev&gt;}{\rtlch\fcs1 \af0 \ltrch\fcs0 \noproof0\insrsid14633222\charrsid1408896 _x000d__x000a_\par }\pard\plain \ltrpar\ql \li0\ri0\widctlpar\wrapdefault\aspalpha\aspnum\faauto\adjustright\rin0\lin0\itap0\pararsid16324206 \rtlch\fcs1 \af0\afs20\alang1025 \ltrch\fcs0 \fs24\lang2057\langfe2057\cgrid\langnp2057\langfenp2057 {\rtlch\fcs1 \af0 \ltrch\fcs0 _x000d__x000a_\cs15\v\f1\fs20\cf9\insrsid14633222\charrsid1408896 &lt;/}{\rtlch\fcs1 \af0 \ltrch\fcs0 \cs15\v\f1\fs20\cf9\insrsid14633222 Amend}{\rtlch\fcs1 \af0 \ltrch\fcs0 \cs15\v\f1\fs20\cf9\insrsid14633222\charrsid1408896 &gt;}{\rtlch\fcs1 \af0 \ltrch\fcs0 _x000d__x000a_\insrsid24658\charrsid16324206 {\*\bkmkend restart}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aa5225dfc60600008b1a0000160000007468656d652f7468656d652f_x000d__x000a_7468656d65312e786d6cec595d8bdb46147d2ff43f08bd3bfe92fcb1c41b6cd9ceb6d94d42eca4e4716c8fadc98e344633de8d0981923c160aa569e943037deb_x000d__x000a_43691b48a02fe9afd936a54d217fa17746b63c638fbb9b2585a5640d8b343af7ce997bafce1d4997afdc8fa87384134e58dc708b970aae83e3211b9178d2706f_x000d__x000a_f7bbb99aeb7081e211a22cc60d778eb97b65f7c30f2ea31d11e2083b601ff31dd4704321a63bf93c1fc230e297d814c7706dcc920809384d26f951828ec16f44_x000d__x000a_f3a542a1928f10895d274611b8bd311e932176fad2a5bbbb74dea1701a0b2e078634e949d7d8b050d8d1615122f89c0734718e106db830cf881df7f17de13a14_x000d__x000a_7101171a6e41fdb9f9ddcb79b4b330a2628bad66d7557f0bbb85c1e8b0a4e64c26836c52cff3bd4a33f3af00546ce23ad54ea553c9fc29001a0e61a52917dda7_x000d__x000a_dfaab7dafe02ab81d2438bef76b55d2e1a78cd7f798373d3973f03af40a97f6f03dfed06104503af4029dedfc07b5eb51478065e81527c65035f2d34db5ed5c0_x000d__x000a_2b5048497cb8812ef89572b05c6d061933ba6785d77daf5b2d2d9caf50500d5975c929c62c16db6a2d42f758d2058004522448ec88f9148fd110aa3840940c12_x000d__x000a_e2ec93490885374531e3305c2815ba8532fc973f4f1da988a01d8c346bc90b98f08d21c9c7e1c3844c45c3fd18bcba1ae4cdcb1fdfbc7cee9c3c7a71f2e89793_x000d__x000a_c78f4f1efd9c3a32acf6503cd1ad5e7fffc5df4f3f75fe7afeddeb275fd9f15cc7fffed367bffdfaa51d082b5d85e0d5d7cffe78f1ecd5379ffff9c3130bbc99_x000d__x000a_a0810eef930873e73a3e766eb10816a6426032c783e4ed2cfa2122ba45339e701423398bc57f478406fafa1c5164c1b5b019c13b09488c0d787576cf20dc0b93_x000d__x000a_9920168fd7c2c8001e30465b2cb146e19a9c4b0b737f164fec9327331d770ba123dbdc018a8dfc766653d05662731984d8a07993a258a0098eb170e4357688b1_x000d__x000a_6575770931e27a408609e36c2c9cbbc46921620d499f0c8c6a5a19ed9108f232b711847c1bb139b8e3b418b5adba8d8f4c24dc15885ac8f73135c27815cd048a_x000d__x000a_6c2efb28a27ac0f791086d247bf364a8e33a5c40a6279832a733c29cdb6c6e24b05e2de9d7405eec693fa0f3c84426821cda7cee23c674649b1d06218aa6366c_x000d__x000a_8fc4a18efd881f428922e7261336f80133ef10790e7940f1d674df21d848f7e96a701b9455a7b42a107965965872791533a37e7b733a4658490d08bfa1e71189_x000d__x000a_4f15f73559f7ff5b5907217df5ed53cbaa2eaaa0371362bda3f6d6647c1b6e5dbc03968cc8c5d7ee369ac53731dc2e9b0decbd74bf976ef77f2fdddbeee7772f_x000d__x000a_d82b8d06f9965bc574abae36eed1d67dfb9850da13738af7b9daba73e84ca32e0c4a3bf5cc8ab3e7b8690887f24e86090cdc2441cac64998f88488b017a229ec_x000d__x000a_ef8bae7432e10bd713ee4c19876dbf1ab6fa96783a8b0ed8287d5c2d16e5a3692a1e1c89d578c1cfc6e15143a4e84a75f50896b9576c27ea51794940dabe0d09_x000d__x000a_6d329344d942a2ba1c9441520fe610340b09b5b277c2a26e615193ee97a9da6001d4b2acc0d6c9810d57c3f53d30012378a242148f649ed2542fb3ab92f92e33_x000d__x000a_bd2d984605c03e625901ab4cd725d7adcb93ab4b4bed0c99364868e566925091513d8c87688417d52947cf42e36d735d5fa5d4a02743a1e683d25ad1a8d6fe8d_x000d__x000a_c579730d76ebda40635d2968ec1c37dc4ad9879219a269c31dc3633f1c4653a81d2eb7bc884ee0ddd95024e90d7f1e6599265cb4110fd3802bd149d520220227_x000d__x000a_0e2551c395cbcfd24063a5218a5bb104827061c9d541562e1a3948ba99643c1ee3a1d0d3ae8dc848a7a7a0f0a95658af2af3f383a5259b41ba7be1e8d819d059_x000d__x000a_720b4189f9d5a20ce0887078fb534ca33922f03a3313b255fdad35a685eceaef13550da5e3884e43b4e828ba98a77025e5191d7596c5403b5bac1902aa8564d1_x000d__x000a_080713d960f5a01add34eb1a2987ad5df7742319394d34573dd35015d935ed2a66ccb06c036bb13c5f93d7582d430c9aa677f854bad725b7bed4bab57d42d625_x000d__x000a_20e059fc2c5df70c0d41a3b69acca026196fcab0d4ecc5a8d93b960b3c85da599a84a6fa95a5dbb5b8653dc23a1d0c9eabf383dd7ad5c2d078b9af549156df3d_x000d__x000a_f44f136c700fc4a30d2f81675470954af8f09020d810f5d49e24950db845ee8bc5ad0147ce2c210df741c16f7a41c90f72859adfc97965af90abf9cd72aee9fb_x000d__x000a_e562c72f16daadd243682c228c8a7efacda50bafa2e87cf1e5458d6f7c7d89966fdb2e0d599467eaeb4a5e11575f5f8aa5ed5f5f1c02a2f3a052ead6cbf55625_x000d__x000a_572f37bb39afddaae5ea41a5956b57826abbdb0efc5abdfbd0758e14d86b9603afd2a9e52ac520c8799582a45fabe7aa5ea9d4f4aacd5ac76b3e5c6c6360e5a9_x000d__x000a_7c2c6201e155bc76ff010000ffff0300504b0304140006000800000021000dd1909fb60000001b010000270000007468656d652f7468656d652f5f72656c732f_x000d__x000a_7468656d654d616e616765722e786d6c2e72656c73848f4d0ac2301484f78277086f6fd3ba109126dd88d0add40384e4350d363f2451eced0dae2c082e8761be_x000d__x000a_9969bb979dc9136332de3168aa1a083ae995719ac16db8ec8e4052164e89d93b64b060828e6f37ed1567914b284d262452282e3198720e274a939cd08a54f980_x000d__x000a_ae38a38f56e422a3a641c8bbd048f7757da0f19b017cc524bd62107bd5001996509affb3fd381a89672f1f165dfe514173d9850528a2c6cce0239baa4c04ca5b_x000d__x000a_babac4df000000ffff0300504b01022d0014000600080000002100e9de0fbfff0000001c0200001300000000000000000000000000000000005b436f6e74656e_x000d__x000a_745f54797065735d2e786d6c504b01022d0014000600080000002100a5d6a7e7c0000000360100000b00000000000000000000000000300100005f72656c732f_x000d__x000a_2e72656c73504b01022d00140006000800000021006b799616830000008a0000001c00000000000000000000000000190200007468656d652f7468656d652f74_x000d__x000a_68656d654d616e616765722e786d6c504b01022d0014000600080000002100aa5225dfc60600008b1a00001600000000000000000000000000d6020000746865_x000d__x000a_6d652f7468656d652f7468656d65312e786d6c504b01022d00140006000800000021000dd1909fb60000001b0100002700000000000000000000000000d00900007468656d652f7468656d652f5f72656c732f7468656d654d616e616765722e786d6c2e72656c73504b050600000000050005005d010000cb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371\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lsdpriority41 \lsdlocked0 Plain Table 1;\lsdpriority42 \lsdlocked0 Plain Table 2;\lsdpriority43 \lsdlocked0 Plain Table 3;\lsdpriority44 \lsdlocked0 Plain Table 4;_x000d__x000a_\lsdpriority45 \lsdlocked0 Plain Table 5;\lsdpriority40 \lsdlocked0 Grid Table Light;\lsdpriority46 \lsdlocked0 Grid Table 1 Light;\lsdpriority47 \lsdlocked0 Grid Table 2;\lsdpriority48 \lsdlocked0 Grid Table 3;\lsdpriority49 \lsdlocked0 Grid Table 4;_x000d__x000a_\lsdpriority50 \lsdlocked0 Grid Table 5 Dark;\lsdpriority51 \lsdlocked0 Grid Table 6 Colorful;\lsdpriority52 \lsdlocked0 Grid Table 7 Colorful;\lsdpriority46 \lsdlocked0 Grid Table 1 Light Accent 1;\lsdpriority47 \lsdlocked0 Grid Table 2 Accent 1;_x000d__x000a_\lsdpriority48 \lsdlocked0 Grid Table 3 Accent 1;\lsdpriority49 \lsdlocked0 Grid Table 4 Accent 1;\lsdpriority50 \lsdlocked0 Grid Table 5 Dark Accent 1;\lsdpriority51 \lsdlocked0 Grid Table 6 Colorful Accent 1;_x000d__x000a_\lsdpriority52 \lsdlocked0 Grid Table 7 Colorful Accent 1;\lsdpriority46 \lsdlocked0 Grid Table 1 Light Accent 2;\lsdpriority47 \lsdlocked0 Grid Table 2 Accent 2;\lsdpriority48 \lsdlocked0 Grid Table 3 Accent 2;_x000d__x000a_\lsdpriority49 \lsdlocked0 Grid Table 4 Accent 2;\lsdpriority50 \lsdlocked0 Grid Table 5 Dark Accent 2;\lsdpriority51 \lsdlocked0 Grid Table 6 Colorful Accent 2;\lsdpriority52 \lsdlocked0 Grid Table 7 Colorful Accent 2;_x000d__x000a_\lsdpriority46 \lsdlocked0 Grid Table 1 Light Accent 3;\lsdpriority47 \lsdlocked0 Grid Table 2 Accent 3;\lsdpriority48 \lsdlocked0 Grid Table 3 Accent 3;\lsdpriority49 \lsdlocked0 Grid Table 4 Accent 3;_x000d__x000a_\lsdpriority50 \lsdlocked0 Grid Table 5 Dark Accent 3;\lsdpriority51 \lsdlocked0 Grid Table 6 Colorful Accent 3;\lsdpriority52 \lsdlocked0 Grid Table 7 Colorful Accent 3;\lsdpriority46 \lsdlocked0 Grid Table 1 Light Accent 4;_x000d__x000a_\lsdpriority47 \lsdlocked0 Grid Table 2 Accent 4;\lsdpriority48 \lsdlocked0 Grid Table 3 Accent 4;\lsdpriority49 \lsdlocked0 Grid Table 4 Accent 4;\lsdpriority50 \lsdlocked0 Grid Table 5 Dark Accent 4;_x000d__x000a_\lsdpriority51 \lsdlocked0 Grid Table 6 Colorful Accent 4;\lsdpriority52 \lsdlocked0 Grid Table 7 Colorful Accent 4;\lsdpriority46 \lsdlocked0 Grid Table 1 Light Accent 5;\lsdpriority47 \lsdlocked0 Grid Table 2 Accent 5;_x000d__x000a_\lsdpriority48 \lsdlocked0 Grid Table 3 Accent 5;\lsdpriority49 \lsdlocked0 Grid Table 4 Accent 5;\lsdpriority50 \lsdlocked0 Grid Table 5 Dark Accent 5;\lsdpriority51 \lsdlocked0 Grid Table 6 Colorful Accent 5;_x000d__x000a_\lsdpriority52 \lsdlocked0 Grid Table 7 Colorful Accent 5;\lsdpriority46 \lsdlocked0 Grid Table 1 Light Accent 6;\lsdpriority47 \lsdlocked0 Grid Table 2 Accent 6;\lsdpriority48 \lsdlocked0 Grid Table 3 Accent 6;_x000d__x000a_\lsdpriority49 \lsdlocked0 Grid Table 4 Accent 6;\lsdpriority50 \lsdlocked0 Grid Table 5 Dark Accent 6;\lsdpriority51 \lsdlocked0 Grid Table 6 Colorful Accent 6;\lsdpriority52 \lsdlocked0 Grid Table 7 Colorful Accent 6;_x000d__x000a_\lsdpriority46 \lsdlocked0 List Table 1 Light;\lsdpriority47 \lsdlocked0 List Table 2;\lsdpriority48 \lsdlocked0 List Table 3;\lsdpriority49 \lsdlocked0 List Table 4;\lsdpriority50 \lsdlocked0 List Table 5 Dark;_x000d__x000a_\lsdpriority51 \lsdlocked0 List Table 6 Colorful;\lsdpriority52 \lsdlocked0 List Table 7 Colorful;\lsdpriority46 \lsdlocked0 List Table 1 Light Accent 1;\lsdpriority47 \lsdlocked0 List Table 2 Accent 1;\lsdpriority48 \lsdlocked0 List Table 3 Accent 1;_x000d__x000a_\lsdpriority49 \lsdlocked0 List Table 4 Accent 1;\lsdpriority50 \lsdlocked0 List Table 5 Dark Accent 1;\lsdpriority51 \lsdlocked0 List Table 6 Colorful Accent 1;\lsdpriority52 \lsdlocked0 List Table 7 Colorful Accent 1;_x000d__x000a_\lsdpriority46 \lsdlocked0 List Table 1 Light Accent 2;\lsdpriority47 \lsdlocked0 List Table 2 Accent 2;\lsdpriority48 \lsdlocked0 List Table 3 Accent 2;\lsdpriority49 \lsdlocked0 List Table 4 Accent 2;_x000d__x000a_\lsdpriority50 \lsdlocked0 List Table 5 Dark Accent 2;\lsdpriority51 \lsdlocked0 List Table 6 Colorful Accent 2;\lsdpriority52 \lsdlocked0 List Table 7 Colorful Accent 2;\lsdpriority46 \lsdlocked0 List Table 1 Light Accent 3;_x000d__x000a_\lsdpriority47 \lsdlocked0 List Table 2 Accent 3;\lsdpriority48 \lsdlocked0 List Table 3 Accent 3;\lsdpriority49 \lsdlocked0 List Table 4 Accent 3;\lsdpriority50 \lsdlocked0 List Table 5 Dark Accent 3;_x000d__x000a_\lsdpriority51 \lsdlocked0 List Table 6 Colorful Accent 3;\lsdpriority52 \lsdlocked0 List Table 7 Colorful Accent 3;\lsdpriority46 \lsdlocked0 List Table 1 Light Accent 4;\lsdpriority47 \lsdlocked0 List Table 2 Accent 4;_x000d__x000a_\lsdpriority48 \lsdlocked0 List Table 3 Accent 4;\lsdpriority49 \lsdlocked0 List Table 4 Accent 4;\lsdpriority50 \lsdlocked0 List Table 5 Dark Accent 4;\lsdpriority51 \lsdlocked0 List Table 6 Colorful Accent 4;_x000d__x000a_\lsdpriority52 \lsdlocked0 List Table 7 Colorful Accent 4;\lsdpriority46 \lsdlocked0 List Table 1 Light Accent 5;\lsdpriority47 \lsdlocked0 List Table 2 Accent 5;\lsdpriority48 \lsdlocked0 List Table 3 Accent 5;_x000d__x000a_\lsdpriority49 \lsdlocked0 List Table 4 Accent 5;\lsdpriority50 \lsdlocked0 List Table 5 Dark Accent 5;\lsdpriority51 \lsdlocked0 List Table 6 Colorful Accent 5;\lsdpriority52 \lsdlocked0 List Table 7 Colorful Accent 5;_x000d__x000a_\lsdpriority46 \lsdlocked0 List Table 1 Light Accent 6;\lsdpriority47 \lsdlocked0 List Table 2 Accent 6;\lsdpriority48 \lsdlocked0 List Table 3 Accent 6;\lsdpriority49 \lsdlocked0 List Table 4 Accent 6;_x000d__x000a_\lsdpriority50 \lsdlocked0 List Table 5 Dark Accent 6;\lsdpriority51 \lsdlocked0 List Table 6 Colorful Accent 6;\lsdpriority52 \lsdlocked0 List Table 7 Colorful Accent 6;}}{\*\datastore 010500000200000018000000_x000d__x000a_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8079_x000d__x000a_16bb4df3d3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restartABrut" w:val="{\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15625260 HideTWBExt;}{\s16\ql \li0\ri0\sa120\nowidctlpar\wrapdefault\aspalpha\aspnum\faauto\adjustright\rin0\lin0\itap0 \rtlch\fcs1 \af0\afs20\alang1025 \ltrch\fcs0 _x000d__x000a_\fs24\lang2057\langfe2057\cgrid\langnp2057\langfenp2057 \sbasedon0 \snext16 \slink17 \spriority0 \styrsid15625260 Normal6;}{\*\cs17 \additive \fs24\lang2057\langfe2057\langnp2057\langfenp2057 \slink16 \slocked \spriority0 \styrsid15625260 Normal6 Char;}{_x000d__x000a_\s18\ql \li0\ri0\nowidctlpar\wrapdefault\aspalpha\aspnum\faauto\adjustright\rin0\lin0\itap0 \rtlch\fcs1 \af0\afs20\alang1025 \ltrch\fcs0 \b\fs24\lang2057\langfe2057\cgrid\langnp2057\langfenp2057 \sbasedon0 \snext18 \slink19 \spriority0 \styrsid15625260 _x000d__x000a_NormalBold;}{\*\cs19 \additive \b\fs24\lang2057\langfe2057\langnp2057\langfenp2057 \slink18 \slocked \spriority0 \styrsid15625260 NormalBold Char;}{\s20\ql \li0\ri0\sa240\nowidctlpar\wrapdefault\aspalpha\aspnum\faauto\adjustright\rin0\lin0\itap0 _x000d__x000a_\rtlch\fcs1 \af0\afs20\alang1025 \ltrch\fcs0 \i\fs24\lang1024\langfe1024\cgrid\noproof\langnp2057\langfenp2057 \sbasedon0 \snext20 \spriority0 \styrsid15625260 Normal12Italic;}{_x000d__x000a_\s21\qc \li0\ri0\sb240\sa240\keepn\nowidctlpar\wrapdefault\aspalpha\aspnum\faauto\adjustright\rin0\lin0\itap0 \rtlch\fcs1 \af0\afs20\alang1025 \ltrch\fcs0 \i\fs24\lang1024\langfe1024\cgrid\noproof\langnp2057\langfenp2057 _x000d__x000a_\sbasedon0 \snext0 \spriority0 \styrsid15625260 JustificationTitle;}{\s22\qr \li0\ri0\sb240\sa240\nowidctlpar\wrapdefault\aspalpha\aspnum\faauto\adjustright\rin0\lin0\itap0 \rtlch\fcs1 \af0\afs20\alang1025 \ltrch\fcs0 _x000d__x000a_\fs24\lang1024\langfe1024\cgrid\noproof\langnp2057\langfenp2057 \sbasedon0 \snext22 \spriority0 \styrsid15625260 Olang;}{\s23\qc \li0\ri0\sa240\nowidctlpar\wrapdefault\aspalpha\aspnum\faauto\adjustright\rin0\lin0\itap0 \rtlch\fcs1 \af0\afs20\alang1025 _x000d__x000a_\ltrch\fcs0 \i\fs24\lang2057\langfe2057\cgrid\langnp2057\langfenp2057 \sbasedon0 \snext23 \spriority0 \styrsid15625260 ColumnHeading;}{\s24\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4 \spriority0 \styrsid15625260 AMNumberTabs;}}{\*\rsidtbl \rsid24658\rsid735077\rsid2892074\rsid4666813\rsid6641733\rsid9636012\rsid11215221\rsid12154954\rsid14424199_x000d__x000a_\rsid15204470\rsid15285974\rsid15625260\rsid15950462\rsid16324206\rsid16662270\rsid16743564}{\mmathPr\mmathFont34\mbrkBin0\mbrkBinSub0\msmallFrac0\mdispDef1\mlMargin0\mrMargin0\mdefJc1\mwrapIndent1440\mintLim0\mnaryLim1}{\info{\author FELIX Karina}_x000d__x000a_{\operator FELIX Karina}{\creatim\yr2015\mo5\dy8\hr15\min23}{\revtim\yr2015\mo5\dy8\hr15\min23}{\version1}{\edmins0}{\nofpages1}{\nofwords62}{\nofchars342}{\*\company European Parliament}{\nofcharsws403}{\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15625260\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16743564 \chftnsep _x000d__x000a_\par }}{\*\ftnsepc \ltrpar \pard\plain \ltrpar\ql \li0\ri0\widctlpar\wrapdefault\aspalpha\aspnum\faauto\adjustright\rin0\lin0\itap0 \rtlch\fcs1 \af0\afs20\alang1025 \ltrch\fcs0 \fs24\lang2057\langfe2057\cgrid\langnp2057\langfenp2057 {\rtlch\fcs1 \af0 _x000d__x000a_\ltrch\fcs0 \insrsid16743564 \chftnsepc _x000d__x000a_\par }}{\*\aftnsep \ltrpar \pard\plain \ltrpar\ql \li0\ri0\widctlpar\wrapdefault\aspalpha\aspnum\faauto\adjustright\rin0\lin0\itap0 \rtlch\fcs1 \af0\afs20\alang1025 \ltrch\fcs0 \fs24\lang2057\langfe2057\cgrid\langnp2057\langfenp2057 {\rtlch\fcs1 \af0 _x000d__x000a_\ltrch\fcs0 \insrsid16743564 \chftnsep _x000d__x000a_\par }}{\*\aftnsepc \ltrpar \pard\plain \ltrpar\ql \li0\ri0\widctlpar\wrapdefault\aspalpha\aspnum\faauto\adjustright\rin0\lin0\itap0 \rtlch\fcs1 \af0\afs20\alang1025 \ltrch\fcs0 \fs24\lang2057\langfe2057\cgrid\langnp2057\langfenp2057 {\rtlch\fcs1 \af0 _x000d__x000a_\ltrch\fcs0 \insrsid16743564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4\ql \li0\ri0\sb240\keepn\nowidctlpar\tx879\tx936\tx1021\tx1077\tx1134\tx1191\tx1247\tx1304\tx1361\tx1418\tx1474\tx1531\tx1588\tx1644\tx1701\tx1758\tx1814\tx1871\tx2070\tx2126\tx3374\tx3430\wrapdefault\aspalpha\aspnum\faauto\adjustright\rin0_x000d__x000a_\lin0\itap0\pararsid6905025 \rtlch\fcs1 \af0\afs20\alang1025 \ltrch\fcs0 \b\fs24\lang2057\langfe2057\cgrid\langnp2057\langfenp2057 {\rtlch\fcs1 \af0 \ltrch\fcs0 \cs15\b0\v\f1\fs20\cf9\insrsid15625260\charrsid946740 {\*\bkmkstart restartA}&lt;AmendA&gt;}{_x000d__x000a_\rtlch\fcs1 \af0 \ltrch\fcs0 \insrsid15625260\charrsid946740 [ZAMENDMENT]\tab \tab }{\rtlch\fcs1 \af0 \ltrch\fcs0 \cs15\b0\v\f1\fs20\cf9\insrsid15625260\charrsid946740 &lt;NumAmA&gt;}{\rtlch\fcs1 \af0 \ltrch\fcs0 \insrsid15625260\charrsid946740 [ZNRAM]}{_x000d__x000a_\rtlch\fcs1 \af0 \ltrch\fcs0 \cs15\b0\v\f1\fs20\cf9\insrsid15625260\charrsid946740 &lt;/NumAmA&gt;}{\rtlch\fcs1 \af0 \ltrch\fcs0 \insrsid15625260\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15625260\charrsid14699840 &lt;RepeatBlock-By&gt;}{\rtlch\fcs1 \af0 \ltrch\fcs0 \lang1024\langfe1024\noproof\insrsid15625260\charrsid14699840 [RepeatMembers]}{\rtlch\fcs1 \af0 \ltrch\fcs0 _x000d__x000a_\cs15\b0\v\f1\fs20\cf9\lang1024\langfe1024\noproof\insrsid15625260\charrsid14699840 &lt;Members&gt;}{\rtlch\fcs1 \af0 \ltrch\fcs0 \insrsid15625260\charrsid14699840 [ZMEMBERS]}{\rtlch\fcs1 \af0 \ltrch\fcs0 _x000d__x000a_\cs15\b0\v\f1\fs20\cf9\lang1024\langfe1024\noproof\insrsid15625260\charrsid14699840 &lt;/Members&gt;}{\rtlch\fcs1 \af0 \ltrch\fcs0 \insrsid15625260\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15625260\charrsid14699840 &lt;AuNomDe&gt;&lt;OptDel&gt;}{\rtlch\fcs1 \af0 \ltrch\fcs0 \lang1024\langfe1024\noproof\insrsid15625260\charrsid14699840 [ZONBEHALF]}{\rtlch\fcs1 \af0 \ltrch\fcs0 _x000d__x000a_\cs15\v\f1\fs20\cf9\lang1024\langfe1024\noproof\insrsid15625260\charrsid14699840 &lt;/OptDel&gt;&lt;/AuNomDe&gt;}{\rtlch\fcs1 \af0 \ltrch\fcs0 \insrsid15625260\charrsid14699840 _x000d__x000a_\par &lt;&lt;&lt;}{\rtlch\fcs1 \af0 \ltrch\fcs0 \cs15\v\f1\fs20\cf9\lang1024\langfe1024\noproof\insrsid15625260\charrsid14699840 &lt;/RepeatBlock-By&gt;}{\rtlch\fcs1 \af0 \ltrch\fcs0 \insrsid15625260\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15625260\charrsid946740 &lt;DocAmend&gt;}{\rtlch\fcs1 \af0 \ltrch\fcs0 \insrsid15625260\charrsid946740 [ZRESOLUTION]}{\rtlch\fcs1 \af0 \ltrch\fcs0 \cs15\b0\v\f1\fs20\cf9\insrsid15625260\charrsid946740 &lt;/DocAmend&gt;}{_x000d__x000a_\rtlch\fcs1 \af0 \ltrch\fcs0 \insrsid15625260\charrsid946740 _x000d__x000a_\par }\pard \ltrpar\s18\ql \li0\ri0\nowidctlpar\wrapdefault\aspalpha\aspnum\faauto\adjustright\rin0\lin0\itap0\pararsid16013815 {\rtlch\fcs1 \af0 \ltrch\fcs0 \cs15\b0\v\f1\fs20\cf9\lang1024\langfe1024\noproof\insrsid15625260\charrsid16013815 &lt;Article&gt;}{_x000d__x000a_\rtlch\fcs1 \af0 \ltrch\fcs0 \insrsid15625260\charrsid16013815 [ZRESPART]}{\rtlch\fcs1 \af0 \ltrch\fcs0 \cs15\b0\v\f1\fs20\cf9\lang1024\langfe1024\noproof\insrsid15625260\charrsid16013815 &lt;/Article&gt;}{\rtlch\fcs1 \af0 \ltrch\fcs0 _x000d__x000a_\insrsid15625260\charrsid16013815 _x000d__x000a_\par \ltrrow}\trowd \ltrrow\ts11\trqc\trgaph340\trleft-340\trftsWidth1\trftsWidthB3\trftsWidthA3\trpaddl340\trpaddr340\trpaddfl3\trpaddfr3\tblind0\tblindtype3 \clvertalt\clbrdrt\brdrtbl \clbrdrl\brdrtbl \clbrdrb\brdrtbl \clbrdrr\brdrtbl _x000d__x000a_\cltxlrtb\clftsWidth3\clwWidth9752\clshdrawnil \cellx9412\pard\plain \ltrpar\ql \li0\ri0\keepn\widctlpar\intbl\wrapdefault\aspalpha\aspnum\faauto\adjustright\rin0\lin0\pararsid10630121 \rtlch\fcs1 \af0\afs20\alang1025 \ltrch\fcs0 _x000d__x000a_\fs24\lang2057\langfe2057\cgrid\langnp2057\langfenp2057 {\rtlch\fcs1 \af0 \ltrch\fcs0 \insrsid15625260\charrsid946740 \cell }\pard \ltrpar\ql \li0\ri0\widctlpar\intbl\wrapdefault\aspalpha\aspnum\faauto\adjustright\rin0\lin0 {\rtlch\fcs1 \af0 \ltrch\fcs0 _x000d__x000a_\insrsid15625260\charrsid946740 \trowd \ltrrow\ts11\trqc\trgaph340\trleft-340\trftsWidth1\trftsWidthB3\trftsWidthA3\trpaddl340\trpaddr340\trpaddfl3\trpaddfr3\tblind0\tblindtype3 \clvertalt\clbrdrt\brdrtbl \clbrdrl\brdrtbl \clbrdrb\brdrtbl \clbrdrr_x000d__x000a_\brdrtbl \cltxlrtb\clftsWidth3\clwWidth9752\clshdrawnil \cellx9412\row \ltrrow}\trowd \ltrrow\ts11\trqc\trgaph340\trleft-340\trftsWidth1\trftsWidthB3\trftsWidthA3\trpaddl340\trpaddr340\trpaddfl3\trpaddfr3\tblind0\tblindtype3 \clvertalt\clbrdrt\brdrtbl _x000d__x000a_\clbrdrl\brdrtbl \clbrdrb\brdrtbl \clbrdrr\brdrtbl \cltxlrtb\clftsWidth3\clwWidth4876\clshdrawnil \cellx4536\clvertalt\clbrdrt\brdrtbl \clbrdrl\brdrtbl \clbrdrb\brdrtbl \clbrdrr\brdrtbl \cltxlrtb\clftsWidth3\clwWidth4876\clshdrawnil \cellx9412_x000d__x000a_\pard\plain \ltrpar\s23\qc \li0\ri0\sa240\keepn\nowidctlpar\intbl\wrapdefault\aspalpha\aspnum\faauto\adjustright\rin0\lin0\pararsid10630121 \rtlch\fcs1 \af0\afs20\alang1025 \ltrch\fcs0 \i\fs24\lang2057\langfe2057\cgrid\langnp2057\langfenp2057 {_x000d__x000a_\rtlch\fcs1 \af0 \ltrch\fcs0 \insrsid15625260\charrsid946740 [ZLEFTA]\cell [ZRIGHT]\cell }\pard\plain \ltrpar\ql \li0\ri0\widctlpar\intbl\wrapdefault\aspalpha\aspnum\faauto\adjustright\rin0\lin0 \rtlch\fcs1 \af0\afs20\alang1025 \ltrch\fcs0 _x000d__x000a_\fs24\lang2057\langfe2057\cgrid\langnp2057\langfenp2057 {\rtlch\fcs1 \af0 \ltrch\fcs0 \insrsid15625260\charrsid946740 \trowd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15625260\charrsid946740 [ZTEXTL]\cell [ZTEXTR]}{\rtlch\fcs1 \af0\afs24 \ltrch\fcs0 \insrsid15625260\charrsid946740 \cell }\pard\plain \ltrpar\ql \li0\ri0\widctlpar\intbl\wrapdefault\aspalpha\aspnum\faauto\adjustright\rin0\lin0 \rtlch\fcs1 _x000d__x000a_\af0\afs20\alang1025 \ltrch\fcs0 \fs24\lang2057\langfe2057\cgrid\langnp2057\langfenp2057 {\rtlch\fcs1 \af0 \ltrch\fcs0 \insrsid15625260\charrsid946740 \trowd \lastrow \ltrrow_x000d__x000a_\ts11\trqc\trgaph340\trleft-340\trftsWidth1\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2\qr \li0\ri0\sb240\sa240\nowidctlpar\wrapdefault\aspalpha\aspnum\faauto\adjustright\rin0\lin0\itap0\pararsid10118616 \rtlch\fcs1 \af0\afs20\alang1025 \ltrch\fcs0 \fs24\lang1024\langfe1024\cgrid\noproof\langnp2057\langfenp2057 {\rtlch\fcs1 \af0 _x000d__x000a_\ltrch\fcs0 \noproof0\insrsid15625260\charrsid946740 Or. }{\rtlch\fcs1 \af0 \ltrch\fcs0 \cs15\v\f1\fs20\cf9\noproof0\insrsid15625260\charrsid946740 &lt;Original&gt;}{\rtlch\fcs1 \af0 \ltrch\fcs0 \noproof0\insrsid15625260\charrsid946740 [ZORLANG]}{\rtlch\fcs1 _x000d__x000a_\af0 \ltrch\fcs0 \cs15\v\f1\fs20\cf9\noproof0\insrsid15625260\charrsid946740 &lt;/Original&gt;}{\rtlch\fcs1 \af0 \ltrch\fcs0 \noproof0\insrsid15625260\charrsid946740 _x000d__x000a_\par }\pard\plain \ltrpar\s21\qc \li0\ri0\sb240\sa240\keepn\nowidctlpar\wrapdefault\aspalpha\aspnum\faauto\adjustright\rin0\lin0\itap0\pararsid16390444 \rtlch\fcs1 \af0\afs20\alang1025 \ltrch\fcs0 _x000d__x000a_\i\fs24\lang1024\langfe1024\cgrid\noproof\langnp2057\langfenp2057 {\rtlch\fcs1 \af0 \ltrch\fcs0 \cs15\i0\v\f1\fs20\cf9\noproof0\insrsid15625260\charrsid946740 &lt;TitreJust&gt;}{\rtlch\fcs1 \af0 \ltrch\fcs0 \noproof0\insrsid15625260\charrsid946740 _x000d__x000a_[ZJUSTIFICATION]}{\rtlch\fcs1 \af0 \ltrch\fcs0 \cs15\i0\v\f1\fs20\cf9\noproof0\insrsid15625260\charrsid946740 &lt;/TitreJust&gt;}{\rtlch\fcs1 \af0 \ltrch\fcs0 \noproof0\insrsid15625260\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15625260\charrsid946740 &lt;OptDelPrev&gt;}{\rtlch\fcs1 \af0 \ltrch\fcs0 \noproof0\insrsid15625260\charrsid946740 [ZTEXTJUST]}{\rtlch\fcs1 \af0 \ltrch\fcs0 _x000d__x000a_\cs15\i0\v\f1\fs20\cf9\noproof0\insrsid15625260\charrsid946740 &lt;/OptDelPrev&gt;}{\rtlch\fcs1 \af0 \ltrch\fcs0 \noproof0\insrsid15625260\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15625260\charrsid946740 &lt;/AmendA&gt;}{\rtlch\fcs1 \af0 \ltrch\fcs0 \insrsid24658\charrsid16324206 {\*\bkmkend restartA}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a09a_x000d__x000a_bf21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restartBBrut" w:val="{\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lt;AmendB&gt;}{_x000d__x000a_\rtlch\fcs1 \af0 \ltrch\fcs0 \insrsid2490866\charrsid946740 [ZAMENDMENT]\tab \tab }{\rtlch\fcs1 \af0 \ltrch\fcs0 \cs15\b0\v\f1\fs20\cf9\insrsid2490866\charrsid946740 &lt;NumAmB&gt;}{\rtlch\fcs1 \af0 \ltrch\fcs0 \insrsid2490866\charrsid946740 [ZNRAM]}{_x000d__x000a_\rtlch\fcs1 \af0 \ltrch\fcs0 \cs15\b0\v\f1\fs20\cf9\insrsid2490866\charrsid946740 &lt;/NumAmB&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lt;RepeatBlock-By&gt;}{\rtlch\fcs1 \af0 \ltrch\fcs0 \lang1024\langfe1024\noproof\insrsid2490866\charrsid14699840 [RepeatMembers]}{\rtlch\fcs1 \af0 \ltrch\fcs0 _x000d__x000a_\cs15\b0\v\f1\fs20\cf9\lang1024\langfe1024\noproof\insrsid2490866\charrsid14699840 &lt;Members&gt;}{\rtlch\fcs1 \af0 \ltrch\fcs0 \insrsid2490866\charrsid14699840 [ZMEMBERS]}{\rtlch\fcs1 \af0 \ltrch\fcs0 _x000d__x000a_\cs15\b0\v\f1\fs20\cf9\lang1024\langfe1024\noproof\insrsid2490866\charrsid14699840 &lt;/Members&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lt;AuNomDe&gt;&lt;OptDel&gt;}{\rtlch\fcs1 \af0 \ltrch\fcs0 \lang1024\langfe1024\noproof\insrsid2490866\charrsid14699840 [ZONBEHALF]}{\rtlch\fcs1 \af0 \ltrch\fcs0 _x000d__x000a_\cs15\v\f1\fs20\cf9\lang1024\langfe1024\noproof\insrsid2490866\charrsid14699840 &lt;/OptDel&gt;&lt;/AuNomDe&gt;}{\rtlch\fcs1 \af0 \ltrch\fcs0 \insrsid2490866\charrsid14699840 _x000d__x000a_\par &lt;&lt;&lt;}{\rtlch\fcs1 \af0 \ltrch\fcs0 \cs15\v\f1\fs20\cf9\lang1024\langfe1024\noproof\insrsid2490866\charrsid14699840 &lt;/RepeatBlock-By&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lt;DocAmend&gt;}{\rtlch\fcs1 \af0 \ltrch\fcs0 \insrsid2490866\charrsid946740 [Z}{\rtlch\fcs1 \af0 \ltrch\fcs0 \insrsid2490866 AMDOC}{\rtlch\fcs1 \af0 \ltrch\fcs0 \insrsid2490866\charrsid946740 ]}_x000d__x000a_{\rtlch\fcs1 \af0 \ltrch\fcs0 \cs15\b0\v\f1\fs20\cf9\insrsid2490866\charrsid946740 &lt;/DocAmend&gt;}{\rtlch\fcs1 \af0 \ltrch\fcs0 \insrsid2490866\charrsid946740 _x000d__x000a_\par }\pard \ltrpar\s18\ql \li0\ri0\keepn\nowidctlpar\wrapdefault\aspalpha\aspnum\faauto\adjustright\rin0\lin0\itap0\pararsid10630121 {\rtlch\fcs1 \af0 \ltrch\fcs0 \cs15\b0\v\f1\fs20\cf9\insrsid2490866\charrsid946740 &lt;Article&gt;}{\rtlch\fcs1 \af0 \ltrch\fcs0 _x000d__x000a_\insrsid2490866\charrsid946740 [ZAMPART]}{\rtlch\fcs1 \af0 \ltrch\fcs0 \cs15\b0\v\f1\fs20\cf9\insrsid2490866\charrsid946740 &lt;/Article&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lt;DocAmend2&gt;&lt;OptDel&gt;}{\rtlch\fcs1 \af0 \ltrch\fcs0 \insrsid2490866\charrsid946740 [ZNRACT]}{\rtlch\fcs1 \af0 \ltrch\fcs0 \cs15\v\f1\fs20\cf9\insrsid2490866\charrsid946740 &lt;/OptDel&gt;&lt;/DocAmend2&gt;}{_x000d__x000a_\rtlch\fcs1 \af0 \ltrch\fcs0 \insrsid2490866\charrsid946740 _x000d__x000a_\par }\pard \ltrpar\ql \li0\ri0\widctlpar\wrapdefault\aspalpha\aspnum\faauto\adjustright\rin0\lin0\itap0\pararsid10158853 {\rtlch\fcs1 \af0 \ltrch\fcs0 \cs15\v\f1\fs20\cf9\insrsid2490866\charrsid946740 &lt;Article2&gt;&lt;OptDel&gt;}{\rtlch\fcs1 \af0 \ltrch\fcs0 _x000d__x000a_\insrsid2490866\charrsid946740 [ZACTPART]}{\rtlch\fcs1 \af0 \ltrch\fcs0 \cs15\v\f1\fs20\cf9\insrsid2490866\charrsid946740 &lt;/OptDel&gt;&lt;/Article2&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lt;Original&gt;}{\rtlch\fcs1 \af0 \ltrch\fcs0 \noproof0\insrsid2490866\charrsid946740 [ZORLANG]}{\rtlch\fcs1 \af0 _x000d__x000a_\ltrch\fcs0 \cs15\v\f1\fs20\cf9\noproof0\insrsid2490866\charrsid946740 &lt;/Original&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lt;OptDel&gt;}{\rtlch\fcs1 \af0 \ltrch\fcs0 \insrsid2490866\charrsid946740 [ZCROSSREF]}{\rtlch\fcs1 \af0 \ltrch\fcs0 \cs15\i0\v\f1\fs20\cf9\insrsid2490866\charrsid946740 &lt;/OptDel&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lt;TitreJust&gt;}{\rtlch\fcs1 \af0 \ltrch\fcs0 \noproof0\insrsid2490866\charrsid946740 _x000d__x000a_[ZJUSTIFICATION]}{\rtlch\fcs1 \af0 \ltrch\fcs0 \cs15\i0\v\f1\fs20\cf9\noproof0\insrsid2490866\charrsid946740 &lt;/TitreJust&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lt;OptDelPrev&gt;}{\rtlch\fcs1 \af0 \ltrch\fcs0 \noproof0\insrsid2490866\charrsid946740 [ZTEXTJUST]}{\rtlch\fcs1 \af0 \ltrch\fcs0 _x000d__x000a_\cs15\i0\v\f1\fs20\cf9\noproof0\insrsid2490866\charrsid946740 &lt;/OptDelPrev&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lt;/AmendB&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restartBrut" w:val="{\rtf1\adeflang1025\ansi\ansicpg1252\uc1\adeff0\deff0\stshfdbch0\stshfloch0\stshfhich0\stshfbi0\deflang1043\deflangfe1043\themelang1043\themelangfe0\themelangcs0{\fonttbl{\f0\fbidi \froman\fcharset0\fprq2{\*\panose 02020603050405020304}Times New Roman;}{\f1\fbidi \fswiss\fcharset0\fprq2{\*\panose 020b0604020202020204}Arial;}_x000d__x000a_{\f34\fbidi \froman\fcharset0\fprq2{\*\panose 02040503050406030204}Cambria Math;}{\flomajor\f31500\fbidi \froman\fcharset0\fprq2{\*\panose 02020603050405020304}Times New Roman;}_x000d__x000a_{\fdbmajor\f31501\fbidi \froman\fcharset0\fprq2{\*\panose 02020603050405020304}Times New Roman;}{\fhimajor\f31502\fbidi \froman\fcharset0\fprq2{\*\panose 02040503050406030204}Cambria;}_x000d__x000a_{\fbimajor\f31503\fbidi \froman\fcharset0\fprq2{\*\panose 02020603050405020304}Times New Roman;}{\flominor\f31504\fbidi \froman\fcharset0\fprq2{\*\panose 02020603050405020304}Times New Roman;}_x000d__x000a_{\fdbminor\f31505\fbidi \froman\fcharset0\fprq2{\*\panose 02020603050405020304}Times New Roman;}{\fhiminor\f31506\fbidi \fswiss\fcharset0\fprq2{\*\panose 020f0502020204030204}Calibri;}_x000d__x000a_{\fbiminor\f31507\fbidi \froman\fcharset0\fprq2{\*\panose 02020603050405020304}Times New Roman;}{\f42\fbidi \froman\fcharset238\fprq2 Times New Roman CE;}{\f43\fbidi \froman\fcharset204\fprq2 Times New Roman Cyr;}_x000d__x000a_{\f45\fbidi \froman\fcharset161\fprq2 Times New Roman Greek;}{\f46\fbidi \froman\fcharset162\fprq2 Times New Roman Tur;}{\f47\fbidi \froman\fcharset177\fprq2 Times New Roman (Hebrew);}{\f48\fbidi \froman\fcharset178\fprq2 Times New Roman (Arabic);}_x000d__x000a_{\f49\fbidi \froman\fcharset186\fprq2 Times New Roman Baltic;}{\f50\fbidi \froman\fcharset163\fprq2 Times New Roman (Vietnamese);}{\f52\fbidi \fswiss\fcharset238\fprq2 Arial CE;}{\f53\fbidi \fswiss\fcharset204\fprq2 Arial Cyr;}_x000d__x000a_{\f55\fbidi \fswiss\fcharset161\fprq2 Arial Greek;}{\f56\fbidi \fswiss\fcharset162\fprq2 Arial Tur;}{\f57\fbidi \fswiss\fcharset177\fprq2 Arial (Hebrew);}{\f58\fbidi \fswiss\fcharset178\fprq2 Arial (Arabic);}_x000d__x000a_{\f59\fbidi \fswiss\fcharset186\fprq2 Arial Baltic;}{\f60\fbidi \fswiss\fcharset163\fprq2 Arial (Vietnamese);}{\f382\fbidi \froman\fcharset238\fprq2 Cambria Math CE;}{\f383\fbidi \froman\fcharset204\fprq2 Cambria Math Cyr;}_x000d__x000a_{\f385\fbidi \froman\fcharset161\fprq2 Cambria Math Greek;}{\f386\fbidi \froman\fcharset162\fprq2 Cambria Math Tur;}{\f389\fbidi \froman\fcharset186\fprq2 Cambria Math Baltic;}{\f390\fbidi \froman\fcharset163\fprq2 Cambria Math (Vietnamese);}_x000d__x000a_{\flomajor\f31508\fbidi \froman\fcharset238\fprq2 Times New Roman CE;}{\flomajor\f31509\fbidi \froman\fcharset204\fprq2 Times New Roman Cyr;}{\flomajor\f31511\fbidi \froman\fcharset161\fprq2 Times New Roman Greek;}_x000d__x000a_{\flomajor\f31512\fbidi \froman\fcharset162\fprq2 Times New Roman Tur;}{\flomajor\f31513\fbidi \froman\fcharset177\fprq2 Times New Roman (Hebrew);}{\flomajor\f31514\fbidi \froman\fcharset178\fprq2 Times New Roman (Arabic);}_x000d__x000a_{\flomajor\f31515\fbidi \froman\fcharset186\fprq2 Times New Roman Baltic;}{\flomajor\f31516\fbidi \froman\fcharset163\fprq2 Times New Roman (Vietnamese);}{\fdbmajor\f31518\fbidi \froman\fcharset238\fprq2 Times New Roman CE;}_x000d__x000a_{\fdbmajor\f31519\fbidi \froman\fcharset204\fprq2 Times New Roman Cyr;}{\fdbmajor\f31521\fbidi \froman\fcharset161\fprq2 Times New Roman Greek;}{\fdbmajor\f31522\fbidi \froman\fcharset162\fprq2 Times New Roman Tur;}_x000d__x000a_{\fdbmajor\f31523\fbidi \froman\fcharset177\fprq2 Times New Roman (Hebrew);}{\fdbmajor\f31524\fbidi \froman\fcharset178\fprq2 Times New Roman (Arabic);}{\fdbmajor\f31525\fbidi \froman\fcharset186\fprq2 Times New Roman Baltic;}_x000d__x000a_{\fdbmajor\f31526\fbidi \froman\fcharset163\fprq2 Times New Roman (Vietnamese);}{\fhimajor\f31528\fbidi \froman\fcharset238\fprq2 Cambria CE;}{\fhimajor\f31529\fbidi \froman\fcharset204\fprq2 Cambria Cyr;}_x000d__x000a_{\fhimajor\f31531\fbidi \froman\fcharset161\fprq2 Cambria Greek;}{\fhimajor\f31532\fbidi \froman\fcharset162\fprq2 Cambria Tur;}{\fhimajor\f31535\fbidi \froman\fcharset186\fprq2 Cambria Baltic;}_x000d__x000a_{\fhimajor\f31536\fbidi \froman\fcharset163\fprq2 Cambria (Vietnamese);}{\fbimajor\f31538\fbidi \froman\fcharset238\fprq2 Times New Roman CE;}{\fbimajor\f31539\fbidi \froman\fcharset204\fprq2 Times New Roman Cyr;}_x000d__x000a_{\fbimajor\f31541\fbidi \froman\fcharset161\fprq2 Times New Roman Greek;}{\fbimajor\f31542\fbidi \froman\fcharset162\fprq2 Times New Roman Tur;}{\fbimajor\f31543\fbidi \froman\fcharset177\fprq2 Times New Roman (Hebrew);}_x000d__x000a_{\fbimajor\f31544\fbidi \froman\fcharset178\fprq2 Times New Roman (Arabic);}{\fbimajor\f31545\fbidi \froman\fcharset186\fprq2 Times New Roman Baltic;}{\fbimajor\f31546\fbidi \froman\fcharset163\fprq2 Times New Roman (Vietnamese);}_x000d__x000a_{\flominor\f31548\fbidi \froman\fcharset238\fprq2 Times New Roman CE;}{\flominor\f31549\fbidi \froman\fcharset204\fprq2 Times New Roman Cyr;}{\flominor\f31551\fbidi \froman\fcharset161\fprq2 Times New Roman Greek;}_x000d__x000a_{\flominor\f31552\fbidi \froman\fcharset162\fprq2 Times New Roman Tur;}{\flominor\f31553\fbidi \froman\fcharset177\fprq2 Times New Roman (Hebrew);}{\flominor\f31554\fbidi \froman\fcharset178\fprq2 Times New Roman (Arabic);}_x000d__x000a_{\flominor\f31555\fbidi \froman\fcharset186\fprq2 Times New Roman Baltic;}{\flominor\f31556\fbidi \froman\fcharset163\fprq2 Times New Roman (Vietnamese);}{\fdbminor\f31558\fbidi \froman\fcharset238\fprq2 Times New Roman CE;}_x000d__x000a_{\fdbminor\f31559\fbidi \froman\fcharset204\fprq2 Times New Roman Cyr;}{\fdbminor\f31561\fbidi \froman\fcharset161\fprq2 Times New Roman Greek;}{\fdbminor\f31562\fbidi \froman\fcharset162\fprq2 Times New Roman Tur;}_x000d__x000a_{\fdbminor\f31563\fbidi \froman\fcharset177\fprq2 Times New Roman (Hebrew);}{\fdbminor\f31564\fbidi \froman\fcharset178\fprq2 Times New Roman (Arabic);}{\fdbminor\f31565\fbidi \froman\fcharset186\fprq2 Times New Roman Baltic;}_x000d__x000a_{\fdbminor\f31566\fbidi \froman\fcharset163\fprq2 Times New Roman (Vietnamese);}{\fhiminor\f31568\fbidi \fswiss\fcharset238\fprq2 Calibri CE;}{\fhiminor\f31569\fbidi \fswiss\fcharset204\fprq2 Calibri Cyr;}_x000d__x000a_{\fhiminor\f31571\fbidi \fswiss\fcharset161\fprq2 Calibri Greek;}{\fhiminor\f31572\fbidi \fswiss\fcharset162\fprq2 Calibri Tur;}{\fhiminor\f31575\fbidi \fswiss\fcharset186\fprq2 Calibri Baltic;}_x000d__x000a_{\fhiminor\f31576\fbidi \fswiss\fcharset163\fprq2 Calibri (Vietnamese);}{\fbiminor\f31578\fbidi \froman\fcharset238\fprq2 Times New Roman CE;}{\fbiminor\f31579\fbidi \froman\fcharset204\fprq2 Times New Roman Cyr;}_x000d__x000a_{\fbiminor\f31581\fbidi \froman\fcharset161\fprq2 Times New Roman Greek;}{\fbiminor\f31582\fbidi \froman\fcharset162\fprq2 Times New Roman Tur;}{\fbiminor\f31583\fbidi \froman\fcharset177\fprq2 Times New Roman (Hebrew);}_x000d__x000a_{\fbiminor\f31584\fbidi \froman\fcharset178\fprq2 Times New Roman (Arabic);}{\fbiminor\f31585\fbidi \froman\fcharset186\fprq2 Times New Roman Baltic;}{\fbiminor\f31586\fbidi \froman\fcharset163\fprq2 Times New Roman (Vietnamese);}}_x000d__x000a_{\colortbl;\red0\green0\blue0;\red0\green0\blue255;\red0\green255\blue255;\red0\green255\blue0;\red255\green0\blue255;\red255\green0\blue0;\red255\green255\blue0;\red255\green255\blue255;\red0\green0\blue128;\red0\green128\blue128;\red0\green128\blue0;_x000d__x000a_\red128\green0\blue128;\red128\green0\blue0;\red128\green128\blue0;\red128\green128\blue128;\red192\green192\blue192;}{\*\defchp }{\*\defpap \ql \li0\ri0\widctlpar\wrapdefault\aspalpha\aspnum\faauto\adjustright\rin0\lin0\itap0 }\noqfpromote {\stylesheet{_x000d__x000a_\ql \li0\ri0\widctlpar\wrapdefault\aspalpha\aspnum\faauto\adjustright\rin0\lin0\itap0 \rtlch\fcs1 \af0\afs20\alang1025 \ltrch\fcs0 \fs24\lang2057\langfe2057\cgrid\langnp2057\langfenp2057 \snext0 \sqformat \spriority0 Normal;}{\*\cs10 \additive _x000d__x000a_\ssemihidden \spriority0 Default Paragraph Font;}{\*\ts11\tsrowd\trftsWidthB3\trpaddl108\trpaddr108\trpaddfl3\trpaddft3\trpaddfb3\trpaddfr3\tblind0\tblindtype3\tsvertalt\tsbrdrt\tsbrdrl\tsbrdrb\tsbrdrr\tsbrdrdgl\tsbrdrdgr\tsbrdrh\tsbrdrv _x000d__x000a_\ql \li0\ri0\widctlpar\wrapdefault\aspalpha\aspnum\faauto\adjustright\rin0\lin0\itap0 \rtlch\fcs1 \af0\afs20\alang1025 \ltrch\fcs0 \fs20\lang1043\langfe1043\cgrid\langnp1043\langfenp1043 \snext11 \ssemihidden \spriority0 Normal Table;}{\*\cs15 \additive _x000d__x000a_\v\f1\fs20\cf9\lang1024\langfe1024\noproof \spriority0 \styrsid2490866 HideTWBExt;}{\s16\ql \li0\ri0\sa120\nowidctlpar\wrapdefault\aspalpha\aspnum\faauto\adjustright\rin0\lin0\itap0 \rtlch\fcs1 \af0\afs20\alang1025 \ltrch\fcs0 _x000d__x000a_\fs24\lang2057\langfe2057\cgrid\langnp2057\langfenp2057 \sbasedon0 \snext16 \slink17 \spriority0 \styrsid2490866 Normal6;}{\*\cs17 \additive \fs24\lang2057\langfe2057\langnp2057\langfenp2057 \slink16 \slocked \spriority0 \styrsid2490866 Normal6 Char;}{_x000d__x000a_\s18\ql \li0\ri0\nowidctlpar\wrapdefault\aspalpha\aspnum\faauto\adjustright\rin0\lin0\itap0 \rtlch\fcs1 \af0\afs20\alang1025 \ltrch\fcs0 \b\fs24\lang2057\langfe2057\cgrid\langnp2057\langfenp2057 \sbasedon0 \snext18 \slink19 \spriority0 \styrsid2490866 _x000d__x000a_NormalBold;}{\*\cs19 \additive \b\fs24\lang2057\langfe2057\langnp2057\langfenp2057 \slink18 \slocked \spriority0 \styrsid2490866 NormalBold Char;}{\s20\ql \li0\ri0\sa240\nowidctlpar\wrapdefault\aspalpha\aspnum\faauto\adjustright\rin0\lin0\itap0 _x000d__x000a_\rtlch\fcs1 \af0\afs20\alang1025 \ltrch\fcs0 \i\fs24\lang1024\langfe1024\cgrid\noproof\langnp2057\langfenp2057 \sbasedon0 \snext20 \spriority0 \styrsid2490866 Normal12Italic;}{_x000d__x000a_\s21\qc \li0\ri0\sb240\nowidctlpar\wrapdefault\aspalpha\aspnum\faauto\adjustright\rin0\lin0\itap0 \rtlch\fcs1 \af0\afs20\alang1025 \ltrch\fcs0 \i\fs24\lang2057\langfe2057\cgrid\langnp2057\langfenp2057 \sbasedon0 \snext21 \spriority0 \styrsid2490866 _x000d__x000a_CrossRef;}{\s22\qc \li0\ri0\sb240\sa240\keepn\nowidctlpar\wrapdefault\aspalpha\aspnum\faauto\adjustright\rin0\lin0\itap0 \rtlch\fcs1 \af0\afs20\alang1025 \ltrch\fcs0 \i\fs24\lang1024\langfe1024\cgrid\noproof\langnp2057\langfenp2057 _x000d__x000a_\sbasedon0 \snext0 \spriority0 \styrsid2490866 JustificationTitle;}{\s23\qr \li0\ri0\sb240\sa240\nowidctlpar\wrapdefault\aspalpha\aspnum\faauto\adjustright\rin0\lin0\itap0 \rtlch\fcs1 \af0\afs20\alang1025 \ltrch\fcs0 _x000d__x000a_\fs24\lang1024\langfe1024\cgrid\noproof\langnp2057\langfenp2057 \sbasedon0 \snext23 \spriority0 \styrsid2490866 Olang;}{\s24\qc \li0\ri0\sa240\nowidctlpar\wrapdefault\aspalpha\aspnum\faauto\adjustright\rin0\lin0\itap0 \rtlch\fcs1 \af0\afs20\alang1025 _x000d__x000a_\ltrch\fcs0 \i\fs24\lang2057\langfe2057\cgrid\langnp2057\langfenp2057 \sbasedon0 \snext24 \spriority0 \styrsid2490866 ColumnHeading;}{\s25\ql \li0\ri0\sb240\nowidctlpar_x000d__x000a_\tx879\tx936\tx1021\tx1077\tx1134\tx1191\tx1247\tx1304\tx1361\tx1418\tx1474\tx1531\tx1588\tx1644\tx1701\tx1758\tx1814\tx1871\tx2070\tx2126\tx3374\tx3430\wrapdefault\aspalpha\aspnum\faauto\adjustright\rin0\lin0\itap0 \rtlch\fcs1 \af0\afs20\alang1025 _x000d__x000a_\ltrch\fcs0 \b\fs24\lang2057\langfe2057\cgrid\langnp2057\langfenp2057 \sbasedon0 \snext25 \spriority0 \styrsid2490866 AMNumberTabs;}}{\*\rsidtbl \rsid24658\rsid735077\rsid2490866\rsid2892074\rsid4666813\rsid6641733\rsid7298627\rsid9636012\rsid11215221_x000d__x000a_\rsid12154954\rsid14424199\rsid15204470\rsid15285974\rsid15950462\rsid16324206\rsid16662270}{\mmathPr\mmathFont34\mbrkBin0\mbrkBinSub0\msmallFrac0\mdispDef1\mlMargin0\mrMargin0\mdefJc1\mwrapIndent1440\mintLim0\mnaryLim1}{\info{\author FELIX Karina}_x000d__x000a_{\operator FELIX Karina}{\creatim\yr2015\mo5\dy8\hr15\min23}{\revtim\yr2015\mo5\dy8\hr15\min23}{\version1}{\edmins0}{\nofpages1}{\nofwords80}{\nofchars445}{\*\company European Parliament}{\nofcharsws524}{\vern49165}}{\*\xmlnstbl {\xmlns1 http://schemas.mi_x000d__x000a_crosoft.com/office/word/2003/wordml}}\paperw11906\paperh16838\margl1418\margr1418\margt1134\margb1418\gutter0\ltrsect _x000d__x000a_\facingp\widowctrl\ftnbj\aenddoc\ftnrstpg\trackmoves0\trackformatting1\donotembedsysfont1\relyonvml0\donotembedlingdata0\grfdocevents0\validatexml1\showplaceholdtext0\ignoremixedcontent0\saveinvalidxml0_x000d__x000a_\showxmlerrors1\margmirror\noxlattoyen\expshrtn\noultrlspc\dntblnsbdb\nospaceforul\formshade\horzdoc\dghspace180\dgvspace180\dghorigin1701\dgvorigin1984\dghshow0\dgvshow0_x000d__x000a_\jexpand\viewkind1\viewscale90\pgbrdrhead\pgbrdrfoot\nolnhtadjtbl\nojkernpunct\rsidroot2490866\utinl \fet0{\*\wgrffmtfilter 013f}\ilfomacatclnup0{\*\template C:\\Users\\kfelix\\AppData\\Local\\Temp\\Blank1.dot}{\*\ftnsep \ltrpar \pard\plain \ltrpar_x000d__x000a_\ql \li0\ri0\widctlpar\wrapdefault\aspalpha\aspnum\faauto\adjustright\rin0\lin0\itap0 \rtlch\fcs1 \af0\afs20\alang1025 \ltrch\fcs0 \fs24\lang2057\langfe2057\cgrid\langnp2057\langfenp2057 {\rtlch\fcs1 \af0 \ltrch\fcs0 \insrsid7298627 \chftnsep _x000d__x000a_\par }}{\*\ftnsepc \ltrpar \pard\plain \ltrpar\ql \li0\ri0\widctlpar\wrapdefault\aspalpha\aspnum\faauto\adjustright\rin0\lin0\itap0 \rtlch\fcs1 \af0\afs20\alang1025 \ltrch\fcs0 \fs24\lang2057\langfe2057\cgrid\langnp2057\langfenp2057 {\rtlch\fcs1 \af0 _x000d__x000a_\ltrch\fcs0 \insrsid7298627 \chftnsepc _x000d__x000a_\par }}{\*\aftnsep \ltrpar \pard\plain \ltrpar\ql \li0\ri0\widctlpar\wrapdefault\aspalpha\aspnum\faauto\adjustright\rin0\lin0\itap0 \rtlch\fcs1 \af0\afs20\alang1025 \ltrch\fcs0 \fs24\lang2057\langfe2057\cgrid\langnp2057\langfenp2057 {\rtlch\fcs1 \af0 _x000d__x000a_\ltrch\fcs0 \insrsid7298627 \chftnsep _x000d__x000a_\par }}{\*\aftnsepc \ltrpar \pard\plain \ltrpar\ql \li0\ri0\widctlpar\wrapdefault\aspalpha\aspnum\faauto\adjustright\rin0\lin0\itap0 \rtlch\fcs1 \af0\afs20\alang1025 \ltrch\fcs0 \fs24\lang2057\langfe2057\cgrid\langnp2057\langfenp2057 {\rtlch\fcs1 \af0 _x000d__x000a_\ltrch\fcs0 \insrsid7298627 \chftnsepc _x000d__x000a_\par }}\ltrpar \sectd \ltrsect\psz9\linex0\headery1134\footery505\endnhere\titlepg\sectdefaultcl\sectrsid14424199\sftnbj\sftnrstpg {\*\pnseclvl1\pnucrm\pnstart1\pnindent720\pnhang {\pntxta .}}{\*\pnseclvl2\pnucltr\pnstart1\pnindent720\pnhang {\pntxta .}}_x000d__x000a_{\*\pnseclvl3\pndec\pnstart1\pnindent720\pnhang {\pntxta .}}{\*\pnseclvl4\pnlcltr\pnstart1\pnindent720\pnhang {\pntxta )}}{\*\pnseclvl5\pndec\pnstart1\pnindent720\pnhang {\pntxtb (}{\pntxta )}}{\*\pnseclvl6\pnlcltr\pnstart1\pnindent720\pnhang {\pntxtb (}_x000d__x000a_{\pntxta )}}{\*\pnseclvl7\pnlcrm\pnstart1\pnindent720\pnhang {\pntxtb (}{\pntxta )}}{\*\pnseclvl8\pnlcltr\pnstart1\pnindent720\pnhang {\pntxtb (}{\pntxta )}}{\*\pnseclvl9\pnlcrm\pnstart1\pnindent720\pnhang {\pntxtb (}{\pntxta )}}\pard\plain \ltrpar_x000d__x000a_\s25\ql \li0\ri0\sb240\keepn\nowidctlpar\tx879\tx936\tx1021\tx1077\tx1134\tx1191\tx1247\tx1304\tx1361\tx1418\tx1474\tx1531\tx1588\tx1644\tx1701\tx1758\tx1814\tx1871\tx2070\tx2126\tx3374\tx3430\wrapdefault\aspalpha\aspnum\faauto\adjustright\rin0_x000d__x000a_\lin0\itap0\pararsid3744759 \rtlch\fcs1 \af0\afs20\alang1025 \ltrch\fcs0 \b\fs24\lang2057\langfe2057\cgrid\langnp2057\langfenp2057 {\rtlch\fcs1 \af0 \ltrch\fcs0 \cs15\b0\v\f1\fs20\cf9\insrsid2490866\charrsid946740 {\*\bkmkstart restartB}&lt;AmendB&gt;}{_x000d__x000a_\rtlch\fcs1 \af0 \ltrch\fcs0 \insrsid2490866\charrsid946740 [ZAMENDMENT]\tab \tab }{\rtlch\fcs1 \af0 \ltrch\fcs0 \cs15\b0\v\f1\fs20\cf9\insrsid2490866\charrsid946740 &lt;NumAmB&gt;}{\rtlch\fcs1 \af0 \ltrch\fcs0 \insrsid2490866\charrsid946740 [ZNRAM]}{_x000d__x000a_\rtlch\fcs1 \af0 \ltrch\fcs0 \cs15\b0\v\f1\fs20\cf9\insrsid2490866\charrsid946740 &lt;/NumAmB&gt;}{\rtlch\fcs1 \af0 \ltrch\fcs0 \insrsid2490866\charrsid946740 _x000d__x000a_\par }\pard\plain \ltrpar\s18\ql \li0\ri0\nowidctlpar\wrapdefault\aspalpha\aspnum\faauto\adjustright\rin0\lin0\itap0\pararsid5976803 \rtlch\fcs1 \af0\afs20\alang1025 \ltrch\fcs0 \b\fs24\lang2057\langfe2057\cgrid\langnp2057\langfenp2057 {\rtlch\fcs1 \af0 _x000d__x000a_\ltrch\fcs0 \cs15\b0\v\f1\fs20\cf9\lang1024\langfe1024\noproof\insrsid2490866\charrsid14699840 &lt;RepeatBlock-By&gt;}{\rtlch\fcs1 \af0 \ltrch\fcs0 \lang1024\langfe1024\noproof\insrsid2490866\charrsid14699840 [RepeatMembers]}{\rtlch\fcs1 \af0 \ltrch\fcs0 _x000d__x000a_\cs15\b0\v\f1\fs20\cf9\lang1024\langfe1024\noproof\insrsid2490866\charrsid14699840 &lt;Members&gt;}{\rtlch\fcs1 \af0 \ltrch\fcs0 \insrsid2490866\charrsid14699840 [ZMEMBERS]}{\rtlch\fcs1 \af0 \ltrch\fcs0 _x000d__x000a_\cs15\b0\v\f1\fs20\cf9\lang1024\langfe1024\noproof\insrsid2490866\charrsid14699840 &lt;/Members&gt;}{\rtlch\fcs1 \af0 \ltrch\fcs0 \insrsid2490866\charrsid14699840 _x000d__x000a_\par }\pard\plain \ltrpar\ql \li0\ri0\widctlpar\wrapdefault\aspalpha\aspnum\faauto\adjustright\rin0\lin0\itap0\pararsid5976803 \rtlch\fcs1 \af0\afs20\alang1025 \ltrch\fcs0 \fs24\lang2057\langfe2057\cgrid\langnp2057\langfenp2057 {\rtlch\fcs1 \af0 \ltrch\fcs0 _x000d__x000a_\cs15\v\f1\fs20\cf9\lang1024\langfe1024\noproof\insrsid2490866\charrsid14699840 &lt;AuNomDe&gt;&lt;OptDel&gt;}{\rtlch\fcs1 \af0 \ltrch\fcs0 \lang1024\langfe1024\noproof\insrsid2490866\charrsid14699840 [ZONBEHALF]}{\rtlch\fcs1 \af0 \ltrch\fcs0 _x000d__x000a_\cs15\v\f1\fs20\cf9\lang1024\langfe1024\noproof\insrsid2490866\charrsid14699840 &lt;/OptDel&gt;&lt;/AuNomDe&gt;}{\rtlch\fcs1 \af0 \ltrch\fcs0 \insrsid2490866\charrsid14699840 _x000d__x000a_\par &lt;&lt;&lt;}{\rtlch\fcs1 \af0 \ltrch\fcs0 \cs15\v\f1\fs20\cf9\lang1024\langfe1024\noproof\insrsid2490866\charrsid14699840 &lt;/RepeatBlock-By&gt;}{\rtlch\fcs1 \af0 \ltrch\fcs0 \insrsid2490866\charrsid14699840 _x000d__x000a_\par }\pard\plain \ltrpar\s18\ql \li0\ri0\nowidctlpar\wrapdefault\aspalpha\aspnum\faauto\adjustright\rin0\lin0\itap0\pararsid5976803 \rtlch\fcs1 \af0\afs20\alang1025 \ltrch\fcs0 \b\fs24\lang2057\langfe2057\cgrid\langnp2057\langfenp2057 {\rtlch\fcs1 \af0 _x000d__x000a_\ltrch\fcs0 \cs15\b0\v\f1\fs20\cf9\insrsid2490866\charrsid946740 &lt;DocAmend&gt;}{\rtlch\fcs1 \af0 \ltrch\fcs0 \insrsid2490866\charrsid946740 [Z}{\rtlch\fcs1 \af0 \ltrch\fcs0 \insrsid2490866 AMDOC}{\rtlch\fcs1 \af0 \ltrch\fcs0 \insrsid2490866\charrsid946740 ]}_x000d__x000a_{\rtlch\fcs1 \af0 \ltrch\fcs0 \cs15\b0\v\f1\fs20\cf9\insrsid2490866\charrsid946740 &lt;/DocAmend&gt;}{\rtlch\fcs1 \af0 \ltrch\fcs0 \insrsid2490866\charrsid946740 _x000d__x000a_\par }\pard \ltrpar\s18\ql \li0\ri0\keepn\nowidctlpar\wrapdefault\aspalpha\aspnum\faauto\adjustright\rin0\lin0\itap0\pararsid10630121 {\rtlch\fcs1 \af0 \ltrch\fcs0 \cs15\b0\v\f1\fs20\cf9\insrsid2490866\charrsid946740 &lt;Article&gt;}{\rtlch\fcs1 \af0 \ltrch\fcs0 _x000d__x000a_\insrsid2490866\charrsid946740 [ZAMPART]}{\rtlch\fcs1 \af0 \ltrch\fcs0 \cs15\b0\v\f1\fs20\cf9\insrsid2490866\charrsid946740 &lt;/Article&gt;}{\rtlch\fcs1 \af0 \ltrch\fcs0 \insrsid2490866\charrsid946740 _x000d__x000a_\par }\pard\plain \ltrpar\ql \li0\ri0\keepn\widctlpar\wrapdefault\aspalpha\aspnum\faauto\adjustright\rin0\lin0\itap0\pararsid3744759 \rtlch\fcs1 \af0\afs20\alang1025 \ltrch\fcs0 \fs24\lang2057\langfe2057\cgrid\langnp2057\langfenp2057 {\rtlch\fcs1 \af0 _x000d__x000a_\ltrch\fcs0 \cs15\v\f1\fs20\cf9\insrsid2490866\charrsid946740 &lt;DocAmend2&gt;&lt;OptDel&gt;}{\rtlch\fcs1 \af0 \ltrch\fcs0 \insrsid2490866\charrsid946740 [ZNRACT]}{\rtlch\fcs1 \af0 \ltrch\fcs0 \cs15\v\f1\fs20\cf9\insrsid2490866\charrsid946740 &lt;/OptDel&gt;&lt;/DocAmend2&gt;}{_x000d__x000a_\rtlch\fcs1 \af0 \ltrch\fcs0 \insrsid2490866\charrsid946740 _x000d__x000a_\par }\pard \ltrpar\ql \li0\ri0\widctlpar\wrapdefault\aspalpha\aspnum\faauto\adjustright\rin0\lin0\itap0\pararsid10158853 {\rtlch\fcs1 \af0 \ltrch\fcs0 \cs15\v\f1\fs20\cf9\insrsid2490866\charrsid946740 &lt;Article2&gt;&lt;OptDel&gt;}{\rtlch\fcs1 \af0 \ltrch\fcs0 _x000d__x000a_\insrsid2490866\charrsid946740 [ZACTPART]}{\rtlch\fcs1 \af0 \ltrch\fcs0 \cs15\v\f1\fs20\cf9\insrsid2490866\charrsid946740 &lt;/OptDel&gt;&lt;/Article2&gt;}{\rtlch\fcs1 \af0 \ltrch\fcs0 \insrsid2490866\charrsid946740 _x000d__x000a_\par \ltrrow}\trowd \ltrrow\ts11\trqc\trgaph340\trleft-340\trftsWidth3\trwWidth9752\trftsWidthB3\trftsWidthA3\trpaddl340\trpaddr340\trpaddfl3\trpaddfr3\tblind0\tblindtype3 \clvertalt\clbrdrt\brdrtbl \clbrdrl\brdrtbl \clbrdrb\brdrtbl \clbrdrr\brdrtbl _x000d__x000a_\cltxlrtb\clftsWidth3\clwWidth9752\clshdrawnil \cellx9412\pard \ltrpar\ql \li0\ri0\keepn\widctlpar\intbl\wrapdefault\aspalpha\aspnum\faauto\adjustright\rin0\lin0\pararsid10630121 {\rtlch\fcs1 \af0 \ltrch\fcs0 \insrsid2490866\charrsid946740 \cell _x000d__x000a_}\pard \ltrpar\ql \li0\ri0\widctlpar\intbl\wrapdefault\aspalpha\aspnum\faauto\adjustright\rin0\lin0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9752\clshdrawnil \cellx9412\row \ltrrow}\trowd \ltrrow\ts11\trqc\trgaph340\trleft-340\trftsWidth3\trwWidth9752\trftsWidthB3\trftsWidthA3\trpaddl340\trpaddr340\trpaddfl3\trpaddfr3\tblind0\tblindtype3 \clvertalt\clbrdrt_x000d__x000a_\brdrtbl \clbrdrl\brdrtbl \clbrdrb\brdrtbl \clbrdrr\brdrtbl \cltxlrtb\clftsWidth3\clwWidth4876\clshdrawnil \cellx4536\clvertalt\clbrdrt\brdrtbl \clbrdrl\brdrtbl \clbrdrb\brdrtbl \clbrdrr\brdrtbl \cltxlrtb\clftsWidth3\clwWidth4876\clshdrawnil \cellx9412_x000d__x000a_\pard\plain \ltrpar\s24\qc \li0\ri0\sa240\keepn\nowidctlpar\intbl\wrapdefault\aspalpha\aspnum\faauto\adjustright\rin0\lin0\pararsid10630121 \rtlch\fcs1 \af0\afs20\alang1025 \ltrch\fcs0 \i\fs24\lang2057\langfe2057\cgrid\langnp2057\langfenp2057 {_x000d__x000a_\rtlch\fcs1 \af0 \ltrch\fcs0 \insrsid2490866\charrsid946740 [ZLEFTB]\cell [ZRIGHT]\cell }\pard\plain \ltrpar\ql \li0\ri0\widctlpar\intbl\wrapdefault\aspalpha\aspnum\faauto\adjustright\rin0\lin0 \rtlch\fcs1 \af0\afs20\alang1025 \ltrch\fcs0 _x000d__x000a_\fs24\lang2057\langfe2057\cgrid\langnp2057\langfenp2057 {\rtlch\fcs1 \af0 \ltrch\fcs0 \insrsid2490866\charrsid946740 \trowd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ltrrow}\pard\plain \ltrpar_x000d__x000a_\s16\ql \li0\ri0\sa120\nowidctlpar\intbl\wrapdefault\aspalpha\aspnum\faauto\adjustright\rin0\lin0\pararsid12024389 \rtlch\fcs1 \af0\afs20\alang1025 \ltrch\fcs0 \fs24\lang2057\langfe2057\cgrid\langnp2057\langfenp2057 {\rtlch\fcs1 \af0 \ltrch\fcs0 _x000d__x000a_\insrsid2490866\charrsid946740 [ZTEXTL]\cell [ZTEXTR]}{\rtlch\fcs1 \af0\afs24 \ltrch\fcs0 \insrsid2490866\charrsid946740 \cell }\pard\plain \ltrpar\ql \li0\ri0\widctlpar\intbl\wrapdefault\aspalpha\aspnum\faauto\adjustright\rin0\lin0 \rtlch\fcs1 _x000d__x000a_\af0\afs20\alang1025 \ltrch\fcs0 \fs24\lang2057\langfe2057\cgrid\langnp2057\langfenp2057 {\rtlch\fcs1 \af0 \ltrch\fcs0 \insrsid2490866\charrsid946740 \trowd \lastrow \ltrrow_x000d__x000a_\ts11\trqc\trgaph340\trleft-340\trftsWidth3\trwWidth9752\trftsWidthB3\trftsWidthA3\trpaddl340\trpaddr340\trpaddfl3\trpaddfr3\tblind0\tblindtype3 \clvertalt\clbrdrt\brdrtbl \clbrdrl\brdrtbl \clbrdrb\brdrtbl \clbrdrr\brdrtbl _x000d__x000a_\cltxlrtb\clftsWidth3\clwWidth4876\clshdrawnil \cellx4536\clvertalt\clbrdrt\brdrtbl \clbrdrl\brdrtbl \clbrdrb\brdrtbl \clbrdrr\brdrtbl \cltxlrtb\clftsWidth3\clwWidth4876\clshdrawnil \cellx9412\row }\pard\plain \ltrpar_x000d__x000a_\s23\qr \li0\ri0\sb240\sa240\nowidctlpar\wrapdefault\aspalpha\aspnum\faauto\adjustright\rin0\lin0\itap0\pararsid16390444 \rtlch\fcs1 \af0\afs20\alang1025 \ltrch\fcs0 \fs24\lang1024\langfe1024\cgrid\noproof\langnp2057\langfenp2057 {\rtlch\fcs1 \af0 _x000d__x000a_\ltrch\fcs0 \noproof0\insrsid2490866\charrsid946740 Or. }{\rtlch\fcs1 \af0 \ltrch\fcs0 \cs15\v\f1\fs20\cf9\noproof0\insrsid2490866\charrsid946740 &lt;Original&gt;}{\rtlch\fcs1 \af0 \ltrch\fcs0 \noproof0\insrsid2490866\charrsid946740 [ZORLANG]}{\rtlch\fcs1 \af0 _x000d__x000a_\ltrch\fcs0 \cs15\v\f1\fs20\cf9\noproof0\insrsid2490866\charrsid946740 &lt;/Original&gt;}{\rtlch\fcs1 \af0 \ltrch\fcs0 \noproof0\insrsid2490866\charrsid946740 _x000d__x000a_\par }\pard\plain \ltrpar\s21\qc \li0\ri0\sb240\nowidctlpar\wrapdefault\aspalpha\aspnum\faauto\adjustright\rin0\lin0\itap0\pararsid10630121 \rtlch\fcs1 \af0\afs20\alang1025 \ltrch\fcs0 \i\fs24\lang2057\langfe2057\cgrid\langnp2057\langfenp2057 {\rtlch\fcs1 _x000d__x000a_\af0 \ltrch\fcs0 \cs15\i0\v\f1\fs20\cf9\insrsid2490866\charrsid946740 &lt;OptDel&gt;}{\rtlch\fcs1 \af0 \ltrch\fcs0 \insrsid2490866\charrsid946740 [ZCROSSREF]}{\rtlch\fcs1 \af0 \ltrch\fcs0 \cs15\i0\v\f1\fs20\cf9\insrsid2490866\charrsid946740 &lt;/OptDel&gt;}{_x000d__x000a_\rtlch\fcs1 \af0 \ltrch\fcs0 \insrsid2490866\charrsid946740 _x000d__x000a_\par }\pard\plain \ltrpar\s22\qc \li0\ri0\sb240\sa240\keepn\nowidctlpar\wrapdefault\aspalpha\aspnum\faauto\adjustright\rin0\lin0\itap0\pararsid3744759 \rtlch\fcs1 \af0\afs20\alang1025 \ltrch\fcs0 _x000d__x000a_\i\fs24\lang1024\langfe1024\cgrid\noproof\langnp2057\langfenp2057 {\rtlch\fcs1 \af0 \ltrch\fcs0 \cs15\i0\v\f1\fs20\cf9\noproof0\insrsid2490866\charrsid946740 &lt;TitreJust&gt;}{\rtlch\fcs1 \af0 \ltrch\fcs0 \noproof0\insrsid2490866\charrsid946740 _x000d__x000a_[ZJUSTIFICATION]}{\rtlch\fcs1 \af0 \ltrch\fcs0 \cs15\i0\v\f1\fs20\cf9\noproof0\insrsid2490866\charrsid946740 &lt;/TitreJust&gt;}{\rtlch\fcs1 \af0 \ltrch\fcs0 \noproof0\insrsid2490866\charrsid946740 _x000d__x000a_\par }\pard\plain \ltrpar\s20\ql \li0\ri0\sa240\nowidctlpar\wrapdefault\aspalpha\aspnum\faauto\adjustright\rin0\lin0\itap0\pararsid16390444 \rtlch\fcs1 \af0\afs20\alang1025 \ltrch\fcs0 \i\fs24\lang1024\langfe1024\cgrid\noproof\langnp2057\langfenp2057 {_x000d__x000a_\rtlch\fcs1 \af0 \ltrch\fcs0 \cs15\i0\v\f1\fs20\cf9\noproof0\insrsid2490866\charrsid946740 &lt;OptDelPrev&gt;}{\rtlch\fcs1 \af0 \ltrch\fcs0 \noproof0\insrsid2490866\charrsid946740 [ZTEXTJUST]}{\rtlch\fcs1 \af0 \ltrch\fcs0 _x000d__x000a_\cs15\i0\v\f1\fs20\cf9\noproof0\insrsid2490866\charrsid946740 &lt;/OptDelPrev&gt;}{\rtlch\fcs1 \af0 \ltrch\fcs0 \noproof0\insrsid2490866\charrsid946740 _x000d__x000a_\par }\pard\plain \ltrpar\ql \li0\ri0\widctlpar\wrapdefault\aspalpha\aspnum\faauto\adjustright\rin0\lin0\itap0\pararsid16324206 \rtlch\fcs1 \af0\afs20\alang1025 \ltrch\fcs0 \fs24\lang2057\langfe2057\cgrid\langnp2057\langfenp2057 {\rtlch\fcs1 \af0 \ltrch\fcs0 _x000d__x000a_\cs15\v\f1\fs20\cf9\insrsid2490866\charrsid946740 &lt;/AmendB&gt;}{\rtlch\fcs1 \af0 \ltrch\fcs0 \insrsid24658\charrsid16324206 {\*\bkmkend restartB}_x000d__x000a_\par }{\*\themedata 504b030414000600080000002100e9de0fbfff0000001c020000130000005b436f6e74656e745f54797065735d2e786d6cac91cb4ec3301045f748fc83e52d4a_x000d__x000a_9cb2400825e982c78ec7a27cc0c8992416c9d8b2a755fbf74cd25442a820166c2cd933f79e3be372bd1f07b5c3989ca74aaff2422b24eb1b475da5df374fd9ad_x000d__x000a_5689811a183c61a50f98f4babebc2837878049899a52a57be670674cb23d8e90721f90a4d2fa3802cb35762680fd800ecd7551dc18eb899138e3c943d7e503b6_x000d__x000a_b01d583deee5f99824e290b4ba3f364eac4a430883b3c092d4eca8f946c916422ecab927f52ea42b89a1cd59c254f919b0e85e6535d135a8de20f20b8c12c3b0_x000d__x000a_0c895fcf6720192de6bf3b9e89ecdbd6596cbcdd8eb28e7c365ecc4ec1ff1460f53fe813d3cc7f5b7f020000ffff0300504b030414000600080000002100a5d6_x000d__x000a_a7e7c0000000360100000b0000005f72656c732f2e72656c73848fcf6ac3300c87ef85bd83d17d51d2c31825762fa590432fa37d00e1287f68221bdb1bebdb4f_x000d__x000a_c7060abb0884a4eff7a93dfeae8bf9e194e720169aaa06c3e2433fcb68e1763dbf7f82c985a4a725085b787086a37bdbb55fbc50d1a33ccd311ba548b6309512_x000d__x000a_0f88d94fbc52ae4264d1c910d24a45db3462247fa791715fd71f989e19e0364cd3f51652d73760ae8fa8c9ffb3c330cc9e4fc17faf2ce545046e37944c69e462_x000d__x000a_a1a82fe353bd90a865aad41ed0b5b8f9d6fd010000ffff0300504b0304140006000800000021006b799616830000008a0000001c0000007468656d652f746865_x000d__x000a_6d652f7468656d654d616e616765722e786d6c0ccc4d0ac3201040e17da17790d93763bb284562b2cbaebbf600439c1a41c7a0d29fdbd7e5e38337cedf14d59b_x000d__x000a_4b0d592c9c070d8a65cd2e88b7f07c2ca71ba8da481cc52c6ce1c715e6e97818c9b48d13df49c873517d23d59085adb5dd20d6b52bd521ef2cdd5eb9246a3d8b_x000d__x000a_4757e8d3f729e245eb2b260a0238fd010000ffff0300504b03041400060008000000210030dd4329a8060000a41b0000160000007468656d652f7468656d652f_x000d__x000a_7468656d65312e786d6cec594f6fdb3614bf0fd87720746f6327761a07758ad8b19b2d4d1bc46e871e698996d850a240d2497d1bdae38001c3ba618715d86d87_x000d__x000a_615b8116d8a5fb34d93a6c1dd0afb0475292c5585e9236d88aad3e2412f9e3fbff1e1fa9abd7eec70c1d1221294fda5efd72cd4324f1794093b0eddd1ef62fad_x000d__x000a_79482a9c0498f184b4bd2991deb58df7dfbb8ad755446282607d22d771db8b944ad79796a40fc3585ee62949606ecc458c15bc8a702910f808e8c66c69b9565b_x000d__x000a_5d8a314d3c94e018c8de1a8fa94fd05093f43672e23d06af89927ac06762a049136785c10607758d9053d965021d62d6f6804fc08f86e4bef210c352c144dbab_x000d__x000a_999fb7b4717509af678b985ab0b6b4ae6f7ed9ba6c4170b06c788a705430adf71bad2b5b057d03606a1ed7ebf5babd7a41cf00b0ef83a6569632cd467faddec9_x000d__x000a_699640f6719e76b7d6ac355c7c89feca9cccad4ea7d36c65b258a206641f1b73f8b5da6a6373d9c11b90c537e7f08dce66b7bbeae00dc8e257e7f0fd2badd586_x000d__x000a_8b37a088d1e4600ead1ddaef67d40bc898b3ed4af81ac0d76a197c86826828a24bb318f3442d8ab518dfe3a20f000d6458d104a9694ac6d88728eee2782428d6_x000d__x000a_0cf03ac1a5193be4cbb921cd0b495fd054b5bd0f530c1931a3f7eaf9f7af9e3f45c70f9e1d3ff8e9f8e1c3e3073f5a42ceaa6d9c84e5552fbffdeccfc71fa33f_x000d__x000a_9e7ef3f2d117d57859c6fffac327bffcfc793510d26726ce8b2f9ffcf6ecc98baf3efdfdbb4715f04d814765f890c644a29be408edf3181433567125272371be_x000d__x000a_15c308d3f28acd249438c19a4b05fd9e8a1cf4cd296699771c393ac4b5e01d01e5a30a787d72cf1178108989a2159c77a2d801ee72ce3a5c545a6147f32a9979_x000d__x000a_3849c26ae66252c6ed637c58c5bb8b13c7bfbd490a75330f4b47f16e441c31f7184e140e494214d273fc80900aedee52ead87597fa824b3e56e82e451d4c2b4d_x000d__x000a_32a423279a668bb6690c7e9956e90cfe766cb37b077538abd27a8b1cba48c80acc2a841f12e698f13a9e281c57911ce298950d7e03aba84ac8c154f8655c4f2a_x000d__x000a_f074481847bd804859b5e696007d4b4edfc150b12addbecba6b18b148a1e54d1bc81392f23b7f84137c2715a851dd0242a633f900710a218ed715505dfe56e86_x000d__x000a_e877f0034e16bafb0e258ebb4faf06b769e888340b103d331115bebc4eb813bf83291b63624a0d1475a756c734f9bbc2cd28546ecbe1e20a3794ca175f3fae90_x000d__x000a_fb6d2dd99bb07b55e5ccf68942bd0877b23c77b908e8db5f9db7f024d9239010f35bd4bbe2fcae387bfff9e2bc289f2fbe24cfaa301468dd8bd846dbb4ddf1c2_x000d__x000a_ae7b4c191ba8292337a469bc25ec3d411f06f53a73e224c5292c8de0516732307070a1c0660d125c7d44553488700a4d7bddd3444299910e254ab984c3a219ae_x000d__x000a_a4adf1d0f82b7bd46cea4388ad1c12ab5d1ed8e1153d9c9f350a3246aad01c6873462b9ac05999ad5cc988826eafc3acae853a33b7ba11cd1445875ba1b236b1_x000d__x000a_399483c90bd560b0b0263435085a21b0f22a9cf9356b38ec6046026d77eba3dc2dc60b17e92219e180643ed27acffba86e9c94c7ca9c225a0f1b0cfae0788ad5_x000d__x000a_4adc5a9aec1b703b8b93caec1a0bd8e5de7b132fe5113cf312503b998e2c2927274bd051db6b35979b1ef271daf6c6704e86c73805af4bdd476216c26593af84_x000d__x000a_0dfb5393d964f9cc9bad5c313709ea70f561ed3ea7b053075221d51696910d0d339585004b34272bff7213cc7a510a5454a3b349b1b206c1f0af490176745d4b_x000d__x000a_c663e2abb2b34b23da76f6352ba57ca2881844c1111ab189d8c7e07e1daaa04f40255c77988aa05fe06e4e5bdb4cb9c5394bbaf28d98c1d971ccd20867e556a7_x000d__x000a_689ec9166e0a522183792b8907ba55ca6e943bbf2a26e52f48957218ffcf54d1fb09dc3eac04da033e5c0d0b8c74a6b43d2e54c4a10aa511f5fb021a07533b20_x000d__x000a_5ae07e17a621a8e082dafc17e450ffb739676998b48643a4daa7211214f623150942f6a02c99e83b85583ddbbb2c4996113211551257a656ec1139246ca86be0_x000d__x000a_aadedb3d1441a89b6a929501833b197fee7b9641a3503739e57c732a59b1f7da1cf8a73b1f9bcca0945b874d4393dbbf10b1680f66bbaa5d6f96e77b6f59113d_x000d__x000a_316bb31a795600b3d256d0cad2fe354538e7566b2bd69cc6cbcd5c38f0e2bcc63058344429dc2121fd07f63f2a7c66bf76e80d75c8f7a1b622f878a18941d840_x000d__x000a_545fb28d07d205d20e8ea071b283369834296bdaac75d256cb37eb0bee740bbe278cad253b8bbfcf69eca23973d939b97891c6ce2cecd8da8e2d343578f6648a_x000d__x000a_c2d0383fc818c798cf64e52f597c740f1cbd05df0c264c49134cf09d4a60e8a107260f20f92d47b374e32f000000ffff0300504b030414000600080000002100_x000d__x000a_0dd1909fb60000001b010000270000007468656d652f7468656d652f5f72656c732f7468656d654d616e616765722e786d6c2e72656c73848f4d0ac2301484f7_x000d__x000a_8277086f6fd3ba109126dd88d0add40384e4350d363f2451eced0dae2c082e8761be9969bb979dc9136332de3168aa1a083ae995719ac16db8ec8e4052164e89_x000d__x000a_d93b64b060828e6f37ed1567914b284d262452282e3198720e274a939cd08a54f980ae38a38f56e422a3a641c8bbd048f7757da0f19b017cc524bd62107bd500_x000d__x000a_1996509affb3fd381a89672f1f165dfe514173d9850528a2c6cce0239baa4c04ca5bbabac4df000000ffff0300504b01022d0014000600080000002100e9de0f_x000d__x000a_bfff0000001c0200001300000000000000000000000000000000005b436f6e74656e745f54797065735d2e786d6c504b01022d0014000600080000002100a5d6_x000d__x000a_a7e7c0000000360100000b00000000000000000000000000300100005f72656c732f2e72656c73504b01022d00140006000800000021006b799616830000008a_x000d__x000a_0000001c00000000000000000000000000190200007468656d652f7468656d652f7468656d654d616e616765722e786d6c504b01022d00140006000800000021_x000d__x000a_0030dd4329a8060000a41b00001600000000000000000000000000d60200007468656d652f7468656d652f7468656d65312e786d6c504b01022d001400060008_x000d__x000a_00000021000dd1909fb60000001b0100002700000000000000000000000000b20900007468656d652f7468656d652f5f72656c732f7468656d654d616e616765722e786d6c2e72656c73504b050600000000050005005d010000ad0a00000000}_x000d__x000a_{\*\colorschememapping 3c3f786d6c2076657273696f6e3d22312e302220656e636f64696e673d225554462d3822207374616e64616c6f6e653d22796573223f3e0d0a3c613a636c724d_x000d__x000a_617020786d6c6e733a613d22687474703a2f2f736368656d61732e6f70656e786d6c666f726d6174732e6f72672f64726177696e676d6c2f323030362f6d6169_x000d__x000a_6e22206267313d226c743122207478313d22646b3122206267323d226c743222207478323d22646b322220616363656e74313d22616363656e74312220616363_x000d__x000a_656e74323d22616363656e74322220616363656e74333d22616363656e74332220616363656e74343d22616363656e74342220616363656e74353d22616363656e74352220616363656e74363d22616363656e74362220686c696e6b3d22686c696e6b2220666f6c486c696e6b3d22666f6c486c696e6b222f3e}_x000d__x000a_{\*\latentstyles\lsdstimax267\lsdlockeddef0\lsdsemihiddendef0\lsdunhideuseddef0\lsdqformatdef0\lsdprioritydef0{\lsdlockedexcept \lsdqformat1 \lsdlocked0 Normal;\lsdqformat1 \lsdlocked0 heading 1;_x000d__x000a_\lsdsemihidden1 \lsdunhideused1 \lsdqformat1 \lsdlocked0 heading 2;\lsdsemihidden1 \lsdunhideused1 \lsdqformat1 \lsdlocked0 heading 3;\lsdsemihidden1 \lsdunhideused1 \lsdqformat1 \lsdlocked0 heading 4;_x000d__x000a_\lsdsemihidden1 \lsdunhideused1 \lsdqformat1 \lsdlocked0 heading 5;\lsdsemihidden1 \lsdunhideused1 \lsdqformat1 \lsdlocked0 heading 6;\lsdsemihidden1 \lsdunhideused1 \lsdqformat1 \lsdlocked0 heading 7;_x000d__x000a_\lsdsemihidden1 \lsdunhideused1 \lsdqformat1 \lsdlocked0 heading 8;\lsdsemihidden1 \lsdunhideused1 \lsdqformat1 \lsdlocked0 heading 9;\lsdsemihidden1 \lsdunhideused1 \lsdqformat1 \lsdlocked0 caption;\lsdqformat1 \lsdlocked0 Title;_x000d__x000a_\lsdqformat1 \lsdlocked0 Subtitle;\lsdqformat1 \lsdlocked0 Strong;\lsdqformat1 \lsdlocked0 Emphasis;\lsdsemihidden1 \lsdpriority99 \lsdlocked0 Placeholder Text;\lsdqformat1 \lsdpriority1 \lsdlocked0 No Spacing;\lsdpriority60 \lsdlocked0 Light Shading;_x000d__x000a_\lsdpriority61 \lsdlocked0 Light List;\lsdpriority62 \lsdlocked0 Light Grid;\lsdpriority63 \lsdlocked0 Medium Shading 1;\lsdpriority64 \lsdlocked0 Medium Shading 2;\lsdpriority65 \lsdlocked0 Medium List 1;\lsdpriority66 \lsdlocked0 Medium List 2;_x000d__x000a_\lsdpriority67 \lsdlocked0 Medium Grid 1;\lsdpriority68 \lsdlocked0 Medium Grid 2;\lsdpriority69 \lsdlocked0 Medium Grid 3;\lsdpriority70 \lsdlocked0 Dark List;\lsdpriority71 \lsdlocked0 Colorful Shading;\lsdpriority72 \lsdlocked0 Colorful List;_x000d__x000a_\lsdpriority73 \lsdlocked0 Colorful Grid;\lsdpriority60 \lsdlocked0 Light Shading Accent 1;\lsdpriority61 \lsdlocked0 Light List Accent 1;\lsdpriority62 \lsdlocked0 Light Grid Accent 1;\lsdpriority63 \lsdlocked0 Medium Shading 1 Accent 1;_x000d__x000a_\lsdpriority64 \lsdlocked0 Medium Shading 2 Accent 1;\lsdpriority65 \lsdlocked0 Medium List 1 Accent 1;\lsdsemihidden1 \lsdpriority99 \lsdlocked0 Revision;\lsdqformat1 \lsdpriority34 \lsdlocked0 List Paragraph;_x000d__x000a_\lsdqformat1 \lsdpriority29 \lsdlocked0 Quote;\lsdqformat1 \lsdpriority30 \lsdlocked0 Intense Quote;\lsdpriority66 \lsdlocked0 Medium List 2 Accent 1;\lsdpriority67 \lsdlocked0 Medium Grid 1 Accent 1;\lsdpriority68 \lsdlocked0 Medium Grid 2 Accent 1;_x000d__x000a_\lsdpriority69 \lsdlocked0 Medium Grid 3 Accent 1;\lsdpriority70 \lsdlocked0 Dark List Accent 1;\lsdpriority71 \lsdlocked0 Colorful Shading Accent 1;\lsdpriority72 \lsdlocked0 Colorful List Accent 1;\lsdpriority73 \lsdlocked0 Colorful Grid Accent 1;_x000d__x000a_\lsdpriority60 \lsdlocked0 Light Shading Accent 2;\lsdpriority61 \lsdlocked0 Light List Accent 2;\lsdpriority62 \lsdlocked0 Light Grid Accent 2;\lsdpriority63 \lsdlocked0 Medium Shading 1 Accent 2;\lsdpriority64 \lsdlocked0 Medium Shading 2 Accent 2;_x000d__x000a_\lsdpriority65 \lsdlocked0 Medium List 1 Accent 2;\lsdpriority66 \lsdlocked0 Medium List 2 Accent 2;\lsdpriority67 \lsdlocked0 Medium Grid 1 Accent 2;\lsdpriority68 \lsdlocked0 Medium Grid 2 Accent 2;\lsdpriority69 \lsdlocked0 Medium Grid 3 Accent 2;_x000d__x000a_\lsdpriority70 \lsdlocked0 Dark List Accent 2;\lsdpriority71 \lsdlocked0 Colorful Shading Accent 2;\lsdpriority72 \lsdlocked0 Colorful List Accent 2;\lsdpriority73 \lsdlocked0 Colorful Grid Accent 2;\lsdpriority60 \lsdlocked0 Light Shading Accent 3;_x000d__x000a_\lsdpriority61 \lsdlocked0 Light List Accent 3;\lsdpriority62 \lsdlocked0 Light Grid Accent 3;\lsdpriority63 \lsdlocked0 Medium Shading 1 Accent 3;\lsdpriority64 \lsdlocked0 Medium Shading 2 Accent 3;\lsdpriority65 \lsdlocked0 Medium List 1 Accent 3;_x000d__x000a_\lsdpriority66 \lsdlocked0 Medium List 2 Accent 3;\lsdpriority67 \lsdlocked0 Medium Grid 1 Accent 3;\lsdpriority68 \lsdlocked0 Medium Grid 2 Accent 3;\lsdpriority69 \lsdlocked0 Medium Grid 3 Accent 3;\lsdpriority70 \lsdlocked0 Dark List Accent 3;_x000d__x000a_\lsdpriority71 \lsdlocked0 Colorful Shading Accent 3;\lsdpriority72 \lsdlocked0 Colorful List Accent 3;\lsdpriority73 \lsdlocked0 Colorful Grid Accent 3;\lsdpriority60 \lsdlocked0 Light Shading Accent 4;\lsdpriority61 \lsdlocked0 Light List Accent 4;_x000d__x000a_\lsdpriority62 \lsdlocked0 Light Grid Accent 4;\lsdpriority63 \lsdlocked0 Medium Shading 1 Accent 4;\lsdpriority64 \lsdlocked0 Medium Shading 2 Accent 4;\lsdpriority65 \lsdlocked0 Medium List 1 Accent 4;\lsdpriority66 \lsdlocked0 Medium List 2 Accent 4;_x000d__x000a_\lsdpriority67 \lsdlocked0 Medium Grid 1 Accent 4;\lsdpriority68 \lsdlocked0 Medium Grid 2 Accent 4;\lsdpriority69 \lsdlocked0 Medium Grid 3 Accent 4;\lsdpriority70 \lsdlocked0 Dark List Accent 4;\lsdpriority71 \lsdlocked0 Colorful Shading Accent 4;_x000d__x000a_\lsdpriority72 \lsdlocked0 Colorful List Accent 4;\lsdpriority73 \lsdlocked0 Colorful Grid Accent 4;\lsdpriority60 \lsdlocked0 Light Shading Accent 5;\lsdpriority61 \lsdlocked0 Light List Accent 5;\lsdpriority62 \lsdlocked0 Light Grid Accent 5;_x000d__x000a_\lsdpriority63 \lsdlocked0 Medium Shading 1 Accent 5;\lsdpriority64 \lsdlocked0 Medium Shading 2 Accent 5;\lsdpriority65 \lsdlocked0 Medium List 1 Accent 5;\lsdpriority66 \lsdlocked0 Medium List 2 Accent 5;_x000d__x000a_\lsdpriority67 \lsdlocked0 Medium Grid 1 Accent 5;\lsdpriority68 \lsdlocked0 Medium Grid 2 Accent 5;\lsdpriority69 \lsdlocked0 Medium Grid 3 Accent 5;\lsdpriority70 \lsdlocked0 Dark List Accent 5;\lsdpriority71 \lsdlocked0 Colorful Shading Accent 5;_x000d__x000a_\lsdpriority72 \lsdlocked0 Colorful List Accent 5;\lsdpriority73 \lsdlocked0 Colorful Grid Accent 5;\lsdpriority60 \lsdlocked0 Light Shading Accent 6;\lsdpriority61 \lsdlocked0 Light List Accent 6;\lsdpriority62 \lsdlocked0 Light Grid Accent 6;_x000d__x000a_\lsdpriority63 \lsdlocked0 Medium Shading 1 Accent 6;\lsdpriority64 \lsdlocked0 Medium Shading 2 Accent 6;\lsdpriority65 \lsdlocked0 Medium List 1 Accent 6;\lsdpriority66 \lsdlocked0 Medium List 2 Accent 6;_x000d__x000a_\lsdpriority67 \lsdlocked0 Medium Grid 1 Accent 6;\lsdpriority68 \lsdlocked0 Medium Grid 2 Accent 6;\lsdpriority69 \lsdlocked0 Medium Grid 3 Accent 6;\lsdpriority70 \lsdlocked0 Dark List Accent 6;\lsdpriority71 \lsdlocked0 Colorful Shading Accent 6;_x000d__x000a_\lsdpriority72 \lsdlocked0 Colorful List Accent 6;\lsdpriority73 \lsdlocked0 Colorful Grid Accent 6;\lsdqformat1 \lsdpriority19 \lsdlocked0 Subtle Emphasis;\lsdqformat1 \lsdpriority21 \lsdlocked0 Intense Emphasis;_x000d__x000a_\lsdqformat1 \lsdpriority31 \lsdlocked0 Subtle Reference;\lsdqformat1 \lsdpriority32 \lsdlocked0 Intense Reference;\lsdqformat1 \lsdpriority33 \lsdlocked0 Book Title;\lsdsemihidden1 \lsdunhideused1 \lsdpriority37 \lsdlocked0 Bibliography;_x000d__x000a_\lsdsemihidden1 \lsdunhideused1 \lsdqformat1 \lsdpriority39 \lsdlocked0 TOC Heading;}}{\*\datastore 0105000002000000180000004d73786d6c322e534158584d4c5265616465722e362e3000000000000000000000060000_x000d__x000a_d0cf11e0a1b11ae1000000000000000000000000000000003e000300feff090006000000000000000000000001000000010000000000000000100000feffffff00000000feffffff0000000000000000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dfffffffe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ffffffffffffffffffffffffffffffffffffffffffffffffffffffffffffffffffffffffffffffffffffffffffffffffffffffffffffffffffffffffffffffffffffffffffffffffffffffffffffffffffffffffffffffffffffffffffffffffffffffffffffffffffffffffffff_x000d__x000a_ffffffffffffffffffffffffffffffff52006f006f007400200045006e00740072007900000000000000000000000000000000000000000000000000000000000000000000000000000000000000000016000500ffffffffffffffffffffffff0c6ad98892f1d411a65f0040963251e5000000000000000000000000c03f_x000d__x000a_6d229289d001feffffff00000000000000000000000000000000000000000000000000000000000000000000000000000000000000000000000000000000000000000000000000000000000000000000000000000000ffffffffffffffffffffffff00000000000000000000000000000000000000000000000000000000_x000d__x000a_00000000000000000000000000000000000000000000000000000000000000000000000000000000000000000000000000000000000000000000000000000000000000000000000000000000000000000000000000000000ffffffffffffffffffffffff0000000000000000000000000000000000000000000000000000_x000d__x000a_000000000000000000000000000000000000000000000000000000000000000000000000000000000000000000000000000000000000000000000000000000000000000000000000000000000000000000000000000000000000ffffffffffffffffffffffff000000000000000000000000000000000000000000000000_x000d__x000a_0000000000000000000000000000000000000000000000000105000000000000}}"/>
    <w:docVar w:name="strDocTypeID" w:val="AM_Com_LegReport"/>
    <w:docVar w:name="strSubDir" w:val="1154"/>
    <w:docVar w:name="TVTAMPART" w:val="Article 1 - paragraph 2"/>
    <w:docVar w:name="TVTMEMBERS" w:val="Miriam Dalli"/>
    <w:docVar w:name="TXTAUTHOR" w:val="Miriam Dalli"/>
    <w:docVar w:name="TXTLANGUE" w:val="FR"/>
    <w:docVar w:name="TXTLANGUEMIN" w:val="fr"/>
    <w:docVar w:name="TXTNRAM" w:val="1"/>
    <w:docVar w:name="TXTNRC" w:val="0395/2017"/>
    <w:docVar w:name="TXTNRCOM" w:val="2017/0676"/>
    <w:docVar w:name="TXTNRFIRSTAM" w:val="1"/>
    <w:docVar w:name="TXTNRLASTAM" w:val="1"/>
    <w:docVar w:name="TXTNRPE" w:val="622.230"/>
    <w:docVar w:name="TXTNRPE2" w:val="619.135"/>
    <w:docVar w:name="TXTNRPROC" w:val="2017/0293"/>
    <w:docVar w:name="TXTPEorAP" w:val="PE"/>
    <w:docVar w:name="TXTROUTE" w:val="AM\1154052FR.docx"/>
    <w:docVar w:name="TXTTITLE" w:val="on the 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
    <w:docVar w:name="TXTVERSION" w:val="01-00"/>
    <w:docVar w:name="TXTVERSION2" w:val="01-00"/>
  </w:docVars>
  <w:rsids>
    <w:rsidRoot w:val="005D2D0B"/>
    <w:rsid w:val="000111BD"/>
    <w:rsid w:val="0003605A"/>
    <w:rsid w:val="00073830"/>
    <w:rsid w:val="00075DBE"/>
    <w:rsid w:val="0008075F"/>
    <w:rsid w:val="000B0781"/>
    <w:rsid w:val="000E7234"/>
    <w:rsid w:val="000F2A80"/>
    <w:rsid w:val="00121CF8"/>
    <w:rsid w:val="00126BC4"/>
    <w:rsid w:val="00150057"/>
    <w:rsid w:val="00166CCB"/>
    <w:rsid w:val="001A4802"/>
    <w:rsid w:val="001B761C"/>
    <w:rsid w:val="001C2054"/>
    <w:rsid w:val="001C502E"/>
    <w:rsid w:val="001D13C9"/>
    <w:rsid w:val="001D5CC4"/>
    <w:rsid w:val="001F0FDD"/>
    <w:rsid w:val="00231EA7"/>
    <w:rsid w:val="00236619"/>
    <w:rsid w:val="002574CB"/>
    <w:rsid w:val="00280EA6"/>
    <w:rsid w:val="002A1C82"/>
    <w:rsid w:val="002A77A0"/>
    <w:rsid w:val="002B6A7B"/>
    <w:rsid w:val="002C5761"/>
    <w:rsid w:val="003003A7"/>
    <w:rsid w:val="00315664"/>
    <w:rsid w:val="00322475"/>
    <w:rsid w:val="00331135"/>
    <w:rsid w:val="00363AD3"/>
    <w:rsid w:val="003743DE"/>
    <w:rsid w:val="0037660F"/>
    <w:rsid w:val="00384E84"/>
    <w:rsid w:val="003923F7"/>
    <w:rsid w:val="003D466C"/>
    <w:rsid w:val="003E43AC"/>
    <w:rsid w:val="003F21EB"/>
    <w:rsid w:val="003F3B0C"/>
    <w:rsid w:val="00422BB2"/>
    <w:rsid w:val="0042354E"/>
    <w:rsid w:val="004367B3"/>
    <w:rsid w:val="00441413"/>
    <w:rsid w:val="00441D7D"/>
    <w:rsid w:val="0045552B"/>
    <w:rsid w:val="00461E32"/>
    <w:rsid w:val="00495E20"/>
    <w:rsid w:val="004E0A0F"/>
    <w:rsid w:val="004E0AAC"/>
    <w:rsid w:val="004F1695"/>
    <w:rsid w:val="004F2903"/>
    <w:rsid w:val="0051442D"/>
    <w:rsid w:val="00546117"/>
    <w:rsid w:val="00547F73"/>
    <w:rsid w:val="005572EA"/>
    <w:rsid w:val="00557617"/>
    <w:rsid w:val="00571479"/>
    <w:rsid w:val="005A7EB4"/>
    <w:rsid w:val="005B32E3"/>
    <w:rsid w:val="005D2D0B"/>
    <w:rsid w:val="005E50C2"/>
    <w:rsid w:val="00607ABE"/>
    <w:rsid w:val="006337D4"/>
    <w:rsid w:val="00637384"/>
    <w:rsid w:val="0066168A"/>
    <w:rsid w:val="00665DDA"/>
    <w:rsid w:val="00672807"/>
    <w:rsid w:val="0067632C"/>
    <w:rsid w:val="00684130"/>
    <w:rsid w:val="00695CC1"/>
    <w:rsid w:val="006A2838"/>
    <w:rsid w:val="006A4640"/>
    <w:rsid w:val="006A7A25"/>
    <w:rsid w:val="006B4B58"/>
    <w:rsid w:val="006B6438"/>
    <w:rsid w:val="006D6B15"/>
    <w:rsid w:val="006F3F81"/>
    <w:rsid w:val="006F4B73"/>
    <w:rsid w:val="00702F62"/>
    <w:rsid w:val="007059E9"/>
    <w:rsid w:val="00706049"/>
    <w:rsid w:val="007152AF"/>
    <w:rsid w:val="00736FBA"/>
    <w:rsid w:val="007659AC"/>
    <w:rsid w:val="0079060C"/>
    <w:rsid w:val="007A42AB"/>
    <w:rsid w:val="007C71DE"/>
    <w:rsid w:val="00822C94"/>
    <w:rsid w:val="008363E4"/>
    <w:rsid w:val="00851460"/>
    <w:rsid w:val="0087052C"/>
    <w:rsid w:val="00874862"/>
    <w:rsid w:val="00875A9C"/>
    <w:rsid w:val="00887FDC"/>
    <w:rsid w:val="008934CE"/>
    <w:rsid w:val="008958DE"/>
    <w:rsid w:val="008F0DDD"/>
    <w:rsid w:val="00900CAE"/>
    <w:rsid w:val="00904AD5"/>
    <w:rsid w:val="009154FF"/>
    <w:rsid w:val="00917A85"/>
    <w:rsid w:val="00966038"/>
    <w:rsid w:val="009A65D8"/>
    <w:rsid w:val="009B0305"/>
    <w:rsid w:val="00A15973"/>
    <w:rsid w:val="00A233E9"/>
    <w:rsid w:val="00A44691"/>
    <w:rsid w:val="00A46736"/>
    <w:rsid w:val="00A507FC"/>
    <w:rsid w:val="00A5426B"/>
    <w:rsid w:val="00A845EF"/>
    <w:rsid w:val="00A93389"/>
    <w:rsid w:val="00A93F8C"/>
    <w:rsid w:val="00AB74D6"/>
    <w:rsid w:val="00AC7149"/>
    <w:rsid w:val="00AE4459"/>
    <w:rsid w:val="00AF25FC"/>
    <w:rsid w:val="00AF2819"/>
    <w:rsid w:val="00B0309C"/>
    <w:rsid w:val="00B0509C"/>
    <w:rsid w:val="00B10564"/>
    <w:rsid w:val="00B155AC"/>
    <w:rsid w:val="00B41B4D"/>
    <w:rsid w:val="00B77A45"/>
    <w:rsid w:val="00B8066A"/>
    <w:rsid w:val="00B85286"/>
    <w:rsid w:val="00B90B7F"/>
    <w:rsid w:val="00BA48D2"/>
    <w:rsid w:val="00BC1B1F"/>
    <w:rsid w:val="00BE0C84"/>
    <w:rsid w:val="00BE61A3"/>
    <w:rsid w:val="00C077BC"/>
    <w:rsid w:val="00C10F61"/>
    <w:rsid w:val="00C22CC4"/>
    <w:rsid w:val="00C35E35"/>
    <w:rsid w:val="00C41E32"/>
    <w:rsid w:val="00C63765"/>
    <w:rsid w:val="00C92798"/>
    <w:rsid w:val="00CB34F1"/>
    <w:rsid w:val="00CB7B07"/>
    <w:rsid w:val="00CC3983"/>
    <w:rsid w:val="00CC7D67"/>
    <w:rsid w:val="00CD115F"/>
    <w:rsid w:val="00D00CC7"/>
    <w:rsid w:val="00D100D1"/>
    <w:rsid w:val="00D10BFD"/>
    <w:rsid w:val="00D14FCE"/>
    <w:rsid w:val="00D15308"/>
    <w:rsid w:val="00D1583C"/>
    <w:rsid w:val="00D15D1E"/>
    <w:rsid w:val="00D677D5"/>
    <w:rsid w:val="00D755F1"/>
    <w:rsid w:val="00D767AC"/>
    <w:rsid w:val="00D82FCC"/>
    <w:rsid w:val="00D83219"/>
    <w:rsid w:val="00D8506E"/>
    <w:rsid w:val="00DB429F"/>
    <w:rsid w:val="00DC4160"/>
    <w:rsid w:val="00DC6A1B"/>
    <w:rsid w:val="00DE672F"/>
    <w:rsid w:val="00E15A86"/>
    <w:rsid w:val="00E25DC5"/>
    <w:rsid w:val="00E34188"/>
    <w:rsid w:val="00E44BB0"/>
    <w:rsid w:val="00E454A5"/>
    <w:rsid w:val="00E471BE"/>
    <w:rsid w:val="00E57F50"/>
    <w:rsid w:val="00E660E2"/>
    <w:rsid w:val="00E976FD"/>
    <w:rsid w:val="00EB1580"/>
    <w:rsid w:val="00EE011D"/>
    <w:rsid w:val="00EF03A3"/>
    <w:rsid w:val="00F27170"/>
    <w:rsid w:val="00F333E2"/>
    <w:rsid w:val="00F459F7"/>
    <w:rsid w:val="00F92B49"/>
    <w:rsid w:val="00F979B2"/>
    <w:rsid w:val="00FA192C"/>
    <w:rsid w:val="00FC1B08"/>
    <w:rsid w:val="00FD05BD"/>
    <w:rsid w:val="00FE0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chartTrackingRefBased/>
  <w15:docId w15:val="{A3CF6C06-FA86-4F2C-AF6E-81C229756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FDD"/>
    <w:pPr>
      <w:widowControl w:val="0"/>
    </w:pPr>
    <w:rPr>
      <w:sz w:val="24"/>
      <w:lang w:val="fr-FR"/>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deTWBExt">
    <w:name w:val="HideTWBExt"/>
    <w:rPr>
      <w:rFonts w:ascii="Arial" w:hAnsi="Arial"/>
      <w:noProof/>
      <w:vanish/>
      <w:color w:val="000080"/>
      <w:sz w:val="20"/>
    </w:rPr>
  </w:style>
  <w:style w:type="paragraph" w:styleId="Footer">
    <w:name w:val="footer"/>
    <w:basedOn w:val="Normal12a12b"/>
    <w:link w:val="FooterChar"/>
    <w:pPr>
      <w:tabs>
        <w:tab w:val="center" w:pos="4535"/>
        <w:tab w:val="right" w:pos="9071"/>
      </w:tabs>
    </w:pPr>
    <w:rPr>
      <w:sz w:val="22"/>
    </w:rPr>
  </w:style>
  <w:style w:type="paragraph" w:customStyle="1" w:styleId="Normal12a12b">
    <w:name w:val="Normal12a12b"/>
    <w:basedOn w:val="Normal"/>
    <w:pPr>
      <w:spacing w:before="240" w:after="240"/>
    </w:pPr>
  </w:style>
  <w:style w:type="paragraph" w:customStyle="1" w:styleId="Footer2">
    <w:name w:val="Footer2"/>
    <w:basedOn w:val="Normal"/>
    <w:pPr>
      <w:widowControl/>
      <w:tabs>
        <w:tab w:val="right" w:pos="9921"/>
      </w:tabs>
      <w:spacing w:after="240"/>
      <w:ind w:left="-850" w:right="-850"/>
    </w:pPr>
    <w:rPr>
      <w:rFonts w:ascii="Arial" w:hAnsi="Arial" w:cs="Arial"/>
      <w:b/>
      <w:sz w:val="48"/>
    </w:rPr>
  </w:style>
  <w:style w:type="paragraph" w:customStyle="1" w:styleId="Normal12">
    <w:name w:val="Normal12"/>
    <w:basedOn w:val="Normal"/>
    <w:link w:val="Normal12Char"/>
    <w:pPr>
      <w:spacing w:after="240"/>
    </w:pPr>
  </w:style>
  <w:style w:type="character" w:customStyle="1" w:styleId="Normal12Char">
    <w:name w:val="Normal12 Char"/>
    <w:link w:val="Normal12"/>
    <w:rsid w:val="002A1C82"/>
    <w:rPr>
      <w:sz w:val="24"/>
      <w:lang w:val="en-GB" w:eastAsia="en-GB" w:bidi="ar-SA"/>
    </w:rPr>
  </w:style>
  <w:style w:type="paragraph" w:styleId="TOC1">
    <w:name w:val="toc 1"/>
    <w:basedOn w:val="Normal12"/>
    <w:next w:val="Normal12"/>
    <w:autoRedefine/>
    <w:semiHidden/>
  </w:style>
  <w:style w:type="paragraph" w:styleId="TOCHeading">
    <w:name w:val="TOC Heading"/>
    <w:basedOn w:val="Normal12"/>
    <w:next w:val="Normal12"/>
    <w:qFormat/>
    <w:pPr>
      <w:keepNext/>
      <w:spacing w:before="240"/>
      <w:jc w:val="center"/>
    </w:pPr>
    <w:rPr>
      <w:rFonts w:ascii="Arial" w:hAnsi="Arial"/>
      <w:b/>
    </w:rPr>
  </w:style>
  <w:style w:type="paragraph" w:customStyle="1" w:styleId="TOCPage">
    <w:name w:val="TOC Page"/>
    <w:basedOn w:val="Normal12"/>
    <w:next w:val="TOC1"/>
    <w:pPr>
      <w:keepNext/>
      <w:jc w:val="right"/>
    </w:pPr>
    <w:rPr>
      <w:rFonts w:ascii="Arial" w:hAnsi="Arial"/>
      <w:b/>
    </w:rPr>
  </w:style>
  <w:style w:type="character" w:customStyle="1" w:styleId="HideTWBInt">
    <w:name w:val="HideTWBInt"/>
    <w:rPr>
      <w:vanish/>
      <w:color w:val="808080"/>
    </w:rPr>
  </w:style>
  <w:style w:type="paragraph" w:customStyle="1" w:styleId="TableofEntries">
    <w:name w:val="Table of Entries"/>
    <w:basedOn w:val="Normal12"/>
    <w:pPr>
      <w:widowControl/>
      <w:tabs>
        <w:tab w:val="right" w:leader="dot" w:pos="9072"/>
      </w:tabs>
      <w:jc w:val="both"/>
    </w:pPr>
  </w:style>
  <w:style w:type="paragraph" w:customStyle="1" w:styleId="Normal6">
    <w:name w:val="Normal6"/>
    <w:basedOn w:val="Normal"/>
    <w:link w:val="Normal6Char"/>
    <w:pPr>
      <w:spacing w:after="120"/>
    </w:pPr>
  </w:style>
  <w:style w:type="character" w:customStyle="1" w:styleId="Normal6Char">
    <w:name w:val="Normal6 Char"/>
    <w:link w:val="Normal6"/>
    <w:rsid w:val="00FA192C"/>
    <w:rPr>
      <w:sz w:val="24"/>
      <w:lang w:val="en-GB" w:eastAsia="en-GB" w:bidi="ar-SA"/>
    </w:rPr>
  </w:style>
  <w:style w:type="paragraph" w:customStyle="1" w:styleId="PageHeading">
    <w:name w:val="PageHeading"/>
    <w:basedOn w:val="Normal12a12b"/>
    <w:pPr>
      <w:keepNext/>
      <w:jc w:val="center"/>
    </w:pPr>
    <w:rPr>
      <w:rFonts w:ascii="Arial" w:hAnsi="Arial"/>
      <w:b/>
    </w:rPr>
  </w:style>
  <w:style w:type="paragraph" w:customStyle="1" w:styleId="NormalBold">
    <w:name w:val="NormalBold"/>
    <w:basedOn w:val="Normal"/>
    <w:link w:val="NormalBoldChar"/>
    <w:rPr>
      <w:b/>
    </w:rPr>
  </w:style>
  <w:style w:type="character" w:customStyle="1" w:styleId="NormalBoldChar">
    <w:name w:val="NormalBold Char"/>
    <w:link w:val="NormalBold"/>
    <w:rsid w:val="008F0DDD"/>
    <w:rPr>
      <w:b/>
      <w:sz w:val="24"/>
      <w:lang w:val="en-GB" w:eastAsia="en-GB" w:bidi="ar-SA"/>
    </w:rPr>
  </w:style>
  <w:style w:type="paragraph" w:customStyle="1" w:styleId="Normal12Bold">
    <w:name w:val="Normal12Bold"/>
    <w:basedOn w:val="Normal12"/>
    <w:rPr>
      <w:b/>
    </w:rPr>
  </w:style>
  <w:style w:type="paragraph" w:customStyle="1" w:styleId="Normal12Italic">
    <w:name w:val="Normal12Italic"/>
    <w:basedOn w:val="Normal12"/>
    <w:rsid w:val="00AF2819"/>
    <w:rPr>
      <w:i/>
      <w:noProof/>
    </w:rPr>
  </w:style>
  <w:style w:type="paragraph" w:customStyle="1" w:styleId="Normal12Hanging">
    <w:name w:val="Normal12Hanging"/>
    <w:basedOn w:val="Normal12"/>
    <w:pPr>
      <w:ind w:left="567" w:hanging="567"/>
    </w:pPr>
  </w:style>
  <w:style w:type="paragraph" w:customStyle="1" w:styleId="CoverBold">
    <w:name w:val="CoverBold"/>
    <w:basedOn w:val="CoverNormal"/>
    <w:rsid w:val="005E50C2"/>
    <w:rPr>
      <w:b/>
    </w:rPr>
  </w:style>
  <w:style w:type="paragraph" w:customStyle="1" w:styleId="CoverNormal">
    <w:name w:val="CoverNormal"/>
    <w:basedOn w:val="Normal"/>
    <w:pPr>
      <w:ind w:left="1418"/>
    </w:pPr>
  </w:style>
  <w:style w:type="paragraph" w:customStyle="1" w:styleId="EPName">
    <w:name w:val="EPName"/>
    <w:basedOn w:val="Normal"/>
    <w:rsid w:val="009154FF"/>
    <w:pPr>
      <w:spacing w:before="80" w:after="80"/>
    </w:pPr>
    <w:rPr>
      <w:rFonts w:ascii="Arial Narrow" w:hAnsi="Arial Narrow" w:cs="Arial"/>
      <w:b/>
      <w:color w:val="000000"/>
      <w:sz w:val="32"/>
      <w:szCs w:val="22"/>
    </w:rPr>
  </w:style>
  <w:style w:type="paragraph" w:customStyle="1" w:styleId="Normal24">
    <w:name w:val="Normal24"/>
    <w:basedOn w:val="Normal"/>
    <w:pPr>
      <w:spacing w:after="480"/>
    </w:pPr>
  </w:style>
  <w:style w:type="paragraph" w:customStyle="1" w:styleId="Cover12">
    <w:name w:val="Cover12"/>
    <w:basedOn w:val="Normal12"/>
    <w:pPr>
      <w:ind w:left="1418"/>
    </w:pPr>
  </w:style>
  <w:style w:type="paragraph" w:customStyle="1" w:styleId="Cover24">
    <w:name w:val="Cover24"/>
    <w:basedOn w:val="Normal24"/>
    <w:pPr>
      <w:ind w:left="1418"/>
    </w:pPr>
  </w:style>
  <w:style w:type="paragraph" w:customStyle="1" w:styleId="CrossRef">
    <w:name w:val="CrossRef"/>
    <w:basedOn w:val="Normal"/>
    <w:rsid w:val="00A233E9"/>
    <w:pPr>
      <w:spacing w:before="240"/>
      <w:jc w:val="center"/>
    </w:pPr>
    <w:rPr>
      <w:i/>
    </w:rPr>
  </w:style>
  <w:style w:type="paragraph" w:customStyle="1" w:styleId="DocRef">
    <w:name w:val="DocRef"/>
    <w:basedOn w:val="Normal"/>
    <w:pPr>
      <w:spacing w:after="960"/>
      <w:jc w:val="center"/>
    </w:pPr>
    <w:rPr>
      <w:rFonts w:ascii="Arial" w:hAnsi="Arial"/>
      <w:b/>
    </w:rPr>
  </w:style>
  <w:style w:type="paragraph" w:customStyle="1" w:styleId="DocType">
    <w:name w:val="DocType"/>
    <w:basedOn w:val="Normal12"/>
    <w:pPr>
      <w:jc w:val="center"/>
    </w:pPr>
    <w:rPr>
      <w:rFonts w:ascii="Arial" w:hAnsi="Arial"/>
      <w:b/>
      <w:sz w:val="28"/>
    </w:rPr>
  </w:style>
  <w:style w:type="paragraph" w:customStyle="1" w:styleId="JustificationTitle">
    <w:name w:val="JustificationTitle"/>
    <w:basedOn w:val="Normal12a12b"/>
    <w:next w:val="Normal12"/>
    <w:rsid w:val="00AF2819"/>
    <w:pPr>
      <w:keepNext/>
      <w:jc w:val="center"/>
    </w:pPr>
    <w:rPr>
      <w:i/>
      <w:noProof/>
    </w:rPr>
  </w:style>
  <w:style w:type="paragraph" w:customStyle="1" w:styleId="Normal12Centre">
    <w:name w:val="Normal12Centre"/>
    <w:basedOn w:val="Normal12"/>
    <w:pPr>
      <w:jc w:val="center"/>
    </w:pPr>
  </w:style>
  <w:style w:type="paragraph" w:customStyle="1" w:styleId="Normal12Keep">
    <w:name w:val="Normal12Keep"/>
    <w:basedOn w:val="Normal12"/>
    <w:pPr>
      <w:keepNext/>
    </w:pPr>
  </w:style>
  <w:style w:type="paragraph" w:customStyle="1" w:styleId="Normal12Tab">
    <w:name w:val="Normal12Tab"/>
    <w:basedOn w:val="Normal12"/>
    <w:rsid w:val="00A93389"/>
    <w:pPr>
      <w:tabs>
        <w:tab w:val="left" w:pos="567"/>
      </w:tabs>
    </w:pPr>
  </w:style>
  <w:style w:type="paragraph" w:customStyle="1" w:styleId="RefProc">
    <w:name w:val="RefProc"/>
    <w:basedOn w:val="Normal"/>
    <w:pPr>
      <w:spacing w:after="240"/>
      <w:jc w:val="right"/>
    </w:pPr>
    <w:rPr>
      <w:rFonts w:ascii="Arial" w:hAnsi="Arial"/>
      <w:b/>
      <w:caps/>
    </w:rPr>
  </w:style>
  <w:style w:type="paragraph" w:customStyle="1" w:styleId="TypeDocAM">
    <w:name w:val="TypeDocAM"/>
    <w:basedOn w:val="Normal"/>
    <w:rsid w:val="001C2054"/>
    <w:pPr>
      <w:ind w:left="1418"/>
    </w:pPr>
    <w:rPr>
      <w:rFonts w:ascii="Arial" w:hAnsi="Arial"/>
      <w:b/>
      <w:sz w:val="48"/>
    </w:rPr>
  </w:style>
  <w:style w:type="paragraph" w:customStyle="1" w:styleId="ZDate">
    <w:name w:val="ZDate"/>
    <w:basedOn w:val="Normal"/>
    <w:rsid w:val="00280EA6"/>
    <w:pPr>
      <w:spacing w:after="1680"/>
    </w:pPr>
  </w:style>
  <w:style w:type="paragraph" w:styleId="Header">
    <w:name w:val="header"/>
    <w:basedOn w:val="Normal"/>
    <w:pPr>
      <w:tabs>
        <w:tab w:val="center" w:pos="4153"/>
        <w:tab w:val="right" w:pos="8306"/>
      </w:tabs>
    </w:pPr>
  </w:style>
  <w:style w:type="paragraph" w:customStyle="1" w:styleId="NRAMS">
    <w:name w:val="NRAMS"/>
    <w:basedOn w:val="TypeDocAM"/>
    <w:rsid w:val="001C2054"/>
    <w:pPr>
      <w:spacing w:after="480"/>
    </w:pPr>
    <w:rPr>
      <w:sz w:val="46"/>
    </w:rPr>
  </w:style>
  <w:style w:type="paragraph" w:customStyle="1" w:styleId="NormalCentreKeep">
    <w:name w:val="NormalCentreKeep"/>
    <w:basedOn w:val="Normal"/>
    <w:rsid w:val="00FA192C"/>
    <w:pPr>
      <w:keepNext/>
      <w:jc w:val="center"/>
    </w:pPr>
    <w:rPr>
      <w:noProof/>
    </w:rPr>
  </w:style>
  <w:style w:type="paragraph" w:customStyle="1" w:styleId="Olang">
    <w:name w:val="Olang"/>
    <w:basedOn w:val="Normal12a12b"/>
    <w:rsid w:val="00FA192C"/>
    <w:pPr>
      <w:jc w:val="right"/>
    </w:pPr>
    <w:rPr>
      <w:noProof/>
    </w:rPr>
  </w:style>
  <w:style w:type="paragraph" w:customStyle="1" w:styleId="ColumnHeading">
    <w:name w:val="ColumnHeading"/>
    <w:basedOn w:val="Normal"/>
    <w:rsid w:val="006F3F81"/>
    <w:pPr>
      <w:spacing w:after="240"/>
      <w:jc w:val="center"/>
    </w:pPr>
    <w:rPr>
      <w:i/>
    </w:rPr>
  </w:style>
  <w:style w:type="paragraph" w:customStyle="1" w:styleId="AMNumberTabs">
    <w:name w:val="AMNumberTabs"/>
    <w:basedOn w:val="Normal"/>
    <w:rsid w:val="00547F73"/>
    <w:pPr>
      <w:tabs>
        <w:tab w:val="left" w:pos="879"/>
        <w:tab w:val="left" w:pos="936"/>
        <w:tab w:val="left" w:pos="1021"/>
        <w:tab w:val="left" w:pos="1077"/>
        <w:tab w:val="left" w:pos="1134"/>
        <w:tab w:val="left" w:pos="1191"/>
        <w:tab w:val="left" w:pos="1247"/>
        <w:tab w:val="left" w:pos="1304"/>
        <w:tab w:val="left" w:pos="1361"/>
        <w:tab w:val="left" w:pos="1418"/>
        <w:tab w:val="left" w:pos="1474"/>
        <w:tab w:val="left" w:pos="1531"/>
        <w:tab w:val="left" w:pos="1588"/>
        <w:tab w:val="left" w:pos="1644"/>
        <w:tab w:val="left" w:pos="1701"/>
        <w:tab w:val="left" w:pos="1758"/>
        <w:tab w:val="left" w:pos="1814"/>
        <w:tab w:val="left" w:pos="1871"/>
        <w:tab w:val="left" w:pos="2070"/>
        <w:tab w:val="left" w:pos="2126"/>
        <w:tab w:val="left" w:pos="3374"/>
        <w:tab w:val="left" w:pos="3430"/>
      </w:tabs>
      <w:spacing w:before="240"/>
    </w:pPr>
    <w:rPr>
      <w:b/>
    </w:rPr>
  </w:style>
  <w:style w:type="paragraph" w:customStyle="1" w:styleId="NormalBold12b">
    <w:name w:val="NormalBold12b"/>
    <w:basedOn w:val="Normal"/>
    <w:rsid w:val="004F2903"/>
    <w:pPr>
      <w:spacing w:before="240"/>
    </w:pPr>
    <w:rPr>
      <w:b/>
    </w:rPr>
  </w:style>
  <w:style w:type="table" w:styleId="TableGrid">
    <w:name w:val="Table Grid"/>
    <w:basedOn w:val="TableNormal"/>
    <w:rsid w:val="000E7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ommittee">
    <w:name w:val="ZCommittee"/>
    <w:basedOn w:val="Normal"/>
    <w:next w:val="Normal"/>
    <w:rsid w:val="000E7234"/>
    <w:pPr>
      <w:jc w:val="center"/>
    </w:pPr>
    <w:rPr>
      <w:rFonts w:ascii="Arial" w:hAnsi="Arial" w:cs="Arial"/>
      <w:i/>
      <w:sz w:val="22"/>
      <w:szCs w:val="22"/>
    </w:rPr>
  </w:style>
  <w:style w:type="paragraph" w:customStyle="1" w:styleId="LineTop">
    <w:name w:val="LineTop"/>
    <w:basedOn w:val="Normal"/>
    <w:next w:val="ZCommittee"/>
    <w:rsid w:val="000E7234"/>
    <w:pPr>
      <w:pBdr>
        <w:top w:val="single" w:sz="4" w:space="1" w:color="auto"/>
      </w:pBdr>
      <w:jc w:val="center"/>
    </w:pPr>
    <w:rPr>
      <w:rFonts w:ascii="Arial" w:hAnsi="Arial"/>
      <w:sz w:val="16"/>
      <w:szCs w:val="16"/>
    </w:rPr>
  </w:style>
  <w:style w:type="paragraph" w:customStyle="1" w:styleId="LineBottom">
    <w:name w:val="LineBottom"/>
    <w:basedOn w:val="Normal"/>
    <w:next w:val="Normal"/>
    <w:rsid w:val="000E7234"/>
    <w:pPr>
      <w:pBdr>
        <w:bottom w:val="single" w:sz="4" w:space="1" w:color="auto"/>
      </w:pBdr>
      <w:spacing w:after="960"/>
      <w:jc w:val="center"/>
    </w:pPr>
    <w:rPr>
      <w:rFonts w:ascii="Arial" w:hAnsi="Arial"/>
      <w:sz w:val="16"/>
      <w:szCs w:val="16"/>
    </w:rPr>
  </w:style>
  <w:style w:type="paragraph" w:customStyle="1" w:styleId="EPTerm">
    <w:name w:val="EPTerm"/>
    <w:basedOn w:val="Normal"/>
    <w:next w:val="Normal"/>
    <w:rsid w:val="009154FF"/>
    <w:pPr>
      <w:spacing w:after="80"/>
    </w:pPr>
    <w:rPr>
      <w:rFonts w:ascii="Arial" w:hAnsi="Arial" w:cs="Arial"/>
      <w:sz w:val="20"/>
      <w:szCs w:val="22"/>
    </w:rPr>
  </w:style>
  <w:style w:type="paragraph" w:customStyle="1" w:styleId="EPLogo">
    <w:name w:val="EPLogo"/>
    <w:basedOn w:val="Normal"/>
    <w:qFormat/>
    <w:rsid w:val="009154FF"/>
    <w:pPr>
      <w:jc w:val="right"/>
    </w:pPr>
  </w:style>
  <w:style w:type="character" w:customStyle="1" w:styleId="FooterChar">
    <w:name w:val="Footer Char"/>
    <w:link w:val="Footer"/>
    <w:rsid w:val="0042354E"/>
    <w:rPr>
      <w:sz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68D06-5675-4524-9C86-4A6714A3F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969B4F01.dotm</Template>
  <TotalTime>0</TotalTime>
  <Pages>1</Pages>
  <Words>41048</Words>
  <Characters>276160</Characters>
  <Application>Microsoft Office Word</Application>
  <DocSecurity>0</DocSecurity>
  <Lines>2301</Lines>
  <Paragraphs>633</Paragraphs>
  <ScaleCrop>false</ScaleCrop>
  <HeadingPairs>
    <vt:vector size="2" baseType="variant">
      <vt:variant>
        <vt:lpstr>Title</vt:lpstr>
      </vt:variant>
      <vt:variant>
        <vt:i4>1</vt:i4>
      </vt:variant>
    </vt:vector>
  </HeadingPairs>
  <TitlesOfParts>
    <vt:vector size="1" baseType="lpstr">
      <vt:lpstr>AM_Com_LegReport</vt:lpstr>
    </vt:vector>
  </TitlesOfParts>
  <Company/>
  <LinksUpToDate>false</LinksUpToDate>
  <CharactersWithSpaces>316575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AM_Com_LegReport</dc:title>
  <dc:subject/>
  <dc:creator>STOIAN Andreea Alina</dc:creator>
  <cp:keywords/>
  <dc:description/>
  <cp:lastModifiedBy>PETITCOLAS Anne</cp:lastModifiedBy>
  <cp:revision>2</cp:revision>
  <cp:lastPrinted>2007-06-22T14:02:00Z</cp:lastPrinted>
  <dcterms:created xsi:type="dcterms:W3CDTF">2018-06-12T07:52:00Z</dcterms:created>
  <dcterms:modified xsi:type="dcterms:W3CDTF">2018-06-12T07:52:00Z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t;Extension&gt;">
    <vt:lpwstr>FR</vt:lpwstr>
  </property>
  <property fmtid="{D5CDD505-2E9C-101B-9397-08002B2CF9AE}" pid="3" name="Created with">
    <vt:lpwstr>9.3.0 Build [20180301]</vt:lpwstr>
  </property>
  <property fmtid="{D5CDD505-2E9C-101B-9397-08002B2CF9AE}" pid="4" name="LastEdited with">
    <vt:lpwstr>9.3.0 Build [20180227]</vt:lpwstr>
  </property>
  <property fmtid="{D5CDD505-2E9C-101B-9397-08002B2CF9AE}" pid="5" name="&lt;FdR&gt;">
    <vt:lpwstr>1154052</vt:lpwstr>
  </property>
  <property fmtid="{D5CDD505-2E9C-101B-9397-08002B2CF9AE}" pid="6" name="&lt;Type&gt;">
    <vt:lpwstr>AM</vt:lpwstr>
  </property>
  <property fmtid="{D5CDD505-2E9C-101B-9397-08002B2CF9AE}" pid="7" name="&lt;ModelCod&gt;">
    <vt:lpwstr>\\eiciBRUpr1\pdocep$\DocEP\DOCS\General\AM\AM_Leg\AM_Com_Leg\AM_Com_LegReport.dot(17/02/2016 11:46:16)</vt:lpwstr>
  </property>
  <property fmtid="{D5CDD505-2E9C-101B-9397-08002B2CF9AE}" pid="8" name="&lt;ModelTra&gt;">
    <vt:lpwstr>\\eiciBRUpr1\pdocep$\DocEP\TRANSFIL\EN\AM_Com_LegReport.EN(19/02/2018 16:26:56)</vt:lpwstr>
  </property>
  <property fmtid="{D5CDD505-2E9C-101B-9397-08002B2CF9AE}" pid="9" name="&lt;Model&gt;">
    <vt:lpwstr>AM_Com_LegReport</vt:lpwstr>
  </property>
  <property fmtid="{D5CDD505-2E9C-101B-9397-08002B2CF9AE}" pid="10" name="FooterPath">
    <vt:lpwstr>AM\1154052FR.docx</vt:lpwstr>
  </property>
  <property fmtid="{D5CDD505-2E9C-101B-9397-08002B2CF9AE}" pid="11" name="PE number">
    <vt:lpwstr>622.230</vt:lpwstr>
  </property>
  <property fmtid="{D5CDD505-2E9C-101B-9397-08002B2CF9AE}" pid="12" name="SendToEpades">
    <vt:lpwstr>OK - 2018/05/28 19:20</vt:lpwstr>
  </property>
  <property fmtid="{D5CDD505-2E9C-101B-9397-08002B2CF9AE}" pid="13" name="SubscribeElise">
    <vt:lpwstr/>
  </property>
  <property fmtid="{D5CDD505-2E9C-101B-9397-08002B2CF9AE}" pid="14" name="Bookout">
    <vt:lpwstr>OK - 2018/06/12 09:48</vt:lpwstr>
  </property>
</Properties>
</file>