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trHeight w:hRule="exact" w:val="1417"/>
          <w:jc w:val="center"/>
        </w:trPr>
        <w:tc>
          <w:tcPr>
            <w:vAlign w:val="center"/>
          </w:tcPr>
          <w:p w:rsidR="00A77B3E">
            <w:pPr>
              <w:pStyle w:val="EPName"/>
            </w:pPr>
            <w:r>
              <w:t>Europos Parlamentas</w:t>
            </w:r>
          </w:p>
          <w:p>
            <w:pPr>
              <w:pStyle w:val="EPTerm"/>
            </w:pPr>
            <w:r>
              <w:t>2014-2019</w:t>
            </w:r>
          </w:p>
        </w:tc>
        <w:tc>
          <w:tcPr/>
          <w:p>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51.02pt;width:91.56pt">
                  <v:imagedata r:id="rId4" o:title=""/>
                </v:shape>
              </w:pict>
            </w:r>
          </w:p>
        </w:tc>
      </w:tr>
    </w:tbl>
    <w:p w:rsidR="00A77B3E">
      <w:pPr>
        <w:pStyle w:val="LineTop"/>
      </w:pPr>
    </w:p>
    <w:p>
      <w:pPr>
        <w:pStyle w:val="ZCommittee"/>
      </w:pPr>
      <w:r>
        <w:rPr>
          <w:rStyle w:val="HideTWBExt"/>
        </w:rPr>
        <w:t>&lt;</w:t>
      </w:r>
      <w:r>
        <w:rPr>
          <w:rStyle w:val="HideTWBExt"/>
        </w:rPr>
        <w:t>Commission</w:t>
      </w:r>
      <w:r>
        <w:rPr>
          <w:rStyle w:val="HideTWBExt"/>
        </w:rPr>
        <w:t>&gt;</w:t>
      </w:r>
      <w:r>
        <w:rPr>
          <w:rStyle w:val="HideTWBInt"/>
        </w:rPr>
        <w:t>{ENVI}</w:t>
      </w:r>
      <w:r>
        <w:t>Aplinkos, visuomenės sveikatos ir maisto saugos komitetas</w:t>
      </w:r>
      <w:r>
        <w:rPr>
          <w:rStyle w:val="HideTWBExt"/>
        </w:rPr>
        <w:t>&lt;/</w:t>
      </w:r>
      <w:r>
        <w:rPr>
          <w:rStyle w:val="HideTWBExt"/>
        </w:rPr>
        <w:t>Commission</w:t>
      </w:r>
      <w:r>
        <w:rPr>
          <w:rStyle w:val="HideTWBExt"/>
        </w:rPr>
        <w:t>&gt;</w:t>
      </w:r>
    </w:p>
    <w:p>
      <w:pPr>
        <w:pStyle w:val="LineBottom"/>
      </w:pPr>
    </w:p>
    <w:p>
      <w:pPr>
        <w:pStyle w:val="RefProc"/>
      </w:pPr>
      <w:r>
        <w:rPr>
          <w:rStyle w:val="HideTWBExt"/>
        </w:rPr>
        <w:t>&lt;</w:t>
      </w:r>
      <w:r>
        <w:rPr>
          <w:rStyle w:val="HideTWBExt"/>
        </w:rPr>
        <w:t>RefProc</w:t>
      </w:r>
      <w:r>
        <w:rPr>
          <w:rStyle w:val="HideTWBExt"/>
        </w:rPr>
        <w:t>&gt;</w:t>
      </w:r>
      <w:r>
        <w:t>2018/0091M(NLE)</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rPr>
          <w:rStyle w:val="HideTWBExt"/>
        </w:rPr>
        <w:t>&lt;/</w:t>
      </w:r>
      <w:r>
        <w:rPr>
          <w:rStyle w:val="HideTWBExt"/>
        </w:rPr>
        <w:t>RefTypeProc</w:t>
      </w:r>
      <w:r>
        <w:rPr>
          <w:rStyle w:val="HideTWBExt"/>
        </w:rPr>
        <w:t>&gt;</w:t>
      </w:r>
    </w:p>
    <w:p>
      <w:pPr>
        <w:pStyle w:val="ZDate"/>
      </w:pPr>
      <w:r>
        <w:rPr>
          <w:rStyle w:val="HideTWBExt"/>
        </w:rPr>
        <w:t>&lt;</w:t>
      </w:r>
      <w:r>
        <w:rPr>
          <w:rStyle w:val="HideTWBExt"/>
        </w:rPr>
        <w:t>Date</w:t>
      </w:r>
      <w:r>
        <w:rPr>
          <w:rStyle w:val="HideTWBExt"/>
        </w:rPr>
        <w:t>&gt;</w:t>
      </w:r>
      <w:r>
        <w:rPr>
          <w:rStyle w:val="HideTWBInt"/>
        </w:rPr>
        <w:t>{</w:t>
      </w:r>
      <w:r>
        <w:rPr>
          <w:rStyle w:val="HideTWBInt"/>
        </w:rPr>
        <w:t>06/09/2018</w:t>
      </w:r>
      <w:r>
        <w:rPr>
          <w:rStyle w:val="HideTWBInt"/>
        </w:rPr>
        <w:t>}</w:t>
      </w:r>
      <w:r>
        <w:t>6.9.2018</w:t>
      </w:r>
      <w:r>
        <w:rPr>
          <w:rStyle w:val="HideTWBExt"/>
        </w:rPr>
        <w:t>&lt;/</w:t>
      </w:r>
      <w:r>
        <w:rPr>
          <w:rStyle w:val="HideTWBExt"/>
        </w:rPr>
        <w:t>Date</w:t>
      </w:r>
      <w:r>
        <w:rPr>
          <w:rStyle w:val="HideTWBExt"/>
        </w:rPr>
        <w:t>&gt;</w:t>
      </w:r>
    </w:p>
    <w:p>
      <w:pPr>
        <w:pStyle w:val="TypeDocAM"/>
      </w:pPr>
      <w:r>
        <w:rPr>
          <w:rStyle w:val="HideTWBExt"/>
        </w:rPr>
        <w:t>&lt;</w:t>
      </w:r>
      <w:r>
        <w:rPr>
          <w:rStyle w:val="HideTWBExt"/>
        </w:rPr>
        <w:t>TypeAM</w:t>
      </w:r>
      <w:r>
        <w:rPr>
          <w:rStyle w:val="HideTWBExt"/>
        </w:rPr>
        <w:t>&gt;</w:t>
      </w:r>
      <w:r>
        <w:t>PAKEITIMAI</w:t>
      </w:r>
      <w:r>
        <w:rPr>
          <w:rStyle w:val="HideTWBExt"/>
        </w:rPr>
        <w:t>&lt;/</w:t>
      </w:r>
      <w:r>
        <w:rPr>
          <w:rStyle w:val="HideTWBExt"/>
        </w:rPr>
        <w:t>TypeAM</w:t>
      </w:r>
      <w:r>
        <w:rPr>
          <w:rStyle w:val="HideTWBExt"/>
        </w:rPr>
        <w:t>&gt;</w:t>
      </w:r>
    </w:p>
    <w:p>
      <w:pPr>
        <w:pStyle w:val="NRAMS"/>
      </w:pPr>
      <w:r>
        <w:rPr>
          <w:rStyle w:val="HideTWBExt"/>
        </w:rPr>
        <w:t>&lt;</w:t>
      </w:r>
      <w:r>
        <w:rPr>
          <w:rStyle w:val="HideTWBExt"/>
        </w:rPr>
        <w:t>RangeAM</w:t>
      </w:r>
      <w:r>
        <w:rPr>
          <w:rStyle w:val="HideTWBExt"/>
        </w:rPr>
        <w:t>&gt;</w:t>
      </w:r>
      <w:r>
        <w:t>1 - 24</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Nuomonės projektas</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Joëlle Mélin</w:t>
      </w:r>
      <w:r>
        <w:rPr>
          <w:rStyle w:val="HideTWBExt"/>
        </w:rPr>
        <w:t>&lt;/</w:t>
      </w:r>
      <w:r>
        <w:rPr>
          <w:rStyle w:val="HideTWBExt"/>
        </w:rPr>
        <w:t>Rapporteur</w:t>
      </w:r>
      <w:r>
        <w:rPr>
          <w:rStyle w:val="HideTWBExt"/>
        </w:rPr>
        <w:t>&gt;</w:t>
      </w:r>
    </w:p>
    <w:p>
      <w:pPr>
        <w:pStyle w:val="Cover24"/>
      </w:pPr>
      <w:r>
        <w:rPr>
          <w:rStyle w:val="HideTWBExt"/>
        </w:rPr>
        <w:t>&lt;</w:t>
      </w:r>
      <w:r>
        <w:rPr>
          <w:rStyle w:val="HideTWBExt"/>
        </w:rPr>
        <w:t>DocRefPE</w:t>
      </w:r>
      <w:r>
        <w:rPr>
          <w:rStyle w:val="HideTWBExt"/>
        </w:rPr>
        <w:t>&gt;</w:t>
      </w:r>
      <w:r>
        <w:t>(</w:t>
      </w:r>
      <w:r>
        <w:t>PE625.207v01-00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Tarybos sprendimas dėl Europos Sąjungos ir Japonijos ekonominės partnerystės susitarimo sudarymo</w:t>
      </w:r>
      <w:r>
        <w:rPr>
          <w:rStyle w:val="HideTWBExt"/>
        </w:rPr>
        <w:t>&lt;/</w:t>
      </w:r>
      <w:r>
        <w:rPr>
          <w:rStyle w:val="HideTWBExt"/>
        </w:rPr>
        <w:t>Titre</w:t>
      </w:r>
      <w:r>
        <w:rPr>
          <w:rStyle w:val="HideTWBExt"/>
        </w:rPr>
        <w:t>&gt;</w:t>
      </w:r>
    </w:p>
    <w:p>
      <w:pPr>
        <w:pStyle w:val="Cover24"/>
      </w:pPr>
      <w:r>
        <w:rPr>
          <w:rStyle w:val="HideTWBExt"/>
        </w:rPr>
        <w:t>&lt;</w:t>
      </w:r>
      <w:r>
        <w:rPr>
          <w:rStyle w:val="HideTWBExt"/>
        </w:rPr>
        <w:t>DocRef</w:t>
      </w:r>
      <w:r>
        <w:rPr>
          <w:rStyle w:val="HideTWBExt"/>
        </w:rPr>
        <w:t>&gt;</w:t>
      </w:r>
      <w:r>
        <w:t>(</w:t>
      </w:r>
      <w:r>
        <w:t>2018/0091M(NLE)</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1.</w:t>
            </w:r>
            <w:r>
              <w:tab/>
            </w:r>
            <w:r>
              <w:t>pažymi, kad Europos Sąjungos ir Japonijos ekonominės partnerystės susitarimo tikslas – sukurti laisvosios prekybos erdvę tarp šių dviejų subjektų;</w:t>
            </w:r>
          </w:p>
        </w:tc>
        <w:tc>
          <w:tcPr/>
          <w:p>
            <w:pPr>
              <w:pStyle w:val="Normal6"/>
            </w:pPr>
            <w:r>
              <w:t>1.</w:t>
            </w:r>
            <w:r>
              <w:tab/>
            </w:r>
            <w:r>
              <w:t>pažymi, kad Europos Sąjungos ir Japonijos ekonominės partnerystės susitarimo tikslas – sukurti laisvosios prekybos erdvę tarp šių dviejų subjektų</w:t>
            </w:r>
            <w:r>
              <w:rPr>
                <w:rFonts w:ascii="Times New Roman" w:eastAsia="Times New Roman" w:hAnsi="Times New Roman" w:cs="Times New Roman"/>
                <w:b/>
                <w:i/>
                <w:strike w:val="0"/>
                <w:color w:val="000000"/>
                <w:sz w:val="24"/>
                <w:highlight w:val="none"/>
                <w:u w:val="none" w:color="auto"/>
              </w:rPr>
              <w:t>, t. y. naują laisvosios prekybos zoną, kuri papildytų daugelį neseniai sukurtų arba vis dar derybose aptariamų erdvių</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Luke Ming Flanagan</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1a.</w:t>
            </w:r>
            <w:r>
              <w:tab/>
            </w:r>
            <w:r>
              <w:rPr>
                <w:rFonts w:ascii="Times New Roman" w:eastAsia="Times New Roman" w:hAnsi="Times New Roman" w:cs="Times New Roman"/>
                <w:b/>
                <w:i/>
                <w:strike w:val="0"/>
                <w:color w:val="000000"/>
                <w:sz w:val="24"/>
                <w:highlight w:val="none"/>
                <w:u w:val="none" w:color="auto"/>
              </w:rPr>
              <w:t>pažymi, kad, atsižvelgiant į eismo srauto padidėjimą sausumoje, jūroje ir ore, kartu su visais šiais naujais pagrindiniais prekybos susitarimais greičiausiai būtų daromas didelis neigiamas poveikis aplinkai, ypač transporto sektoriuje;</w:t>
            </w:r>
            <w:r>
              <w:t xml:space="preserve"> </w:t>
            </w:r>
            <w:r>
              <w:rPr>
                <w:rFonts w:ascii="Times New Roman" w:eastAsia="Times New Roman" w:hAnsi="Times New Roman" w:cs="Times New Roman"/>
                <w:b/>
                <w:i/>
                <w:strike w:val="0"/>
                <w:color w:val="000000"/>
                <w:sz w:val="24"/>
                <w:highlight w:val="none"/>
                <w:u w:val="none" w:color="auto"/>
              </w:rPr>
              <w:t>ragina nepriklausomai įvertinti šį poveikį ir į jį atsižvelgti apskaičiuojant bet kokią numanomą finansinę naudą;</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a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1a.</w:t>
            </w:r>
            <w:r>
              <w:tab/>
            </w:r>
            <w:r>
              <w:rPr>
                <w:rFonts w:ascii="Times New Roman" w:eastAsia="Times New Roman" w:hAnsi="Times New Roman" w:cs="Times New Roman"/>
                <w:b/>
                <w:i/>
                <w:strike w:val="0"/>
                <w:color w:val="000000"/>
                <w:sz w:val="24"/>
                <w:highlight w:val="none"/>
                <w:u w:val="none" w:color="auto"/>
              </w:rPr>
              <w:t>apgailestauja, kad Europos Komisijos ir Tarybos atstovai 2018 m. liepos mėn. nuvyko į Japoniją pasirašyti Japonijos ir Europos Sąjungos laisvosios prekybos susitarimo, nors Europos Parlamentas neturėjo galimybės išnagrinėti galutinio susitarimo;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b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1b.</w:t>
            </w:r>
            <w:r>
              <w:tab/>
            </w:r>
            <w:r>
              <w:rPr>
                <w:rFonts w:ascii="Times New Roman" w:eastAsia="Times New Roman" w:hAnsi="Times New Roman" w:cs="Times New Roman"/>
                <w:b/>
                <w:i/>
                <w:strike w:val="0"/>
                <w:color w:val="000000"/>
                <w:sz w:val="24"/>
                <w:highlight w:val="none"/>
                <w:u w:val="none" w:color="auto"/>
              </w:rPr>
              <w:t>apgailestauja, kad dėl susitarimo buvo deramasi itin slaptai ir kad Europos Parlamentui buvo pateikta arba paskelbta tik labai mažai informacijos;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c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1c.</w:t>
            </w:r>
            <w:r>
              <w:tab/>
            </w:r>
            <w:r>
              <w:rPr>
                <w:rFonts w:ascii="Times New Roman" w:eastAsia="Times New Roman" w:hAnsi="Times New Roman" w:cs="Times New Roman"/>
                <w:b/>
                <w:i/>
                <w:strike w:val="0"/>
                <w:color w:val="000000"/>
                <w:sz w:val="24"/>
                <w:highlight w:val="none"/>
                <w:u w:val="none" w:color="auto"/>
              </w:rPr>
              <w:t>apgailestauja, kad darnaus vystymosi skyrius parengtas miglotais terminais ir į jį nėra įtrauktos jokios privalomos priemonės ar sankcijos, taikomos tuo atveju, jeigu nesilaikoma jo nuostatų;</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d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1d.</w:t>
            </w:r>
            <w:r>
              <w:tab/>
            </w:r>
            <w:r>
              <w:rPr>
                <w:rFonts w:ascii="Times New Roman" w:eastAsia="Times New Roman" w:hAnsi="Times New Roman" w:cs="Times New Roman"/>
                <w:b/>
                <w:i/>
                <w:strike w:val="0"/>
                <w:color w:val="000000"/>
                <w:sz w:val="24"/>
                <w:highlight w:val="none"/>
                <w:u w:val="none" w:color="auto"/>
              </w:rPr>
              <w:t>apgailestauja, kad apskritai Europos Sąjungos tikslai kovoti su visuotiniu atšilimu, aplinkos apsauga arba biologinės įvairovės išsaugojimu nėra privalomi galutinio susitarimo tikslai;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1 e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1e.</w:t>
            </w:r>
            <w:r>
              <w:tab/>
            </w:r>
            <w:r>
              <w:rPr>
                <w:rFonts w:ascii="Times New Roman" w:eastAsia="Times New Roman" w:hAnsi="Times New Roman" w:cs="Times New Roman"/>
                <w:b/>
                <w:i/>
                <w:strike w:val="0"/>
                <w:color w:val="000000"/>
                <w:sz w:val="24"/>
                <w:highlight w:val="none"/>
                <w:u w:val="none" w:color="auto"/>
              </w:rPr>
              <w:t>apgailestauja dėl to, kad Europos Komisija vėl derėjosi dėl ginčų tarp investuotojų ir valstybių privataus ar tarptautinio tribunolo;</w:t>
            </w:r>
            <w:r>
              <w:t xml:space="preserve"> </w:t>
            </w:r>
            <w:r>
              <w:rPr>
                <w:rFonts w:ascii="Times New Roman" w:eastAsia="Times New Roman" w:hAnsi="Times New Roman" w:cs="Times New Roman"/>
                <w:b/>
                <w:i/>
                <w:strike w:val="0"/>
                <w:color w:val="000000"/>
                <w:sz w:val="24"/>
                <w:highlight w:val="none"/>
                <w:u w:val="none" w:color="auto"/>
              </w:rPr>
              <w:t>reikalauja nedelsiant užbaigti visas šios dalies derybas.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2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2.</w:t>
            </w:r>
            <w:r>
              <w:tab/>
            </w:r>
            <w:r>
              <w:t>pažymi, kad prioritetas tebėra netarifinės reglamentavimo priemonės, kurias sudėtinga nustatyti;</w:t>
            </w:r>
          </w:p>
        </w:tc>
        <w:tc>
          <w:tcPr/>
          <w:p>
            <w:pPr>
              <w:pStyle w:val="Normal6"/>
            </w:pPr>
            <w:r>
              <w:t>2.</w:t>
            </w:r>
            <w:r>
              <w:tab/>
            </w:r>
            <w:r>
              <w:t>pažymi, kad prioritetas tebėra netarifinės reglamentavimo priemonės, kurias sudėtinga nustatyti</w:t>
            </w:r>
            <w:r>
              <w:rPr>
                <w:rFonts w:ascii="Times New Roman" w:eastAsia="Times New Roman" w:hAnsi="Times New Roman" w:cs="Times New Roman"/>
                <w:b/>
                <w:i/>
                <w:strike w:val="0"/>
                <w:color w:val="000000"/>
                <w:sz w:val="24"/>
                <w:highlight w:val="none"/>
                <w:u w:val="none" w:color="auto"/>
              </w:rPr>
              <w:t>, ir kad ateityje gali atsirasti naujų reguliavimo skirtumų, visų pirma labai reguliuojamose ir novatoriškose srityse, pavyzdžiui, variklinių transporto priemonių, cheminių medžiagų, medicinos prietaisų ir paslaugų</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3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3.</w:t>
            </w:r>
            <w:r>
              <w:tab/>
            </w:r>
            <w:r>
              <w:t>pabrėžia, kad Japonija yra didžiausia pasaulyje medienos importuotoja ir taip didina nekontroliuojamo miškų naikinimo riziką;</w:t>
            </w:r>
          </w:p>
        </w:tc>
        <w:tc>
          <w:tcPr/>
          <w:p>
            <w:pPr>
              <w:pStyle w:val="Normal6"/>
            </w:pPr>
            <w:r>
              <w:t>3.</w:t>
            </w:r>
            <w:r>
              <w:tab/>
            </w:r>
            <w:r>
              <w:t>pabrėžia, kad Japonija yra didžiausia pasaulyje medienos importuotoja ir taip didina nekontroliuojamo miškų naikinimo riziką</w:t>
            </w:r>
            <w:r>
              <w:rPr>
                <w:rFonts w:ascii="Times New Roman" w:eastAsia="Times New Roman" w:hAnsi="Times New Roman" w:cs="Times New Roman"/>
                <w:b/>
                <w:i/>
                <w:strike w:val="0"/>
                <w:color w:val="000000"/>
                <w:sz w:val="24"/>
                <w:highlight w:val="none"/>
                <w:u w:val="none" w:color="auto"/>
              </w:rPr>
              <w:t>, todėl kyla pavojus atsižvelgiant į dabartines klimato kaitos ir biologinės įvairovės mažėjimo problemas</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3 a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3a.</w:t>
            </w:r>
            <w:r>
              <w:tab/>
            </w:r>
            <w:r>
              <w:rPr>
                <w:rFonts w:ascii="Times New Roman" w:eastAsia="Times New Roman" w:hAnsi="Times New Roman" w:cs="Times New Roman"/>
                <w:b/>
                <w:i/>
                <w:strike w:val="0"/>
                <w:color w:val="000000"/>
                <w:sz w:val="24"/>
                <w:highlight w:val="none"/>
                <w:u w:val="none" w:color="auto"/>
              </w:rPr>
              <w:t>pažymi, kad nerimauti verčia gamybos padidėjimo maisto produktų ir pašarų sektoriuje keliamas pavojus biologinei įvairovei ir aplinkai;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3 b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3b.</w:t>
            </w:r>
            <w:r>
              <w:tab/>
            </w:r>
            <w:r>
              <w:rPr>
                <w:rFonts w:ascii="Times New Roman" w:eastAsia="Times New Roman" w:hAnsi="Times New Roman" w:cs="Times New Roman"/>
                <w:b/>
                <w:i/>
                <w:strike w:val="0"/>
                <w:color w:val="000000"/>
                <w:sz w:val="24"/>
                <w:highlight w:val="none"/>
                <w:u w:val="none" w:color="auto"/>
              </w:rPr>
              <w:t>konstatuoja, kad ekonominės partnerystės susitarime nėra ribojančių įsipareigojimų dėl aplinkos ir darnaus vystymosi;</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3 c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3c.</w:t>
            </w:r>
            <w:r>
              <w:tab/>
            </w:r>
            <w:r>
              <w:rPr>
                <w:rFonts w:ascii="Times New Roman" w:eastAsia="Times New Roman" w:hAnsi="Times New Roman" w:cs="Times New Roman"/>
                <w:b/>
                <w:i/>
                <w:strike w:val="0"/>
                <w:color w:val="000000"/>
                <w:sz w:val="24"/>
                <w:highlight w:val="none"/>
                <w:u w:val="none" w:color="auto"/>
              </w:rPr>
              <w:t>pažymi, kad pagal EPS paslaugos liberalizuojamos naudojantis neigiamų sąrašų sistema;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3 d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3d.</w:t>
            </w:r>
            <w:r>
              <w:tab/>
            </w:r>
            <w:r>
              <w:rPr>
                <w:rFonts w:ascii="Times New Roman" w:eastAsia="Times New Roman" w:hAnsi="Times New Roman" w:cs="Times New Roman"/>
                <w:b/>
                <w:i/>
                <w:strike w:val="0"/>
                <w:color w:val="000000"/>
                <w:sz w:val="24"/>
                <w:highlight w:val="none"/>
                <w:u w:val="none" w:color="auto"/>
              </w:rPr>
              <w:t>pažymi, kad Parlamentas priėmė sprendimą neleisti gyvūnų klonavimo ir tokių gyvūnų importo maisto produktų tikslais, nors Japonijoje jis yra leidžiamas;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3 e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3e.</w:t>
            </w:r>
            <w:r>
              <w:tab/>
            </w:r>
            <w:r>
              <w:rPr>
                <w:rFonts w:ascii="Times New Roman" w:eastAsia="Times New Roman" w:hAnsi="Times New Roman" w:cs="Times New Roman"/>
                <w:b/>
                <w:i/>
                <w:strike w:val="0"/>
                <w:color w:val="000000"/>
                <w:sz w:val="24"/>
                <w:highlight w:val="none"/>
                <w:u w:val="none" w:color="auto"/>
              </w:rPr>
              <w:t>pažymi, kad Japonijos taisyklės yra griežtesnės nei Europos Sąjungos maisto radioaktyvumo taisyklės;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4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4.</w:t>
            </w:r>
            <w:r>
              <w:tab/>
            </w:r>
            <w:r>
              <w:t>prašo ekonominės partnerystės susitarime numatyti, kad Japonija turi priimti, išlaikyti ir taikyti tarptautines konvencijas, skirtas kovoti su neteisėtos medienos importu;</w:t>
            </w:r>
          </w:p>
        </w:tc>
        <w:tc>
          <w:tcPr/>
          <w:p>
            <w:pPr>
              <w:pStyle w:val="Normal6"/>
            </w:pPr>
            <w:r>
              <w:t>4.</w:t>
            </w:r>
            <w:r>
              <w:tab/>
            </w:r>
            <w:r>
              <w:rPr>
                <w:rFonts w:ascii="Times New Roman" w:eastAsia="Times New Roman" w:hAnsi="Times New Roman" w:cs="Times New Roman"/>
                <w:b/>
                <w:i/>
                <w:strike w:val="0"/>
                <w:color w:val="000000"/>
                <w:sz w:val="24"/>
                <w:highlight w:val="none"/>
                <w:u w:val="none" w:color="auto"/>
              </w:rPr>
              <w:t>primygtinai</w:t>
            </w:r>
            <w:r>
              <w:t xml:space="preserve"> prašo ekonominės partnerystės susitarime numatyti, kad Japonija turi priimti, išlaikyti ir taikyti tarptautines konvencijas, skirtas kovoti su neteisėtos medienos importu;</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4 a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4a.</w:t>
            </w:r>
            <w:r>
              <w:tab/>
            </w:r>
            <w:r>
              <w:rPr>
                <w:rFonts w:ascii="Times New Roman" w:eastAsia="Times New Roman" w:hAnsi="Times New Roman" w:cs="Times New Roman"/>
                <w:b/>
                <w:i/>
                <w:strike w:val="0"/>
                <w:color w:val="000000"/>
                <w:sz w:val="24"/>
                <w:highlight w:val="none"/>
                <w:u w:val="none" w:color="auto"/>
              </w:rPr>
              <w:t>prašo, kad Tausios plėtros skyrius būtų privalomas, jam nustatant skundų ir sankcijų mechanizmą pagal ginčų tarp valstybių sprendimo sistemą, siekiant užtikrinti, kad tarpvalstybinės įmonės laikytųsi socialinių ir aplinkosaugos standartų;</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Joëlle Mélin</w:t>
      </w:r>
      <w:r>
        <w:t xml:space="preserve">, </w:t>
      </w:r>
      <w:r>
        <w:t>Sylvie Goddyn</w:t>
      </w:r>
      <w:r>
        <w:t xml:space="preserve">, </w:t>
      </w:r>
      <w:r>
        <w:t>Jean-François Jalkh</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4 b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4b.</w:t>
            </w:r>
            <w:r>
              <w:tab/>
            </w:r>
            <w:r>
              <w:rPr>
                <w:rFonts w:ascii="Times New Roman" w:eastAsia="Times New Roman" w:hAnsi="Times New Roman" w:cs="Times New Roman"/>
                <w:b/>
                <w:i/>
                <w:strike w:val="0"/>
                <w:color w:val="000000"/>
                <w:sz w:val="24"/>
                <w:highlight w:val="none"/>
                <w:u w:val="none" w:color="auto"/>
              </w:rPr>
              <w:t>reikalauja, kad susitarime būtų aiškiai nurodomas Europos Sąjungos nepritarimas banginių medžioklei, kuri Japonijoje leidžiama;</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5.</w:t>
            </w:r>
            <w:r>
              <w:tab/>
            </w:r>
            <w:r>
              <w:t>prašo Pasaulio prekybos organizacijos priimti galiojančių teigiamų sąrašų principą ir netaikyti neigiamų sąrašų principo, kad būtų užtikrinta viešųjų paslaugų apsauga;</w:t>
            </w:r>
          </w:p>
        </w:tc>
        <w:tc>
          <w:tcPr/>
          <w:p>
            <w:pPr>
              <w:pStyle w:val="Normal6"/>
            </w:pPr>
            <w:r>
              <w:t>5.</w:t>
            </w:r>
            <w:r>
              <w:tab/>
            </w:r>
            <w:r>
              <w:t xml:space="preserve">prašo Pasaulio prekybos organizacijos priimti galiojančių teigiamų sąrašų principą ir netaikyti neigiamų sąrašų principo, kad būtų užtikrinta viešųjų paslaugų apsauga; </w:t>
            </w:r>
            <w:r>
              <w:rPr>
                <w:rFonts w:ascii="Times New Roman" w:eastAsia="Times New Roman" w:hAnsi="Times New Roman" w:cs="Times New Roman"/>
                <w:b/>
                <w:i/>
                <w:strike w:val="0"/>
                <w:color w:val="000000"/>
                <w:sz w:val="24"/>
                <w:highlight w:val="none"/>
                <w:u w:val="none" w:color="auto"/>
              </w:rPr>
              <w:t>apgailestauja, kad susitarime numatyta visiškai liberalizuoti finansų sektorių ir kad jis gali daryti poveikį būsimoms pastangoms suderinti mokesčių ir socialinius standartus Europos Sąjungoje;</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5 a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5a.</w:t>
            </w:r>
            <w:r>
              <w:tab/>
            </w:r>
            <w:r>
              <w:rPr>
                <w:rFonts w:ascii="Times New Roman" w:eastAsia="Times New Roman" w:hAnsi="Times New Roman" w:cs="Times New Roman"/>
                <w:b/>
                <w:i/>
                <w:strike w:val="0"/>
                <w:color w:val="000000"/>
                <w:sz w:val="24"/>
                <w:highlight w:val="none"/>
                <w:u w:val="none" w:color="auto"/>
              </w:rPr>
              <w:t>apgailestauja, kad Japonija dar nėra ratifikavusi TDO konvencijos Nr. 105 dėl priverstinio darbo ir TDO konvencijos Nr. 111 dėl diskriminacijos darbe panaikinimo ir kad per derybas dėl susitarimo nepavyko pakeisti šios padėties;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Nicola Caputo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6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prašo iš dalies pakeisti susitarimą siekiant apmokestinti maisto produktų ženklinimą, kol nebus pradėtas taikyti draudimas importuoti klonuotą mėsą ir (arba) nebus užtikrintas atsekamumas;</w:t>
            </w:r>
          </w:p>
        </w:tc>
        <w:tc>
          <w:tcPr/>
          <w:p>
            <w:pPr>
              <w:pStyle w:val="Normal6"/>
            </w:pPr>
            <w:r>
              <w:t>6.</w:t>
            </w:r>
            <w:r>
              <w:tab/>
            </w:r>
            <w:r>
              <w:t>prašo iš dalies pakeisti susitarimą siekiant apmokestinti maisto produktų ženklinimą, kol nebus pradėtas taikyti draudimas importuoti klonuotą mėsą ir (arba) nebus užtikrintas atsekamumas</w:t>
            </w:r>
            <w:r>
              <w:rPr>
                <w:rFonts w:ascii="Times New Roman" w:eastAsia="Times New Roman" w:hAnsi="Times New Roman" w:cs="Times New Roman"/>
                <w:b/>
                <w:i/>
                <w:strike w:val="0"/>
                <w:color w:val="000000"/>
                <w:sz w:val="24"/>
                <w:highlight w:val="none"/>
                <w:u w:val="none" w:color="auto"/>
              </w:rPr>
              <w:t>, ir uždrausti žymėti visus kitus maisto produktus, kuriuos gaminant neužtikrinami ES maisto produktų saugumo standartai</w:t>
            </w:r>
            <w:r>
              <w:t>;</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IT</w:t>
      </w:r>
      <w:r>
        <w:rPr>
          <w:rStyle w:val="HideTWBInt"/>
        </w:rPr>
        <w:t>}</w:t>
      </w:r>
      <w:r>
        <w:t>it</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6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6.</w:t>
            </w:r>
            <w:r>
              <w:tab/>
            </w:r>
            <w:r>
              <w:t>prašo iš dalies pakeisti susitarimą siekiant apmokestinti maisto produktų ženklinimą, kol nebus pradėtas taikyti draudimas importuoti klonuotą mėsą ir (arba) nebus užtikrintas atsekamumas;</w:t>
            </w:r>
          </w:p>
        </w:tc>
        <w:tc>
          <w:tcPr/>
          <w:p>
            <w:pPr>
              <w:pStyle w:val="Normal6"/>
            </w:pPr>
            <w:r>
              <w:t>6.</w:t>
            </w:r>
            <w:r>
              <w:tab/>
            </w:r>
            <w:r>
              <w:t xml:space="preserve">prašo iš dalies pakeisti susitarimą siekiant apmokestinti </w:t>
            </w:r>
            <w:r>
              <w:rPr>
                <w:rFonts w:ascii="Times New Roman" w:eastAsia="Times New Roman" w:hAnsi="Times New Roman" w:cs="Times New Roman"/>
                <w:b/>
                <w:i/>
                <w:strike w:val="0"/>
                <w:color w:val="000000"/>
                <w:sz w:val="24"/>
                <w:highlight w:val="none"/>
                <w:u w:val="none" w:color="auto"/>
              </w:rPr>
              <w:t>sistemingą</w:t>
            </w:r>
            <w:r>
              <w:t xml:space="preserve"> maisto produktų ženklinimą, kol nebus pradėtas taikyti draudimas importuoti klonuotą mėsą ir (arba) nebus užtikrintas atsekamumas;</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Mireille D'Ornano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7 dalis</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r>
              <w:t>7.</w:t>
            </w:r>
            <w:r>
              <w:tab/>
            </w:r>
            <w:r>
              <w:rPr>
                <w:rFonts w:ascii="Times New Roman" w:eastAsia="Times New Roman" w:hAnsi="Times New Roman" w:cs="Times New Roman"/>
                <w:b/>
                <w:i/>
                <w:strike w:val="0"/>
                <w:color w:val="000000"/>
                <w:sz w:val="24"/>
                <w:highlight w:val="none"/>
                <w:u w:val="none" w:color="auto"/>
              </w:rPr>
              <w:t>rekomenduoja</w:t>
            </w:r>
            <w:r>
              <w:t xml:space="preserve"> Europos </w:t>
            </w:r>
            <w:r>
              <w:rPr>
                <w:rFonts w:ascii="Times New Roman" w:eastAsia="Times New Roman" w:hAnsi="Times New Roman" w:cs="Times New Roman"/>
                <w:b/>
                <w:i/>
                <w:strike w:val="0"/>
                <w:color w:val="000000"/>
                <w:sz w:val="24"/>
                <w:highlight w:val="none"/>
                <w:u w:val="none" w:color="auto"/>
              </w:rPr>
              <w:t>Sąjungai pasiremti</w:t>
            </w:r>
            <w:r>
              <w:t xml:space="preserve"> Japonijos taisyklėmis dėl maisto produktų radioaktyvumo siekiant užtikrinti didesnę Europos vartotojų apsaugą.</w:t>
            </w:r>
          </w:p>
        </w:tc>
        <w:tc>
          <w:tcPr/>
          <w:p>
            <w:pPr>
              <w:pStyle w:val="Normal6"/>
            </w:pPr>
            <w:r>
              <w:t>7.</w:t>
            </w:r>
            <w:r>
              <w:tab/>
            </w:r>
            <w:r>
              <w:rPr>
                <w:rFonts w:ascii="Times New Roman" w:eastAsia="Times New Roman" w:hAnsi="Times New Roman" w:cs="Times New Roman"/>
                <w:b/>
                <w:i/>
                <w:strike w:val="0"/>
                <w:color w:val="000000"/>
                <w:sz w:val="24"/>
                <w:highlight w:val="none"/>
                <w:u w:val="none" w:color="auto"/>
              </w:rPr>
              <w:t>reikalauja, kad</w:t>
            </w:r>
            <w:r>
              <w:t xml:space="preserve"> Europos </w:t>
            </w:r>
            <w:r>
              <w:rPr>
                <w:rFonts w:ascii="Times New Roman" w:eastAsia="Times New Roman" w:hAnsi="Times New Roman" w:cs="Times New Roman"/>
                <w:b/>
                <w:i/>
                <w:strike w:val="0"/>
                <w:color w:val="000000"/>
                <w:sz w:val="24"/>
                <w:highlight w:val="none"/>
                <w:u w:val="none" w:color="auto"/>
              </w:rPr>
              <w:t>Sąjunga ir valstybės narės remtųsi</w:t>
            </w:r>
            <w:r>
              <w:t xml:space="preserve"> Japonijos taisyklėmis dėl maisto produktų radioaktyvumo siekiant užtikrinti didesnę Europos vartotojų apsaugą.</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7 a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7a.</w:t>
            </w:r>
            <w:r>
              <w:tab/>
            </w:r>
            <w:r>
              <w:rPr>
                <w:rFonts w:ascii="Times New Roman" w:eastAsia="Times New Roman" w:hAnsi="Times New Roman" w:cs="Times New Roman"/>
                <w:b/>
                <w:i/>
                <w:strike w:val="0"/>
                <w:color w:val="000000"/>
                <w:sz w:val="24"/>
                <w:highlight w:val="none"/>
                <w:u w:val="none" w:color="auto"/>
              </w:rPr>
              <w:t>reiškia nepasitenkinimą, kad nepaisant Europos Parlamento pozicijos dėl banginių medžioklės, šis klausimas nebuvo svarstomas ir kad derybomis dėl šio susitarimo nebuvo pasinaudota kaip galimybe Europos Sąjungai reikalauti, kad Japonija laikytųsi tarptautinio banginių medžioklės moratoriumo;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Pakeitimas</w:t>
      </w:r>
      <w:r>
        <w:tab/>
      </w:r>
      <w:r>
        <w:tab/>
      </w:r>
      <w:r>
        <w:rPr>
          <w:rStyle w:val="HideTWBExt"/>
        </w:rPr>
        <w:t>&lt;</w:t>
      </w:r>
      <w:r>
        <w:rPr>
          <w:rStyle w:val="HideTWBExt"/>
        </w:rPr>
        <w:t>NumAm</w:t>
      </w:r>
      <w:r>
        <w:rPr>
          <w:rStyle w:val="HideTWBExt"/>
        </w:rPr>
        <w:t>&gt;</w:t>
      </w:r>
      <w:r>
        <w:t>24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Younous Omarjee</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Nuomonės projektas</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7 b dalis (nauja)</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trHeight w:hRule="exact" w:val="240"/>
          <w:jc w:val="center"/>
        </w:trPr>
        <w:tc>
          <w:tcPr>
            <w:gridSpan w:val="2"/>
          </w:tcPr>
          <w:p/>
        </w:tc>
      </w:tr>
      <w:tr>
        <w:tblPrEx>
          <w:jc w:val="center"/>
          <w:tblLayout w:type="fixed"/>
          <w:tblCellMar>
            <w:top w:w="0" w:type="dxa"/>
            <w:left w:w="340" w:type="dxa"/>
            <w:bottom w:w="0" w:type="dxa"/>
            <w:right w:w="340" w:type="dxa"/>
          </w:tblCellMar>
        </w:tblPrEx>
        <w:trPr>
          <w:trHeight w:val="240"/>
          <w:jc w:val="center"/>
        </w:trPr>
        <w:tc>
          <w:tcPr/>
          <w:p>
            <w:pPr>
              <w:pStyle w:val="ColumnHeading"/>
            </w:pPr>
            <w:r>
              <w:t>Nuomonės projektas</w:t>
            </w:r>
          </w:p>
        </w:tc>
        <w:tc>
          <w:tcPr/>
          <w:p>
            <w:pPr>
              <w:pStyle w:val="ColumnHeading"/>
            </w:pPr>
            <w:r>
              <w:t>Pakeitimas</w:t>
            </w:r>
          </w:p>
        </w:tc>
      </w:tr>
      <w:tr>
        <w:tblPrEx>
          <w:jc w:val="center"/>
          <w:tblLayout w:type="fixed"/>
          <w:tblCellMar>
            <w:top w:w="0" w:type="dxa"/>
            <w:left w:w="340" w:type="dxa"/>
            <w:bottom w:w="0" w:type="dxa"/>
            <w:right w:w="340" w:type="dxa"/>
          </w:tblCellMar>
        </w:tblPrEx>
        <w:trPr>
          <w:trHeight w:hRule="auto" w:val="0"/>
          <w:jc w:val="center"/>
        </w:trPr>
        <w:tc>
          <w:tcPr/>
          <w:p>
            <w:pPr>
              <w:pStyle w:val="Normal6"/>
            </w:pPr>
          </w:p>
        </w:tc>
        <w:tc>
          <w:tcPr/>
          <w:p>
            <w:pPr>
              <w:pStyle w:val="Normal6"/>
            </w:pPr>
            <w:r>
              <w:rPr>
                <w:rFonts w:ascii="Times New Roman" w:eastAsia="Times New Roman" w:hAnsi="Times New Roman" w:cs="Times New Roman"/>
                <w:b/>
                <w:i/>
                <w:strike w:val="0"/>
                <w:color w:val="000000"/>
                <w:sz w:val="24"/>
                <w:highlight w:val="none"/>
                <w:u w:val="none" w:color="auto"/>
              </w:rPr>
              <w:t>7b.</w:t>
            </w:r>
            <w:r>
              <w:tab/>
            </w:r>
            <w:r>
              <w:rPr>
                <w:rFonts w:ascii="Times New Roman" w:eastAsia="Times New Roman" w:hAnsi="Times New Roman" w:cs="Times New Roman"/>
                <w:b/>
                <w:i/>
                <w:strike w:val="0"/>
                <w:color w:val="000000"/>
                <w:sz w:val="24"/>
                <w:highlight w:val="none"/>
                <w:u w:val="none" w:color="auto"/>
              </w:rPr>
              <w:t>nepritaria Tarybos sprendimui dėl Europos Sąjungos ir Japonijos ekonominės partnerystės susitarimo sudarymo.</w:t>
            </w:r>
          </w:p>
        </w:tc>
      </w:tr>
    </w:tbl>
    <w:p>
      <w:pPr>
        <w:pStyle w:val="Olang"/>
      </w:pPr>
      <w:r>
        <w:t>Or.</w:t>
      </w:r>
      <w:r>
        <w:t xml:space="preserve"> </w:t>
      </w:r>
      <w:r>
        <w:rPr>
          <w:rStyle w:val="HideTWBExt"/>
        </w:rPr>
        <w:t>&lt;</w:t>
      </w:r>
      <w:r>
        <w:rPr>
          <w:rStyle w:val="HideTWBExt"/>
        </w:rPr>
        <w:t>Original</w:t>
      </w:r>
      <w:r>
        <w:rPr>
          <w:rStyle w:val="HideTWBExt"/>
        </w:rPr>
        <w:t>&gt;</w:t>
      </w:r>
      <w:r>
        <w:rPr>
          <w:rStyle w:val="HideTWBInt"/>
        </w:rPr>
        <w:t>{</w:t>
      </w:r>
      <w:r>
        <w:rPr>
          <w:rStyle w:val="HideTWBInt"/>
        </w:rPr>
        <w:t>FR</w:t>
      </w:r>
      <w:r>
        <w:rPr>
          <w:rStyle w:val="HideTWBInt"/>
        </w:rPr>
        <w:t>}</w:t>
      </w:r>
      <w:r>
        <w:t>fr</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r>
        <w:rPr>
          <w:rStyle w:val="HideTWBExt"/>
        </w:rPr>
        <w:t>&lt;/</w:t>
      </w:r>
      <w:r>
        <w:rPr>
          <w:rStyle w:val="HideTWBExt"/>
        </w:rPr>
        <w:t>RepeatBlock-Amend</w:t>
      </w:r>
      <w:r>
        <w:rPr>
          <w:rStyle w:val="HideTWBExt"/>
        </w:rPr>
        <w:t>&gt;</w:t>
      </w:r>
    </w:p>
    <w:sectPr>
      <w:footerReference w:type="even" r:id="rId5"/>
      <w:footerReference w:type="default" r:id="rId6"/>
      <w:footerReference w:type="first" r:id="rId7"/>
      <w:pgSz w:w="11906" w:h="16838"/>
      <w:pgMar w:top="1134" w:right="1417" w:bottom="1417" w:left="1417" w:header="1134" w:footer="567"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PE</w:t>
    </w:r>
    <w:r>
      <w:rPr>
        <w:rStyle w:val="HideTWBExt"/>
      </w:rPr>
      <w:t>&lt;</w:t>
    </w:r>
    <w:r>
      <w:rPr>
        <w:rStyle w:val="HideTWBExt"/>
      </w:rPr>
      <w:t>NoPE</w:t>
    </w:r>
    <w:r>
      <w:rPr>
        <w:rStyle w:val="HideTWBExt"/>
      </w:rPr>
      <w:t>&gt;</w:t>
    </w:r>
    <w:r>
      <w:t>627.602</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rPr>
        <w:rStyle w:val="HideTWBExt"/>
      </w:rPr>
      <w:t>&lt;</w:t>
    </w:r>
    <w:r>
      <w:rPr>
        <w:rStyle w:val="HideTWBExt"/>
      </w:rPr>
      <w:t>PathFdR</w:t>
    </w:r>
    <w:r>
      <w:rPr>
        <w:rStyle w:val="HideTWBExt"/>
      </w:rPr>
      <w:t>&gt;</w:t>
    </w:r>
    <w:r>
      <w:t>AM\1162093LT.docx</w:t>
    </w:r>
    <w:r>
      <w:rPr>
        <w:rStyle w:val="HideTWBExt"/>
      </w:rPr>
      <w:t>&lt;/</w:t>
    </w:r>
    <w:r>
      <w:rPr>
        <w:rStyle w:val="HideTWBExt"/>
      </w:rPr>
      <w:t>PathFdR</w:t>
    </w:r>
    <w:r>
      <w:rPr>
        <w:rStyle w:val="HideTWBExt"/>
      </w:rPr>
      <w:t>&gt;</w:t>
    </w:r>
  </w:p>
  <w:p>
    <w:pPr>
      <w:pStyle w:val="Footer2"/>
    </w:pPr>
    <w:r>
      <w:t>LT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AM\1162093LT.docx</w:t>
    </w:r>
    <w:r>
      <w:rPr>
        <w:rStyle w:val="HideTWBExt"/>
      </w:rPr>
      <w:t>&lt;/</w:t>
    </w:r>
    <w:r>
      <w:rPr>
        <w:rStyle w:val="HideTWBExt"/>
      </w:rPr>
      <w:t>PathFdR</w:t>
    </w:r>
    <w:r>
      <w:rPr>
        <w:rStyle w:val="HideTWBExt"/>
      </w:rPr>
      <w:t>&gt;</w:t>
    </w:r>
    <w:r>
      <w:tab/>
    </w:r>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ab/>
    </w:r>
    <w:r>
      <w:t>PE</w:t>
    </w:r>
    <w:r>
      <w:rPr>
        <w:rStyle w:val="HideTWBExt"/>
      </w:rPr>
      <w:t>&lt;</w:t>
    </w:r>
    <w:r>
      <w:rPr>
        <w:rStyle w:val="HideTWBExt"/>
      </w:rPr>
      <w:t>NoPE</w:t>
    </w:r>
    <w:r>
      <w:rPr>
        <w:rStyle w:val="HideTWBExt"/>
      </w:rPr>
      <w:t>&gt;</w:t>
    </w:r>
    <w:r>
      <w:t>627.602</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ab/>
    </w:r>
    <w:r>
      <w:tab/>
    </w:r>
    <w:r>
      <w:t>LT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HideTWBExt"/>
      </w:rPr>
      <w:t>&lt;</w:t>
    </w:r>
    <w:r>
      <w:rPr>
        <w:rStyle w:val="HideTWBExt"/>
      </w:rPr>
      <w:t>PathFdR</w:t>
    </w:r>
    <w:r>
      <w:rPr>
        <w:rStyle w:val="HideTWBExt"/>
      </w:rPr>
      <w:t>&gt;</w:t>
    </w:r>
    <w:r>
      <w:t>AM\1162093LT.docx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627.602</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Footer2"/>
    </w:pPr>
    <w:r>
      <w:t>LT</w:t>
    </w:r>
    <w:r>
      <w:tab/>
    </w:r>
    <w:r>
      <w:rPr>
        <w:rStyle w:val="Footer2Middle"/>
      </w:rPr>
      <w:t>Suvienijusi įvairovę</w:t>
    </w:r>
    <w:r>
      <w:tab/>
    </w:r>
    <w:r>
      <w:t>LT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gruik" w:val="value of gruik"/>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13;&#10;{\f34\fbidi \froman\fcharset0\fprq2{\*\panose 02040503050406030204}Cambria Math;}{\flomajor\f31500\fbidi \froman\fcharset0\fprq2{\*\panose 02020603050405020304}Times New Roman;}&#13;&#10;{\fdbmajor\f31501\fbidi \froman\fcharset0\fprq2{\*\panose 02020603050405020304}Times New Roman;}{\fhimajor\f31502\fbidi \froman\fcharset0\fprq2{\*\panose 02040503050406030204}Cambria;}&#13;&#10;{\fbimajor\f31503\fbidi \froman\fcharset0\fprq2{\*\panose 02020603050405020304}Times New Roman;}{\flominor\f31504\fbidi \froman\fcharset0\fprq2{\*\panose 02020603050405020304}Times New Roman;}&#13;&#10;{\fdbminor\f31505\fbidi \froman\fcharset0\fprq2{\*\panose 02020603050405020304}Times New Roman;}{\fhiminor\f31506\fbidi \fswiss\fcharset0\fprq2{\*\panose 020f0502020204030204}Calibri;}&#13;&#10;{\fbiminor\f31507\fbidi \froman\fcharset0\fprq2{\*\panose 02020603050405020304}Times New Roman;}{\f248\fbidi \froman\fcharset238\fprq2 Times New Roman CE;}{\f249\fbidi \froman\fcharset204\fprq2 Times New Roman Cyr;}&#13;&#10;{\f251\fbidi \froman\fcharset161\fprq2 Times New Roman Greek;}{\f252\fbidi \froman\fcharset162\fprq2 Times New Roman Tur;}{\f253\fbidi \froman\fcharset177\fprq2 Times New Roman (Hebrew);}{\f254\fbidi \froman\fcharset178\fprq2 Times New Roman (Arabic);}&#13;&#10;{\f255\fbidi \froman\fcharset186\fprq2 Times New Roman Baltic;}{\f256\fbidi \froman\fcharset163\fprq2 Times New Roman (Vietnamese);}{\f258\fbidi \fswiss\fcharset238\fprq2 Arial CE;}{\f259\fbidi \fswiss\fcharset204\fprq2 Arial Cyr;}&#13;&#10;{\f261\fbidi \fswiss\fcharset161\fprq2 Arial Greek;}{\f262\fbidi \fswiss\fcharset162\fprq2 Arial Tur;}{\f263\fbidi \fswiss\fcharset177\fprq2 Arial (Hebrew);}{\f264\fbidi \fswiss\fcharset178\fprq2 Arial (Arabic);}&#13;&#10;{\f265\fbidi \fswiss\fcharset186\fprq2 Arial Baltic;}{\f266\fbidi \fswiss\fcharset163\fprq2 Arial (Vietnamese);}{\f588\fbidi \froman\fcharset238\fprq2 Cambria Math CE;}{\f589\fbidi \froman\fcharset204\fprq2 Cambria Math Cyr;}&#13;&#10;{\f591\fbidi \froman\fcharset161\fprq2 Cambria Math Greek;}{\f592\fbidi \froman\fcharset162\fprq2 Cambria Math Tur;}{\f595\fbidi \froman\fcharset186\fprq2 Cambria Math Baltic;}{\f596\fbidi \froman\fcharset163\fprq2 Cambria Math (Vietnamese);}&#13;&#10;{\flomajor\f31508\fbidi \froman\fcharset238\fprq2 Times New Roman CE;}{\flomajor\f31509\fbidi \froman\fcharset204\fprq2 Times New Roman Cyr;}{\flomajor\f31511\fbidi \froman\fcharset161\fprq2 Times New Roman Greek;}&#13;&#10;{\flomajor\f31512\fbidi \froman\fcharset162\fprq2 Times New Roman Tur;}{\flomajor\f31513\fbidi \froman\fcharset177\fprq2 Times New Roman (Hebrew);}{\flomajor\f31514\fbidi \froman\fcharset178\fprq2 Times New Roman (Arabic);}&#13;&#10;{\flomajor\f31515\fbidi \froman\fcharset186\fprq2 Times New Roman Baltic;}{\flomajor\f31516\fbidi \froman\fcharset163\fprq2 Times New Roman (Vietnamese);}{\fdbmajor\f31518\fbidi \froman\fcharset238\fprq2 Times New Roman CE;}&#13;&#10;{\fdbmajor\f31519\fbidi \froman\fcharset204\fprq2 Times New Roman Cyr;}{\fdbmajor\f31521\fbidi \froman\fcharset161\fprq2 Times New Roman Greek;}{\fdbmajor\f31522\fbidi \froman\fcharset162\fprq2 Times New Roman Tur;}&#13;&#10;{\fdbmajor\f31523\fbidi \froman\fcharset177\fprq2 Times New Roman (Hebrew);}{\fdbmajor\f31524\fbidi \froman\fcharset178\fprq2 Times New Roman (Arabic);}{\fdbmajor\f31525\fbidi \froman\fcharset186\fprq2 Times New Roman Baltic;}&#13;&#10;{\fdbmajor\f31526\fbidi \froman\fcharset163\fprq2 Times New Roman (Vietnamese);}{\fhimajor\f31528\fbidi \froman\fcharset238\fprq2 Cambria CE;}{\fhimajor\f31529\fbidi \froman\fcharset204\fprq2 Cambria Cyr;}&#13;&#10;{\fhimajor\f31531\fbidi \froman\fcharset161\fprq2 Cambria Greek;}{\fhimajor\f31532\fbidi \froman\fcharset162\fprq2 Cambria Tur;}{\fhimajor\f31535\fbidi \froman\fcharset186\fprq2 Cambria Baltic;}&#13;&#10;{\fhimajor\f31536\fbidi \froman\fcharset163\fprq2 Cambria (Vietnamese);}{\fbimajor\f31538\fbidi \froman\fcharset238\fprq2 Times New Roman CE;}{\fbimajor\f31539\fbidi \froman\fcharset204\fprq2 Times New Roman Cyr;}&#13;&#10;{\fbimajor\f31541\fbidi \froman\fcharset161\fprq2 Times New Roman Greek;}{\fbimajor\f31542\fbidi \froman\fcharset162\fprq2 Times New Roman Tur;}{\fbimajor\f31543\fbidi \froman\fcharset177\fprq2 Times New Roman (Hebrew);}&#13;&#10;{\fbimajor\f31544\fbidi \froman\fcharset178\fprq2 Times New Roman (Arabic);}{\fbimajor\f31545\fbidi \froman\fcharset186\fprq2 Times New Roman Baltic;}{\fbimajor\f31546\fbidi \froman\fcharset163\fprq2 Times New Roman (Vietnamese);}&#13;&#10;{\flominor\f31548\fbidi \froman\fcharset238\fprq2 Times New Roman CE;}{\flominor\f31549\fbidi \froman\fcharset204\fprq2 Times New Roman Cyr;}{\flominor\f31551\fbidi \froman\fcharset161\fprq2 Times New Roman Greek;}&#13;&#10;{\flominor\f31552\fbidi \froman\fcharset162\fprq2 Times New Roman Tur;}{\flominor\f31553\fbidi \froman\fcharset177\fprq2 Times New Roman (Hebrew);}{\flominor\f31554\fbidi \froman\fcharset178\fprq2 Times New Roman (Arabic);}&#13;&#10;{\flominor\f31555\fbidi \froman\fcharset186\fprq2 Times New Roman Baltic;}{\flominor\f31556\fbidi \froman\fcharset163\fprq2 Times New Roman (Vietnamese);}{\fdbminor\f31558\fbidi \froman\fcharset238\fprq2 Times New Roman CE;}&#13;&#10;{\fdbminor\f31559\fbidi \froman\fcharset204\fprq2 Times New Roman Cyr;}{\fdbminor\f31561\fbidi \froman\fcharset161\fprq2 Times New Roman Greek;}{\fdbminor\f31562\fbidi \froman\fcharset162\fprq2 Times New Roman Tur;}&#13;&#10;{\fdbminor\f31563\fbidi \froman\fcharset177\fprq2 Times New Roman (Hebrew);}{\fdbminor\f31564\fbidi \froman\fcharset178\fprq2 Times New Roman (Arabic);}{\fdbminor\f31565\fbidi \froman\fcharset186\fprq2 Times New Roman Baltic;}&#13;&#10;{\fdbminor\f31566\fbidi \froman\fcharset163\fprq2 Times New Roman (Vietnamese);}{\fhiminor\f31568\fbidi \fswiss\fcharset238\fprq2 Calibri CE;}{\fhiminor\f31569\fbidi \fswiss\fcharset204\fprq2 Calibri Cyr;}&#13;&#10;{\fhiminor\f31571\fbidi \fswiss\fcharset161\fprq2 Calibri Greek;}{\fhiminor\f31572\fbidi \fswiss\fcharset162\fprq2 Calibri Tur;}{\fhiminor\f31575\fbidi \fswiss\fcharset186\fprq2 Calibri Baltic;}&#13;&#10;{\fhiminor\f31576\fbidi \fswiss\fcharset163\fprq2 Calibri (Vietnamese);}{\fbiminor\f31578\fbidi \froman\fcharset238\fprq2 Times New Roman CE;}{\fbiminor\f31579\fbidi \froman\fcharset204\fprq2 Times New Roman Cyr;}&#13;&#10;{\fbiminor\f31581\fbidi \froman\fcharset161\fprq2 Times New Roman Greek;}{\fbiminor\f31582\fbidi \froman\fcharset162\fprq2 Times New Roman Tur;}{\fbiminor\f31583\fbidi \froman\fcharset177\fprq2 Times New Roman (Hebrew);}&#13;&#10;{\fbiminor\f31584\fbidi \froman\fcharset178\fprq2 Times New Roman (Arabic);}{\fbiminor\f31585\fbidi \froman\fcharset186\fprq2 Times New Roman Baltic;}{\fbiminor\f31586\fbidi \froman\fcharset163\fprq2 Times New Roman (Vietnamese);}}&#13;&#10;{\colortbl;\red0\green0\blue0;\red0\green0\blue255;\red0\green255\blue255;\red0\green255\blue0;\red255\green0\blue255;\red255\green0\blue0;\red255\green255\blue0;\red255\green255\blue255;\red0\green0\blue128;\red0\green128\blue128;\red0\green128\blue0;&#13;&#10;\red128\green0\blue128;\red128\green0\blue0;\red128\green128\blue0;\red128\green128\blue128;\red192\green192\blue192;}{\*\defchp }{\*\defpap \ql \li0\ri0\widctlpar\wrapdefault\aspalpha\aspnum\faauto\adjustright\rin0\lin0\itap0 }\noqfpromote {\stylesheet{&#13;&#10;\ql \li0\ri0\widctlpar\wrapdefault\aspalpha\aspnum\faauto\adjustright\rin0\lin0\itap0 \rtlch\fcs1 \af0\afs20\alang1025 \ltrch\fcs0 \fs24\lang2057\langfe2057\cgrid\langnp2057\langfenp2057 \snext0 \sqformat \spriority0 Normal;}{\*\cs10 \additive &#13;&#10;\ssemihidden \spriority0 Default Paragraph Font;}{\*\ts11\tsrowd\trftsWidthB3\trpaddl108\trpaddr108\trpaddfl3\trpaddft3\trpaddfb3\trpaddfr3\tblind0\tblindtype3\tsvertalt\tsbrdrt\tsbrdrl\tsbrdrb\tsbrdrr\tsbrdrdgl\tsbrdrdgr\tsbrdrh\tsbrdrv &#13;&#10;\ql \li0\ri0\widctlpar\wrapdefault\aspalpha\aspnum\faauto\adjustright\rin0\lin0\itap0 \rtlch\fcs1 \af0\afs20\alang1025 \ltrch\fcs0 \fs20\lang1043\langfe1043\cgrid\langnp1043\langfenp1043 \snext11 \ssemihidden \spriority0 Normal Table;}{\*\cs15 \additive &#13;&#10;\v\f1\fs20\cf9\lang1024\langfe1024\noproof \spriority0 \styrsid3105041 HideTWBExt;}{\s16\qr \li0\ri0\sb240\sa240\nowidctlpar\wrapdefault\aspalpha\aspnum\faauto\adjustright\rin0\lin0\itap0 \rtlch\fcs1 \af0\afs20\alang1025 \ltrch\fcs0 &#13;&#10;\fs24\lang1024\langfe1024\cgrid\noproof\langnp2057\langfenp2057 \sbasedon0 \snext16 \spriority0 \styrsid3105041 Olang;}{\s17\ql \li0\ri0\sa120\nowidctlpar\wrapdefault\aspalpha\aspnum\faauto\adjustright\rin0\lin0\itap0 \rtlch\fcs1 \af0\afs20\alang1025 &#13;&#10;\ltrch\fcs0 \fs24\lang1024\langfe1024\cgrid\noproof\langnp2057\langfenp2057 \sbasedon0 \snext17 \slink18 \spriority0 \styrsid3105041 Normal6;}{\*\cs18 \additive \fs24\lang1024\langfe1024\noproof\langnp2057\langfenp2057 &#13;&#10;\slink17 \slocked \spriority0 \styrsid3105041 Normal6 Char;}{\s19\ql \li0\ri0\nowidctlpar\wrapdefault\aspalpha\aspnum\faauto\adjustright\rin0\lin0\itap0 \rtlch\fcs1 \af0\afs20\alang1025 \ltrch\fcs0 &#13;&#10;\b\fs24\lang2057\langfe2057\cgrid\langnp2057\langfenp2057 \sbasedon0 \snext19 \slink20 \spriority0 \styrsid3105041 NormalBold;}{\*\cs20 \additive \b\fs24\lang2057\langfe2057\langnp2057\langfenp2057 \slink19 \slocked \spriority0 \styrsid3105041 &#13;&#10;NormalBold Char;}{\s21\qc \li0\ri0\sa240\nowidctlpar\wrapdefault\aspalpha\aspnum\faauto\adjustright\rin0\lin0\itap0 \rtlch\fcs1 \af0\afs20\alang1025 \ltrch\fcs0 \i\fs24\lang2057\langfe2057\cgrid\langnp2057\langfenp2057 &#13;&#10;\sbasedon0 \snext21 \spriority0 \styrsid3105041 ColumnHeading;}{\s22\ql \li0\ri0\sb240\nowidctlpar&#13;&#10;\tx879\tx936\tx1021\tx1077\tx1134\tx1191\tx1247\tx1304\tx1361\tx1418\tx1474\tx1531\tx1588\tx1644\tx1701\tx1758\tx1814\tx1871\tx2070\tx2126\tx3374\tx3430\wrapdefault\aspalpha\aspnum\faauto\adjustright\rin0\lin0\itap0 \rtlch\fcs1 \af0\afs20\alang1025 &#13;&#10;\ltrch\fcs0 \b\fs24\lang2057\langfe2057\cgrid\langnp2057\langfenp2057 \sbasedon0 \snext22 \spriority0 \styrsid3105041 AMNumberTabs;}}{\*\rsidtbl \rsid24658\rsid735077\rsid2892074\rsid3105041\rsid4666813\rsid6641733\rsid9636012\rsid11215221\rsid12154954&#13;&#10;\rsid14424199\rsid15204470\rsid15285974\rsid15950462\rsid15992473\rsid16324206\rsid16662270}{\mmathPr\mmathFont34\mbrkBin0\mbrkBinSub0\msmallFrac0\mdispDef1\mlMargin0\mrMargin0\mdefJc1\mwrapIndent1440\mintLim0\mnaryLim1}{\info{\author FELIX Karina}&#13;&#10;{\operator FELIX Karina}{\creatim\yr2015\mo5\dy8\hr15\min29}{\revtim\yr2015\mo5\dy8\hr15\min29}{\version1}{\edmins0}{\nofpages1}{\nofwords48}{\nofchars268}{\*\company European Parliament}{\nofcharsws315}{\vern49165}}{\*\xmlnstbl {\xmlns1 http://schemas.mi&#13;&#10;crosoft.com/office/word/2003/wordml}}\paperw11906\paperh16838\margl1418\margr1418\margt1134\margb1418\gutter0\ltrsect &#13;&#10;\facingp\widowctrl\ftnbj\aenddoc\ftnrstpg\trackmoves0\trackformatting1\donotembedsysfont1\relyonvml0\donotembedlingdata0\grfdocevents0\validatexml1\showplaceholdtext0\ignoremixedcontent0\saveinvalidxml0&#13;&#10;\showxmlerrors1\margmirror\noxlattoyen\expshrtn\noultrlspc\dntblnsbdb\nospaceforul\formshade\horzdoc\dghspace180\dgvspace180\dghorigin1701\dgvorigin1984\dghshow0\dgvshow0&#13;&#10;\jexpand\viewkind1\viewscale90\pgbrdrhead\pgbrdrfoot\nolnhtadjtbl\nojkernpunct\rsidroot3105041\utinl \fet0{\*\wgrffmtfilter 013f}\ilfomacatclnup0{\*\template C:\\Users\\kfelix\\AppData\\Local\\Temp\\Blank1.dot}{\*\ftnsep \ltrpar \pard\plain \ltrpar&#13;&#10;\ql \li0\ri0\widctlpar\wrapdefault\aspalpha\aspnum\faauto\adjustright\rin0\lin0\itap0 \rtlch\fcs1 \af0\afs20\alang1025 \ltrch\fcs0 \fs24\lang2057\langfe2057\cgrid\langnp2057\langfenp2057 {\rtlch\fcs1 \af0 \ltrch\fcs0 \insrsid15992473 \chftnsep &#13;&#10;\par }}{\*\ftnsepc \ltrpar \pard\plain \ltrpar\ql \li0\ri0\widctlpar\wrapdefault\aspalpha\aspnum\faauto\adjustright\rin0\lin0\itap0 \rtlch\fcs1 \af0\afs20\alang1025 \ltrch\fcs0 \fs24\lang2057\langfe2057\cgrid\langnp2057\langfenp2057 {\rtlch\fcs1 \af0 &#13;&#10;\ltrch\fcs0 \insrsid15992473 \chftnsepc &#13;&#10;\par }}{\*\aftnsep \ltrpar \pard\plain \ltrpar\ql \li0\ri0\widctlpar\wrapdefault\aspalpha\aspnum\faauto\adjustright\rin0\lin0\itap0 \rtlch\fcs1 \af0\afs20\alang1025 \ltrch\fcs0 \fs24\lang2057\langfe2057\cgrid\langnp2057\langfenp2057 {\rtlch\fcs1 \af0 &#13;&#10;\ltrch\fcs0 \insrsid15992473 \chftnsep &#13;&#10;\par }}{\*\aftnsepc \ltrpar \pard\plain \ltrpar\ql \li0\ri0\widctlpar\wrapdefault\aspalpha\aspnum\faauto\adjustright\rin0\lin0\itap0 \rtlch\fcs1 \af0\afs20\alang1025 \ltrch\fcs0 \fs24\lang2057\langfe2057\cgrid\langnp2057\langfenp2057 {\rtlch\fcs1 \af0 &#13;&#10;\ltrch\fcs0 \insrsid15992473 \chftnsepc &#13;&#10;\par }}\ltrpar \sectd \ltrsect\psz9\linex0\headery1134\footery505\endnhere\titlepg\sectdefaultcl\sectrsid14424199\sftnbj\sftnrstpg {\*\pnseclvl1\pnucrm\pnstart1\pnindent720\pnhang {\pntxta .}}{\*\pnseclvl2\pnucltr\pnstart1\pnindent720\pnhang {\pntxta .}}&#13;&#10;{\*\pnseclvl3\pndec\pnstart1\pnindent720\pnhang {\pntxta .}}{\*\pnseclvl4\pnlcltr\pnstart1\pnindent720\pnhang {\pntxta )}}{\*\pnseclvl5\pndec\pnstart1\pnindent720\pnhang {\pntxtb (}{\pntxta )}}{\*\pnseclvl6\pnlcltr\pnstart1\pnindent720\pnhang {\pntxtb (}&#13;&#10;{\pntxta )}}{\*\pnseclvl7\pnlcrm\pnstart1\pnindent720\pnhang {\pntxtb (}{\pntxta )}}{\*\pnseclvl8\pnlcltr\pnstart1\pnindent720\pnhang {\pntxtb (}{\pntxta )}}{\*\pnseclvl9\pnlcrm\pnstart1\pnindent720\pnhang {\pntxtb (}{\pntxta )}}\pard\plain \ltrpar&#13;&#10;\s22\ql \li0\ri0\sb240\keepn\nowidctlpar\tx879\tx936\tx1021\tx1077\tx1134\tx1191\tx1247\tx1304\tx1361\tx1418\tx1474\tx1531\tx1588\tx1644\tx1701\tx1758\tx1814\tx1871\tx2070\tx2126\tx3374\tx3430\wrapdefault\aspalpha\aspnum\faauto\adjustright\rin0&#13;&#10;\lin0\itap0\pararsid13646180 \rtlch\fcs1 \af0\afs20\alang1025 \ltrch\fcs0 \b\fs24\lang2057\langfe2057\cgrid\langnp2057\langfenp2057 {\rtlch\fcs1 \af0 \ltrch\fcs0 \cs15\b0\v\f1\fs20\cf9\lang1024\langfe1024\noproof\insrsid3105041\charrsid4417459 &#13;&#10;{\*\bkmkstart restart}&lt;Amend&gt;}{\rtlch\fcs1 \af0 \ltrch\fcs0 \insrsid3105041\charrsid1799708 [ZAMENDMENT]}{\rtlch\fcs1 \af0 \ltrch\fcs0 \insrsid3105041 \tab \tab }{\rtlch\fcs1 \af0 \ltrch\fcs0 &#13;&#10;\cs15\b0\v\f1\fs20\cf9\lang1024\langfe1024\noproof\insrsid3105041\charrsid4417459 &lt;NumAm&gt;}{\rtlch\fcs1 \af0 \ltrch\fcs0 \insrsid3105041\charrsid1799708 [ZNRAM]}{\rtlch\fcs1 \af0 \ltrch\fcs0 &#13;&#10;\cs15\b0\v\f1\fs20\cf9\lang1024\langfe1024\noproof\insrsid3105041\charrsid4417459 &lt;/NumAm&gt;}{\rtlch\fcs1 \af0 \ltrch\fcs0 \insrsid3105041\charrsid4080556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14699840 &lt;RepeatBlock-By&gt;}{\rtlch\fcs1 \af0 \ltrch\fcs0 \lang1024\langfe1024\noproof\insrsid3105041\charrsid14699840 [RepeatMembers]}{\rtlch\fcs1 \af0 \ltrch\fcs0 &#13;&#10;\cs15\b0\v\f1\fs20\cf9\lang1024\langfe1024\noproof\insrsid3105041\charrsid14699840 &lt;Members&gt;}{\rtlch\fcs1 \af0 \ltrch\fcs0 \insrsid3105041\charrsid14699840 [ZMEMBERS]}{\rtlch\fcs1 \af0 \ltrch\fcs0 &#13;&#10;\cs15\b0\v\f1\fs20\cf9\lang1024\langfe1024\noproof\insrsid3105041\charrsid14699840 &lt;/Members&gt;}{\rtlch\fcs1 \af0 \ltrch\fcs0 \insrsid3105041\charrsid14699840 &#13;&#10;\par }\pard\plain \ltrpar\ql \li0\ri0\widctlpar\wrapdefault\aspalpha\aspnum\faauto\adjustright\rin0\lin0\itap0\pararsid3025377 \rtlch\fcs1 \af0\afs20\alang1025 \ltrch\fcs0 \fs24\lang2057\langfe2057\cgrid\langnp2057\langfenp2057 {\rtlch\fcs1 \af0 \ltrch\fcs0 &#13;&#10;\cs15\v\f1\fs20\cf9\lang1024\langfe1024\noproof\insrsid3105041\charrsid14699840 &lt;AuNomDe&gt;&lt;OptDel&gt;}{\rtlch\fcs1 \af0 \ltrch\fcs0 \insrsid3105041\charrsid14699840 [ZONBEHALF]}{\rtlch\fcs1 \af0 \ltrch\fcs0 &#13;&#10;\cs15\v\f1\fs20\cf9\lang1024\langfe1024\noproof\insrsid3105041\charrsid14699840 &lt;/OptDel&gt;&lt;/AuNomDe&gt;}{\rtlch\fcs1 \af0 \ltrch\fcs0 \insrsid3105041\charrsid14699840 &#13;&#10;\par &lt;&lt;&lt;}{\rtlch\fcs1 \af0 \ltrch\fcs0 \cs15\v\f1\fs20\cf9\lang1024\langfe1024\noproof\insrsid3105041\charrsid14699840 &lt;/RepeatBlock-By&gt;}{\rtlch\fcs1 \af0 \ltrch\fcs0 \insrsid3105041\charrsid14699840 &#13;&#10;\par }\pard\plain \ltrpar\s19\ql \li0\ri0\nowidctlpar\wrapdefault\aspalpha\aspnum\faauto\adjustright\rin0\lin0\itap0\pararsid3025377 \rtlch\fcs1 \af0\afs20\alang1025 \ltrch\fcs0 \b\fs24\lang2057\langfe2057\cgrid\langnp2057\langfenp2057 {\rtlch\fcs1 \af0 &#13;&#10;\ltrch\fcs0 \cs15\b0\v\f1\fs20\cf9\lang1024\langfe1024\noproof\insrsid3105041\charrsid4737239 &lt;DocAmend&gt;}{\rtlch\fcs1 \af0 \ltrch\fcs0 \insrsid3105041\charrsid1799708 [Z}{\rtlch\fcs1 \af0 \ltrch\fcs0 \insrsid3105041 AMDOC}{\rtlch\fcs1 \af0 \ltrch\fcs0 &#13;&#10;\insrsid3105041\charrsid1799708 ]}{\rtlch\fcs1 \af0 \ltrch\fcs0 \cs15\b0\v\f1\fs20\cf9\lang1024\langfe1024\noproof\insrsid3105041\charrsid4737239 &lt;/DocAmend&gt;}{\rtlch\fcs1 \af0 \ltrch\fcs0 \insrsid3105041\charrsid1799708 &#13;&#10;\par }\pard \ltrpar\s19\ql \li0\ri0\nowidctlpar\wrapdefault\aspalpha\aspnum\faauto\adjustright\rin0\lin0\itap0\pararsid14055546 {\rtlch\fcs1 \af0 \ltrch\fcs0 \cs15\b0\v\f1\fs20\cf9\lang1024\langfe1024\noproof\insrsid3105041\charrsid1799708 &lt;Article&gt;}{&#13;&#10;\rtlch\fcs1 \af0 \ltrch\fcs0 \insrsid3105041\charrsid1799708 [ZAMPART]}{\rtlch\fcs1 \af0 \ltrch\fcs0 \cs15\b0\v\f1\fs20\cf9\lang1024\langfe1024\noproof\insrsid3105041\charrsid1799708 &lt;/Article&gt;}{\rtlch\fcs1 \af0 \ltrch\fcs0 &#13;&#10;\insrsid3105041\charrsid1799708 &#13;&#10;\par \ltrrow}\trowd \ltrrow\ts11\trqc\trgaph340\trleft-340\trftsWidth3\trwWidth9752\trftsWidthB3\trftsWidthA3\trpaddl340\trpaddr340\trpaddfl3\trpaddfr3\tblrsid14055546\tblind0\tblindtype3 \clvertalt\clbrdrt\brdrtbl \clbrdrl\brdrtbl \clbrdrb\brdrtbl \clbrdrr&#13;&#10;\brdrtbl \cltxlrtb\clftsWidth3\clwWidth9752\clshdrawnil \cellx9412\pard\plain \ltrpar\ql \li0\ri0\keepn\widctlpar\intbl\wrapdefault\aspalpha\aspnum\faauto\adjustright\rin0\lin0\pararsid10708565 \rtlch\fcs1 \af0\afs20\alang1025 \ltrch\fcs0 &#13;&#10;\fs24\lang2057\langfe2057\cgrid\langnp2057\langfenp2057 {\rtlch\fcs1 \af0 \ltrch\fcs0 \insrsid3105041\charrsid1799708 \cell }\pard \ltrpar\ql \li0\ri0\widctlpar\intbl\wrapdefault\aspalpha\aspnum\faauto\adjustright\rin0\lin0 {\rtlch\fcs1 \af0 \ltrch\fcs0 &#13;&#10;\insrsid3105041\charrsid1799708 \trowd \ltrrow\ts11\trqc\trgaph340\trleft-340\trftsWidth3\trwWidth9752\trftsWidthB3\trftsWidthA3\trpaddl340\trpaddr340\trpaddfl3\trpaddfr3\tblrsid14055546\tblind0\tblindtype3 \clvertalt\clbrdrt\brdrtbl \clbrdrl\brdrtbl &#13;&#10;\clbrdrb\brdrtbl \clbrdrr\brdrtbl \cltxlrtb\clftsWidth3\clwWidth9752\clshdrawnil \cellx9412\row \ltrrow}\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pard\plain \ltrpar&#13;&#10;\s21\qc \li0\ri0\sa240\keepn\nowidctlpar\intbl\wrapdefault\aspalpha\aspnum\faauto\adjustright\rin0\lin0\pararsid10708565 \rtlch\fcs1 \af0\afs20\alang1025 \ltrch\fcs0 \i\fs24\lang2057\langfe2057\cgrid\langnp2057\langfenp2057 {\rtlch\fcs1 \af0 \ltrch\fcs0 &#13;&#10;\insrsid3105041\charrsid1799708 [ZLEFT]\cell [ZRIGHT]\cell }\pard\plain \ltrpar\ql \li0\ri0\widctlpar\intbl\wrapdefault\aspalpha\aspnum\faauto\adjustright\rin0\lin0 \rtlch\fcs1 \af0\afs20\alang1025 \ltrch\fcs0 &#13;&#10;\fs24\lang2057\langfe2057\cgrid\langnp2057\langfenp2057 {\rtlch\fcs1 \af0 \ltrch\fcs0 \insrsid3105041\charrsid1799708 \trowd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ltrrow}\pard\plain \ltrpar&#13;&#10;\s17\ql \li0\ri0\sa120\nowidctlpar\intbl\wrapdefault\aspalpha\aspnum\faauto\adjustright\rin0\lin0\pararsid14055546 \rtlch\fcs1 \af0\afs20\alang1025 \ltrch\fcs0 \fs24\lang1024\langfe1024\cgrid\noproof\langnp2057\langfenp2057 {\rtlch\fcs1 \af0 \ltrch\fcs0 &#13;&#10;\insrsid3105041\charrsid1799708 [ZTEXTL]\cell [ZTEXTR]}{\rtlch\fcs1 \af0\afs24 \ltrch\fcs0 \insrsid3105041\charrsid1799708 \cell }\pard\plain \ltrpar\ql \li0\ri0\widctlpar\intbl\wrapdefault\aspalpha\aspnum\faauto\adjustright\rin0\lin0 \rtlch\fcs1 &#13;&#10;\af0\afs20\alang1025 \ltrch\fcs0 \fs24\lang2057\langfe2057\cgrid\langnp2057\langfenp2057 {\rtlch\fcs1 \af0 \ltrch\fcs0 \insrsid3105041\charrsid1799708 \trowd \lastrow \ltrrow&#13;&#10;\ts11\trqc\trgaph340\trleft-340\trftsWidth3\trwWidth9752\trftsWidthB3\trftsWidthA3\trpaddl340\trpaddr340\trpaddfl3\trpaddfr3\tblrsid14055546\tblind0\tblindtype3 \clvertalt\clbrdrt\brdrtbl \clbrdrl\brdrtbl \clbrdrb\brdrtbl \clbrdrr\brdrtbl &#13;&#10;\cltxlrtb\clftsWidth3\clwWidth4876\clshdrawnil \cellx4536\clvertalt\clbrdrt\brdrtbl \clbrdrl\brdrtbl \clbrdrb\brdrtbl \clbrdrr\brdrtbl \cltxlrtb\clftsWidth3\clwWidth4876\clshdrawnil \cellx9412\row }\pard\plain \ltrpar&#13;&#10;\s16\qr \li0\ri0\sb240\sa240\nowidctlpar\wrapdefault\aspalpha\aspnum\faauto\adjustright\rin0\lin0\itap0\pararsid14055546 \rtlch\fcs1 \af0\afs20\alang1025 \ltrch\fcs0 \fs24\lang1024\langfe1024\cgrid\noproof\langnp2057\langfenp2057 {\rtlch\fcs1 \af0 &#13;&#10;\ltrch\fcs0 \noproof0\insrsid3105041\charrsid1799708 Or. }{\rtlch\fcs1 \af0 \ltrch\fcs0 \cs15\v\f1\fs20\cf9\noproof0\insrsid3105041\charrsid1799708 &lt;Original&gt;}{\rtlch\fcs1 \af0 \ltrch\fcs0 \noproof0\insrsid3105041\charrsid1799708 [ZORLANG]}{\rtlch\fcs1 &#13;&#10;\af0 \ltrch\fcs0 \cs15\v\f1\fs20\cf9\noproof0\insrsid3105041\charrsid1799708 &lt;/Original&gt;}{\rtlch\fcs1 \af0 \ltrch\fcs0 \noproof0\insrsid3105041\charrsid1799708 &#13;&#10;\par }\pard\plain \ltrpar\ql \li0\ri0\widctlpar\wrapdefault\aspalpha\aspnum\faauto\adjustright\rin0\lin0\itap0\pararsid16324206 \rtlch\fcs1 \af0\afs20\alang1025 \ltrch\fcs0 \fs24\lang2057\langfe2057\cgrid\langnp2057\langfenp2057 {\rtlch\fcs1 \af0 \ltrch\fcs0 &#13;&#10;\cs15\v\f1\fs20\cf9\lang1024\langfe1024\noproof\insrsid3105041\charrsid1799708 &lt;/Amend&gt;}{\rtlch\fcs1 \af0 \ltrch\fcs0 \insrsid24658\charrsid16324206 {\*\bkmkend restart}&#13;&#10;\par }{\*\themedata 504b030414000600080000002100e9de0fbfff0000001c020000130000005b436f6e74656e745f54797065735d2e786d6cac91cb4ec3301045f748fc83e52d4a&#13;&#10;9cb2400825e982c78ec7a27cc0c8992416c9d8b2a755fbf74cd25442a820166c2cd933f79e3be372bd1f07b5c3989ca74aaff2422b24eb1b475da5df374fd9ad&#13;&#10;5689811a183c61a50f98f4babebc2837878049899a52a57be670674cb23d8e90721f90a4d2fa3802cb35762680fd800ecd7551dc18eb899138e3c943d7e503b6&#13;&#10;b01d583deee5f99824e290b4ba3f364eac4a430883b3c092d4eca8f946c916422ecab927f52ea42b89a1cd59c254f919b0e85e6535d135a8de20f20b8c12c3b0&#13;&#10;0c895fcf6720192de6bf3b9e89ecdbd6596cbcdd8eb28e7c365ecc4ec1ff1460f53fe813d3cc7f5b7f020000ffff0300504b030414000600080000002100a5d6&#13;&#10;a7e7c0000000360100000b0000005f72656c732f2e72656c73848fcf6ac3300c87ef85bd83d17d51d2c31825762fa590432fa37d00e1287f68221bdb1bebdb4f&#13;&#10;c7060abb0884a4eff7a93dfeae8bf9e194e720169aaa06c3e2433fcb68e1763dbf7f82c985a4a725085b787086a37bdbb55fbc50d1a33ccd311ba548b6309512&#13;&#10;0f88d94fbc52ae4264d1c910d24a45db3462247fa791715fd71f989e19e0364cd3f51652d73760ae8fa8c9ffb3c330cc9e4fc17faf2ce545046e37944c69e462&#13;&#10;a1a82fe353bd90a865aad41ed0b5b8f9d6fd010000ffff0300504b0304140006000800000021006b799616830000008a0000001c0000007468656d652f746865&#13;&#10;6d652f7468656d654d616e616765722e786d6c0ccc4d0ac3201040e17da17790d93763bb284562b2cbaebbf600439c1a41c7a0d29fdbd7e5e38337cedf14d59b&#13;&#10;4b0d592c9c070d8a65cd2e88b7f07c2ca71ba8da481cc52c6ce1c715e6e97818c9b48d13df49c873517d23d59085adb5dd20d6b52bd521ef2cdd5eb9246a3d8b&#13;&#10;4757e8d3f729e245eb2b260a0238fd010000ffff0300504b03041400060008000000210030dd4329a8060000a41b0000160000007468656d652f7468656d652f&#13;&#10;7468656d65312e786d6cec594f6fdb3614bf0fd87720746f6327761a07758ad8b19b2d4d1bc46e871e698996d850a240d2497d1bdae38001c3ba618715d86d87&#13;&#10;615b8116d8a5fb34d93a6c1dd0afb0475292c5585e9236d88aad3e2412f9e3fbff1e1fa9abd7eec70c1d1221294fda5efd72cd4324f1794093b0eddd1ef62fad&#13;&#10;79482a9c0498f184b4bd2991deb58df7dfbb8ad755446282607d22d771db8b944ad79796a40fc3585ee62949606ecc458c15bc8a702910f808e8c66c69b9565b&#13;&#10;5d8a314d3c94e018c8de1a8fa94fd05093f43672e23d06af89927ac06762a049136785c10607758d9053d965021d62d6f6804fc08f86e4bef210c352c144dbab&#13;&#10;999fb7b4717509af678b985ab0b6b4ae6f7ed9ba6c4170b06c788a705430adf71bad2b5b057d03606a1ed7ebf5babd7a41cf00b0ef83a6569632cd467faddec9&#13;&#10;699640f6719e76b7d6ac355c7c89feca9cccad4ea7d36c65b258a206641f1b73f8b5da6a6373d9c11b90c537e7f08dce66b7bbeae00dc8e257e7f0fd2badd586&#13;&#10;8b37a088d1e4600ead1ddaef67d40bc898b3ed4af81ac0d76a197c86826828a24bb318f3442d8ab518dfe3a20f000d6458d104a9694ac6d88728eee2782428d6&#13;&#10;0cf03ac1a5193be4cbb921cd0b495fd054b5bd0f530c1931a3f7eaf9f7af9e3f45c70f9e1d3ff8e9f8e1c3e3073f5a42ceaa6d9c84e5552fbffdeccfc71fa33f&#13;&#10;9e7ef3f2d117d57859c6fffac327bffcfc793510d26726ce8b2f9ffcf6ecc98baf3efdfdbb4715f04d814765f890c644a29be408edf3181433567125272371be&#13;&#10;15c308d3f28acd249438c19a4b05fd9e8a1cf4cd296699771c393ac4b5e01d01e5a30a787d72cf1178108989a2159c77a2d801ee72ce3a5c545a6147f32a9979&#13;&#10;3849c26ae66252c6ed637c58c5bb8b13c7bfbd490a75330f4b47f16e441c31f7184e140e494214d273fc80900aedee52ead87597fa824b3e56e82e451d4c2b4d&#13;&#10;32a423279a668bb6690c7e9956e90cfe766cb37b077538abd27a8b1cba48c80acc2a841f12e698f13a9e281c57911ce298950d7e03aba84ac8c154f8655c4f2a&#13;&#10;f074481847bd804859b5e696007d4b4edfc150b12addbecba6b18b148a1e54d1bc81392f23b7f84137c2715a851dd0242a633f900710a218ed715505dfe56e86&#13;&#10;e877f0034e16bafb0e258ebb4faf06b769e888340b103d331115bebc4eb813bf83291b63624a0d1475a756c734f9bbc2cd28546ecbe1e20a3794ca175f3fae90&#13;&#10;fb6d2dd99bb07b55e5ccf68942bd0877b23c77b908e8db5f9db7f024d9239010f35bd4bbe2fcae387bfff9e2bc289f2fbe24cfaa301468dd8bd846dbb4ddf1c2&#13;&#10;ae7b4c191ba8292337a469bc25ec3d411f06f53a73e224c5292c8de0516732307070a1c0660d125c7d44553488700a4d7bddd3444299910e254ab984c3a219ae&#13;&#10;a4adf1d0f82b7bd46cea4388ad1c12ab5d1ed8e1153d9c9f350a3246aad01c6873462b9ac05999ad5cc988826eafc3acae853a33b7ba11cd1445875ba1b236b1&#13;&#10;399483c90bd560b0b0263435085a21b0f22a9cf9356b38ec6046026d77eba3dc2dc60b17e92219e180643ed27acffba86e9c94c7ca9c225a0f1b0cfae0788ad5&#13;&#10;4adc5a9aec1b703b8b93caec1a0bd8e5de7b132fe5113cf312503b998e2c2927274bd051db6b35979b1ef271daf6c6704e86c73805af4bdd476216c26593af84&#13;&#10;0dfb5393d964f9cc9bad5c313709ea70f561ed3ea7b053075221d51696910d0d339585004b34272bff7213cc7a510a5454a3b349b1b206c1f0af490176745d4b&#13;&#10;c663e2abb2b34b23da76f6352ba57ca2881844c1111ab189d8c7e07e1daaa04f40255c77988aa05fe06e4e5bdb4cb9c5394bbaf28d98c1d971ccd20867e556a7&#13;&#10;689ec9166e0a522183792b8907ba55ca6e943bbf2a26e52f48957218ffcf54d1fb09dc3eac04da033e5c0d0b8c74a6b43d2e54c4a10aa511f5fb021a07533b20&#13;&#10;5ae07e17a621a8e082dafc17e450ffb739676998b48643a4daa7211214f623150942f6a02c99e83b85583ddbbb2c4996113211551257a656ec1139246ca86be0&#13;&#10;aadedb3d1441a89b6a929501833b197fee7b9641a3503739e57c732a59b1f7da1cf8a73b1f9bcca0945b874d4393dbbf10b1680f66bbaa5d6f96e77b6f59113d&#13;&#10;316bb31a795600b3d256d0cad2fe354538e7566b2bd69cc6cbcd5c38f0e2bcc63058344429dc2121fd07f63f2a7c66bf76e80d75c8f7a1b622f878a18941d840&#13;&#10;545fb28d07d205d20e8ea071b283369834296bdaac75d256cb37eb0bee740bbe278cad253b8bbfcf69eca23973d939b97891c6ce2cecd8da8e2d343578f6648a&#13;&#10;c2d0383fc818c798cf64e52f597c740f1cbd05df0c264c49134cf09d4a60e8a107260f20f92d47b374e32f000000ffff0300504b030414000600080000002100&#13;&#10;0dd1909fb60000001b010000270000007468656d652f7468656d652f5f72656c732f7468656d654d616e616765722e786d6c2e72656c73848f4d0ac2301484f7&#13;&#10;8277086f6fd3ba109126dd88d0add40384e4350d363f2451eced0dae2c082e8761be9969bb979dc9136332de3168aa1a083ae995719ac16db8ec8e4052164e89&#13;&#10;d93b64b060828e6f37ed1567914b284d262452282e3198720e274a939cd08a54f980ae38a38f56e422a3a641c8bbd048f7757da0f19b017cc524bd62107bd500&#13;&#10;1996509affb3fd381a89672f1f165dfe514173d9850528a2c6cce0239baa4c04ca5bbabac4df000000ffff0300504b01022d0014000600080000002100e9de0f&#13;&#10;bfff0000001c0200001300000000000000000000000000000000005b436f6e74656e745f54797065735d2e786d6c504b01022d0014000600080000002100a5d6&#13;&#10;a7e7c0000000360100000b00000000000000000000000000300100005f72656c732f2e72656c73504b01022d00140006000800000021006b799616830000008a&#13;&#10;0000001c00000000000000000000000000190200007468656d652f7468656d652f7468656d654d616e616765722e786d6c504b01022d00140006000800000021&#13;&#10;0030dd4329a8060000a41b00001600000000000000000000000000d60200007468656d652f7468656d652f7468656d65312e786d6c504b01022d001400060008&#13;&#10;00000021000dd1909fb60000001b0100002700000000000000000000000000b20900007468656d652f7468656d652f5f72656c732f7468656d654d616e616765722e786d6c2e72656c73504b050600000000050005005d010000ad0a00000000}&#13;&#10;{\*\colorschememapping 3c3f786d6c2076657273696f6e3d22312e302220656e636f64696e673d225554462d3822207374616e64616c6f6e653d22796573223f3e0d0a3c613a636c724d&#13;&#10;617020786d6c6e733a613d22687474703a2f2f736368656d61732e6f70656e786d6c666f726d6174732e6f72672f64726177696e676d6c2f323030362f6d6169&#13;&#10;6e22206267313d226c743122207478313d22646b3122206267323d226c743222207478323d22646b322220616363656e74313d22616363656e74312220616363&#13;&#10;656e74323d22616363656e74322220616363656e74333d22616363656e74332220616363656e74343d22616363656e74342220616363656e74353d22616363656e74352220616363656e74363d22616363656e74362220686c696e6b3d22686c696e6b2220666f6c486c696e6b3d22666f6c486c696e6b222f3e}&#13;&#10;{\*\latentstyles\lsdstimax267\lsdlockeddef0\lsdsemihiddendef0\lsdunhideuseddef0\lsdqformatdef0\lsdprioritydef0{\lsdlockedexcept \lsdqformat1 \lsdlocked0 Normal;\lsdqformat1 \lsdlocked0 heading 1;&#13;&#10;\lsdsemihidden1 \lsdunhideused1 \lsdqformat1 \lsdlocked0 heading 2;\lsdsemihidden1 \lsdunhideused1 \lsdqformat1 \lsdlocked0 heading 3;\lsdsemihidden1 \lsdunhideused1 \lsdqformat1 \lsdlocked0 heading 4;&#13;&#10;\lsdsemihidden1 \lsdunhideused1 \lsdqformat1 \lsdlocked0 heading 5;\lsdsemihidden1 \lsdunhideused1 \lsdqformat1 \lsdlocked0 heading 6;\lsdsemihidden1 \lsdunhideused1 \lsdqformat1 \lsdlocked0 heading 7;&#13;&#10;\lsdsemihidden1 \lsdunhideused1 \lsdqformat1 \lsdlocked0 heading 8;\lsdsemihidden1 \lsdunhideused1 \lsdqformat1 \lsdlocked0 heading 9;\lsdsemihidden1 \lsdunhideused1 \lsdqformat1 \lsdlocked0 caption;\lsdqformat1 \lsdlocked0 Title;&#13;&#10;\lsdqformat1 \lsdlocked0 Subtitle;\lsdqformat1 \lsdlocked0 Strong;\lsdqformat1 \lsdlocked0 Emphasis;\lsdsemihidden1 \lsdpriority99 \lsdlocked0 Placeholder Text;\lsdqformat1 \lsdpriority1 \lsdlocked0 No Spacing;\lsdpriority60 \lsdlocked0 Light Shading;&#13;&#10;\lsdpriority61 \lsdlocked0 Light List;\lsdpriority62 \lsdlocked0 Light Grid;\lsdpriority63 \lsdlocked0 Medium Shading 1;\lsdpriority64 \lsdlocked0 Medium Shading 2;\lsdpriority65 \lsdlocked0 Medium List 1;\lsdpriority66 \lsdlocked0 Medium List 2;&#13;&#10;\lsdpriority67 \lsdlocked0 Medium Grid 1;\lsdpriority68 \lsdlocked0 Medium Grid 2;\lsdpriority69 \lsdlocked0 Medium Grid 3;\lsdpriority70 \lsdlocked0 Dark List;\lsdpriority71 \lsdlocked0 Colorful Shading;\lsdpriority72 \lsdlocked0 Colorful List;&#13;&#10;\lsdpriority73 \lsdlocked0 Colorful Grid;\lsdpriority60 \lsdlocked0 Light Shading Accent 1;\lsdpriority61 \lsdlocked0 Light List Accent 1;\lsdpriority62 \lsdlocked0 Light Grid Accent 1;\lsdpriority63 \lsdlocked0 Medium Shading 1 Accent 1;&#13;&#10;\lsdpriority64 \lsdlocked0 Medium Shading 2 Accent 1;\lsdpriority65 \lsdlocked0 Medium List 1 Accent 1;\lsdsemihidden1 \lsdpriority99 \lsdlocked0 Revision;\lsdqformat1 \lsdpriority34 \lsdlocked0 List Paragraph;&#13;&#10;\lsdqformat1 \lsdpriority29 \lsdlocked0 Quote;\lsdqformat1 \lsdpriority30 \lsdlocked0 Intense Quote;\lsdpriority66 \lsdlocked0 Medium List 2 Accent 1;\lsdpriority67 \lsdlocked0 Medium Grid 1 Accent 1;\lsdpriority68 \lsdlocked0 Medium Grid 2 Accent 1;&#13;&#10;\lsdpriority69 \lsdlocked0 Medium Grid 3 Accent 1;\lsdpriority70 \lsdlocked0 Dark List Accent 1;\lsdpriority71 \lsdlocked0 Colorful Shading Accent 1;\lsdpriority72 \lsdlocked0 Colorful List Accent 1;\lsdpriority73 \lsdlocked0 Colorful Grid Accent 1;&#13;&#10;\lsdpriority60 \lsdlocked0 Light Shading Accent 2;\lsdpriority61 \lsdlocked0 Light List Accent 2;\lsdpriority62 \lsdlocked0 Light Grid Accent 2;\lsdpriority63 \lsdlocked0 Medium Shading 1 Accent 2;\lsdpriority64 \lsdlocked0 Medium Shading 2 Accent 2;&#13;&#10;\lsdpriority65 \lsdlocked0 Medium List 1 Accent 2;\lsdpriority66 \lsdlocked0 Medium List 2 Accent 2;\lsdpriority67 \lsdlocked0 Medium Grid 1 Accent 2;\lsdpriority68 \lsdlocked0 Medium Grid 2 Accent 2;\lsdpriority69 \lsdlocked0 Medium Grid 3 Accent 2;&#13;&#10;\lsdpriority70 \lsdlocked0 Dark List Accent 2;\lsdpriority71 \lsdlocked0 Colorful Shading Accent 2;\lsdpriority72 \lsdlocked0 Colorful List Accent 2;\lsdpriority73 \lsdlocked0 Colorful Grid Accent 2;\lsdpriority60 \lsdlocked0 Light Shading Accent 3;&#13;&#10;\lsdpriority61 \lsdlocked0 Light List Accent 3;\lsdpriority62 \lsdlocked0 Light Grid Accent 3;\lsdpriority63 \lsdlocked0 Medium Shading 1 Accent 3;\lsdpriority64 \lsdlocked0 Medium Shading 2 Accent 3;\lsdpriority65 \lsdlocked0 Medium List 1 Accent 3;&#13;&#10;\lsdpriority66 \lsdlocked0 Medium List 2 Accent 3;\lsdpriority67 \lsdlocked0 Medium Grid 1 Accent 3;\lsdpriority68 \lsdlocked0 Medium Grid 2 Accent 3;\lsdpriority69 \lsdlocked0 Medium Grid 3 Accent 3;\lsdpriority70 \lsdlocked0 Dark List Accent 3;&#13;&#10;\lsdpriority71 \lsdlocked0 Colorful Shading Accent 3;\lsdpriority72 \lsdlocked0 Colorful List Accent 3;\lsdpriority73 \lsdlocked0 Colorful Grid Accent 3;\lsdpriority60 \lsdlocked0 Light Shading Accent 4;\lsdpriority61 \lsdlocked0 Light List Accent 4;&#13;&#10;\lsdpriority62 \lsdlocked0 Light Grid Accent 4;\lsdpriority63 \lsdlocked0 Medium Shading 1 Accent 4;\lsdpriority64 \lsdlocked0 Medium Shading 2 Accent 4;\lsdpriority65 \lsdlocked0 Medium List 1 Accent 4;\lsdpriority66 \lsdlocked0 Medium List 2 Accent 4;&#13;&#10;\lsdpriority67 \lsdlocked0 Medium Grid 1 Accent 4;\lsdpriority68 \lsdlocked0 Medium Grid 2 Accent 4;\lsdpriority69 \lsdlocked0 Medium Grid 3 Accent 4;\lsdpriority70 \lsdlocked0 Dark List Accent 4;\lsdpriority71 \lsdlocked0 Colorful Shading Accent 4;&#13;&#10;\lsdpriority72 \lsdlocked0 Colorful List Accent 4;\lsdpriority73 \lsdlocked0 Colorful Grid Accent 4;\lsdpriority60 \lsdlocked0 Light Shading Accent 5;\lsdpriority61 \lsdlocked0 Light List Accent 5;\lsdpriority62 \lsdlocked0 Light Grid Accent 5;&#13;&#10;\lsdpriority63 \lsdlocked0 Medium Shading 1 Accent 5;\lsdpriority64 \lsdlocked0 Medium Shading 2 Accent 5;\lsdpriority65 \lsdlocked0 Medium List 1 Accent 5;\lsdpriority66 \lsdlocked0 Medium List 2 Accent 5;&#13;&#10;\lsdpriority67 \lsdlocked0 Medium Grid 1 Accent 5;\lsdpriority68 \lsdlocked0 Medium Grid 2 Accent 5;\lsdpriority69 \lsdlocked0 Medium Grid 3 Accent 5;\lsdpriority70 \lsdlocked0 Dark List Accent 5;\lsdpriority71 \lsdlocked0 Colorful Shading Accent 5;&#13;&#10;\lsdpriority72 \lsdlocked0 Colorful List Accent 5;\lsdpriority73 \lsdlocked0 Colorful Grid Accent 5;\lsdpriority60 \lsdlocked0 Light Shading Accent 6;\lsdpriority61 \lsdlocked0 Light List Accent 6;\lsdpriority62 \lsdlocked0 Light Grid Accent 6;&#13;&#10;\lsdpriority63 \lsdlocked0 Medium Shading 1 Accent 6;\lsdpriority64 \lsdlocked0 Medium Shading 2 Accent 6;\lsdpriority65 \lsdlocked0 Medium List 1 Accent 6;\lsdpriority66 \lsdlocked0 Medium List 2 Accent 6;&#13;&#10;\lsdpriority67 \lsdlocked0 Medium Grid 1 Accent 6;\lsdpriority68 \lsdlocked0 Medium Grid 2 Accent 6;\lsdpriority69 \lsdlocked0 Medium Grid 3 Accent 6;\lsdpriority70 \lsdlocked0 Dark List Accent 6;\lsdpriority71 \lsdlocked0 Colorful Shading Accent 6;&#13;&#10;\lsdpriority72 \lsdlocked0 Colorful List Accent 6;\lsdpriority73 \lsdlocked0 Colorful Grid Accent 6;\lsdqformat1 \lsdpriority19 \lsdlocked0 Subtle Emphasis;\lsdqformat1 \lsdpriority21 \lsdlocked0 Intense Emphasis;&#13;&#10;\lsdqformat1 \lsdpriority31 \lsdlocked0 Subtle Reference;\lsdqformat1 \lsdpriority32 \lsdlocked0 Intense Reference;\lsdqformat1 \lsdpriority33 \lsdlocked0 Book Title;\lsdsemihidden1 \lsdunhideused1 \lsdpriority37 \lsdlocked0 Bibliography;&#13;&#10;\lsdsemihidden1 \lsdunhideused1 \lsdqformat1 \lsdpriority39 \lsdlocked0 TOC Heading;}}{\*\datastore 0105000002000000180000004d73786d6c322e534158584d4c5265616465722e362e3000000000000000000000060000&#13;&#10;d0cf11e0a1b11ae1000000000000000000000000000000003e000300feff090006000000000000000000000001000000010000000000000000100000feffffff00000000feffffff0000000000000000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dfffffffe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ffffffffffffffffffffffffffffffffffffffffffffffffffffffffffffffffffffffffffffffffffffffffffffffffffffffffffffffffffffffffffffffffffffffffffffffffffffffffffffffffffffffffffffffffffffffffffffffffffffffffffffffffffffffffffff&#13;&#10;ffffffffffffffffffffffffffffffff52006f006f007400200045006e00740072007900000000000000000000000000000000000000000000000000000000000000000000000000000000000000000016000500ffffffffffffffffffffffff0c6ad98892f1d411a65f0040963251e500000000000000000000000040b8&#13;&#10;88089389d001feffffff00000000000000000000000000000000000000000000000000000000000000000000000000000000000000000000000000000000000000000000000000000000000000000000000000000000ffffffffffffffffffffffff00000000000000000000000000000000000000000000000000000000&#13;&#10;00000000000000000000000000000000000000000000000000000000000000000000000000000000000000000000000000000000000000000000000000000000000000000000000000000000000000000000000000000000ffffffffffffffffffffffff0000000000000000000000000000000000000000000000000000&#13;&#10;000000000000000000000000000000000000000000000000000000000000000000000000000000000000000000000000000000000000000000000000000000000000000000000000000000000000000000000000000000000000ffffffffffffffffffffffff000000000000000000000000000000000000000000000000&#13;&#10;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color w:val="000000"/>
      <w:sz w:val="24"/>
      <w:szCs w:val="24"/>
    </w:rPr>
  </w:style>
  <w:style w:type="paragraph" w:styleId="BalloonText">
    <w:name w:val="Balloon Text"/>
    <w:basedOn w:val="Normal"/>
    <w:link w:val="BalloonTextChar"/>
    <w:rsid w:val="00D7732B"/>
    <w:rPr>
      <w:rFonts w:ascii="Tahoma" w:hAnsi="Tahoma" w:cs="Tahoma"/>
      <w:sz w:val="16"/>
      <w:szCs w:val="16"/>
    </w:rPr>
  </w:style>
  <w:style w:type="character" w:customStyle="1" w:styleId="BalloonTextChar">
    <w:name w:val="Balloon Text Char"/>
    <w:basedOn w:val="DefaultParagraphFont"/>
    <w:link w:val="BalloonText"/>
    <w:rsid w:val="00D7732B"/>
    <w:rPr>
      <w:rFonts w:ascii="Tahoma" w:hAnsi="Tahoma" w:cs="Tahoma"/>
      <w:sz w:val="16"/>
      <w:szCs w:val="16"/>
    </w:rPr>
  </w:style>
  <w:style w:type="character" w:customStyle="1" w:styleId="BalloonTextChar0">
    <w:name w:val="Balloon Text Char_0"/>
    <w:basedOn w:val="DefaultParagraphFont"/>
    <w:link w:val="BalloonText0"/>
    <w:rsid w:val="00D7732B"/>
    <w:rPr>
      <w:rFonts w:ascii="Tahoma" w:hAnsi="Tahoma" w:cs="Tahoma"/>
      <w:sz w:val="16"/>
      <w:szCs w:val="16"/>
    </w:rPr>
  </w:style>
  <w:style w:type="paragraph" w:customStyle="1" w:styleId="BalloonText0">
    <w:name w:val="Balloon Text_0"/>
    <w:basedOn w:val="Normal"/>
    <w:link w:val="BalloonTextChar0"/>
    <w:rsid w:val="00D7732B"/>
    <w:rPr>
      <w:rFonts w:ascii="Tahoma" w:hAnsi="Tahoma" w:cs="Tahoma"/>
      <w:sz w:val="16"/>
      <w:szCs w:val="16"/>
    </w:rPr>
  </w:style>
  <w:style w:type="character" w:customStyle="1" w:styleId="Bold">
    <w:name w:val="Bold"/>
    <w:uiPriority w:val="1"/>
    <w:qFormat/>
    <w:rsid w:val="001F3CAD"/>
    <w:rPr>
      <w:rFonts w:ascii="Times New Roman" w:hAnsi="Times New Roman"/>
      <w:b/>
      <w:sz w:val="24"/>
      <w:lang w:val="fr-FR"/>
    </w:rPr>
  </w:style>
  <w:style w:type="character" w:customStyle="1" w:styleId="BoldItalic">
    <w:name w:val="BoldItalic"/>
    <w:uiPriority w:val="1"/>
    <w:qFormat/>
    <w:rsid w:val="00BF36FD"/>
    <w:rPr>
      <w:rFonts w:ascii="Times New Roman" w:hAnsi="Times New Roman"/>
      <w:b/>
      <w:i/>
      <w:sz w:val="24"/>
    </w:rPr>
  </w:style>
  <w:style w:type="paragraph" w:customStyle="1" w:styleId="Center">
    <w:name w:val="Center"/>
    <w:pPr>
      <w:spacing w:after="120"/>
      <w:jc w:val="center"/>
    </w:pPr>
    <w:rPr>
      <w:color w:val="000000"/>
    </w:rPr>
  </w:style>
  <w:style w:type="paragraph" w:customStyle="1" w:styleId="ColumnHeading">
    <w:name w:val="ColumnHeading"/>
    <w:basedOn w:val="Normal"/>
    <w:pPr>
      <w:spacing w:after="240"/>
      <w:jc w:val="center"/>
    </w:pPr>
    <w:rPr>
      <w:i/>
      <w:color w:val="000000"/>
      <w:sz w:val="24"/>
      <w:szCs w:val="24"/>
    </w:rPr>
  </w:style>
  <w:style w:type="paragraph" w:customStyle="1" w:styleId="Cover24">
    <w:name w:val="Cover24"/>
    <w:pPr>
      <w:spacing w:after="480"/>
      <w:ind w:left="1418"/>
    </w:pPr>
    <w:rPr>
      <w:color w:val="000000"/>
      <w:sz w:val="24"/>
      <w:szCs w:val="24"/>
    </w:rPr>
  </w:style>
  <w:style w:type="paragraph" w:customStyle="1" w:styleId="CoverBold">
    <w:name w:val="CoverBold"/>
    <w:pPr>
      <w:ind w:left="1418"/>
    </w:pPr>
    <w:rPr>
      <w:b/>
      <w:color w:val="000000"/>
      <w:sz w:val="24"/>
      <w:szCs w:val="24"/>
    </w:rPr>
  </w:style>
  <w:style w:type="paragraph" w:customStyle="1" w:styleId="CoverNormal">
    <w:name w:val="CoverNormal"/>
    <w:basedOn w:val="Normal"/>
    <w:pPr>
      <w:ind w:left="1418"/>
    </w:pPr>
    <w:rPr>
      <w:color w:val="000000"/>
      <w:sz w:val="24"/>
      <w:szCs w:val="24"/>
    </w:rPr>
  </w:style>
  <w:style w:type="paragraph" w:customStyle="1" w:styleId="CrossRef">
    <w:name w:val="CrossRef"/>
    <w:pPr>
      <w:spacing w:before="240"/>
      <w:jc w:val="center"/>
    </w:pPr>
    <w:rPr>
      <w:i/>
      <w:color w:val="000000"/>
      <w:sz w:val="24"/>
    </w:rPr>
  </w:style>
  <w:style w:type="character" w:customStyle="1" w:styleId="DefaultParagraphFont0">
    <w:name w:val="Default Paragraph Font_0"/>
    <w:next w:val="DefaultParagraphFont"/>
    <w:uiPriority w:val="1"/>
    <w:semiHidden/>
    <w:unhideWhenUsed/>
  </w:style>
  <w:style w:type="paragraph" w:customStyle="1" w:styleId="EPLogo">
    <w:name w:val="EPLogo"/>
    <w:basedOn w:val="Normal"/>
    <w:qFormat/>
    <w:rsid w:val="00D7732B"/>
    <w:pPr>
      <w:widowControl w:val="0"/>
      <w:jc w:val="right"/>
    </w:pPr>
    <w:rPr>
      <w:sz w:val="24"/>
      <w:szCs w:val="20"/>
    </w:rPr>
  </w:style>
  <w:style w:type="paragraph" w:customStyle="1" w:styleId="EPName">
    <w:name w:val="EPName"/>
    <w:basedOn w:val="Normal"/>
    <w:rsid w:val="00D7732B"/>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D7732B"/>
    <w:pPr>
      <w:widowControl w:val="0"/>
      <w:spacing w:after="80"/>
    </w:pPr>
    <w:rPr>
      <w:rFonts w:ascii="Arial" w:hAnsi="Arial" w:cs="Arial"/>
      <w:sz w:val="20"/>
      <w:szCs w:val="22"/>
      <w:lang w:val="fr-FR"/>
    </w:rPr>
  </w:style>
  <w:style w:type="character" w:customStyle="1" w:styleId="FootNoteMarker">
    <w:name w:val="FootNoteMarker"/>
    <w:rPr>
      <w:color w:val="000000"/>
      <w:vertAlign w:val="superscript"/>
    </w:rPr>
  </w:style>
  <w:style w:type="paragraph" w:styleId="Footer">
    <w:name w:val="footer"/>
    <w:rsid w:val="00EC60CE"/>
    <w:pPr>
      <w:tabs>
        <w:tab w:val="center" w:pos="4536"/>
        <w:tab w:val="right" w:pos="9072"/>
      </w:tabs>
      <w:spacing w:before="0" w:after="0"/>
    </w:pPr>
    <w:rPr>
      <w:color w:val="000000"/>
      <w:sz w:val="22"/>
      <w:szCs w:val="24"/>
    </w:rPr>
  </w:style>
  <w:style w:type="paragraph" w:customStyle="1" w:styleId="Footer1">
    <w:name w:val="Footer1"/>
    <w:pPr>
      <w:tabs>
        <w:tab w:val="center" w:pos="4536"/>
        <w:tab w:val="right" w:pos="9072"/>
      </w:tabs>
      <w:spacing w:before="240" w:after="240" w:line="220" w:lineRule="auto"/>
    </w:pPr>
    <w:rPr>
      <w:color w:val="000000"/>
      <w:sz w:val="22"/>
      <w:szCs w:val="24"/>
    </w:rPr>
  </w:style>
  <w:style w:type="paragraph" w:customStyle="1" w:styleId="Footer2">
    <w:name w:val="Footer2"/>
    <w:rsid w:val="00A801F5"/>
    <w:pPr>
      <w:tabs>
        <w:tab w:val="center" w:pos="4535"/>
        <w:tab w:val="right" w:pos="9923"/>
      </w:tabs>
      <w:spacing w:after="240"/>
      <w:ind w:left="-851"/>
    </w:pPr>
    <w:rPr>
      <w:rFonts w:ascii="Arial" w:eastAsia="Arial" w:hAnsi="Arial" w:cs="Arial"/>
      <w:b/>
      <w:color w:val="000000"/>
      <w:sz w:val="48"/>
      <w:szCs w:val="24"/>
    </w:rPr>
  </w:style>
  <w:style w:type="paragraph" w:customStyle="1" w:styleId="Footer2Landscape">
    <w:name w:val="Footer2Landscape"/>
    <w:qFormat/>
    <w:rsid w:val="00126EF9"/>
    <w:pPr>
      <w:tabs>
        <w:tab w:val="center" w:pos="4535"/>
        <w:tab w:val="center" w:pos="6804"/>
        <w:tab w:val="clear" w:pos="9923"/>
        <w:tab w:val="center" w:pos="13608"/>
      </w:tabs>
      <w:spacing w:after="240"/>
      <w:ind w:left="-851"/>
    </w:pPr>
    <w:rPr>
      <w:rFonts w:ascii="Arial" w:eastAsia="Arial" w:hAnsi="Arial" w:cs="Arial"/>
      <w:b/>
      <w:color w:val="000000"/>
      <w:sz w:val="48"/>
      <w:szCs w:val="24"/>
    </w:rPr>
  </w:style>
  <w:style w:type="character" w:customStyle="1" w:styleId="Footer2Middle">
    <w:name w:val="Footer2Middle"/>
    <w:rPr>
      <w:rFonts w:ascii="Arial" w:eastAsia="Arial" w:hAnsi="Arial" w:cs="Arial"/>
      <w:b w:val="0"/>
      <w:i/>
      <w:color w:val="C0C0C0"/>
      <w:sz w:val="22"/>
    </w:rPr>
  </w:style>
  <w:style w:type="paragraph" w:customStyle="1" w:styleId="FooterLandscape">
    <w:name w:val="FooterLandscape"/>
    <w:qFormat/>
    <w:rsid w:val="00C75EBA"/>
    <w:pPr>
      <w:tabs>
        <w:tab w:val="clear" w:pos="4536"/>
        <w:tab w:val="center" w:pos="6804"/>
        <w:tab w:val="clear" w:pos="9072"/>
        <w:tab w:val="center" w:pos="13608"/>
      </w:tabs>
      <w:spacing w:before="0" w:after="0"/>
    </w:pPr>
    <w:rPr>
      <w:color w:val="000000"/>
      <w:sz w:val="22"/>
      <w:szCs w:val="24"/>
    </w:rPr>
  </w:style>
  <w:style w:type="character" w:customStyle="1" w:styleId="HideTWBExt">
    <w:name w:val="HideTWBExt"/>
    <w:basedOn w:val="DefaultParagraphFont"/>
    <w:rPr>
      <w:rFonts w:ascii="Arial" w:eastAsia="Arial" w:hAnsi="Arial" w:cs="Arial"/>
      <w:b w:val="0"/>
      <w:i w:val="0"/>
      <w:caps w:val="0"/>
      <w:vanish/>
      <w:color w:val="000080"/>
      <w:sz w:val="20"/>
    </w:rPr>
  </w:style>
  <w:style w:type="character" w:customStyle="1" w:styleId="HideTWBInt">
    <w:name w:val="HideTWBInt"/>
    <w:basedOn w:val="DefaultParagraphFont"/>
    <w:rPr>
      <w:b w:val="0"/>
      <w:caps w:val="0"/>
      <w:vanish/>
      <w:color w:val="808080"/>
      <w:sz w:val="24"/>
    </w:rPr>
  </w:style>
  <w:style w:type="character" w:customStyle="1" w:styleId="Italic">
    <w:name w:val="Italic"/>
    <w:uiPriority w:val="1"/>
    <w:qFormat/>
    <w:rsid w:val="004576CA"/>
    <w:rPr>
      <w:rFonts w:ascii="Times New Roman" w:hAnsi="Times New Roman"/>
      <w:i/>
      <w:sz w:val="24"/>
    </w:rPr>
  </w:style>
  <w:style w:type="paragraph" w:customStyle="1" w:styleId="JustificationTitle">
    <w:name w:val="JustificationTitle"/>
    <w:pPr>
      <w:keepNext/>
      <w:spacing w:before="240" w:after="240"/>
      <w:jc w:val="center"/>
    </w:pPr>
    <w:rPr>
      <w:i/>
      <w:color w:val="000000"/>
      <w:sz w:val="24"/>
      <w:szCs w:val="24"/>
    </w:rPr>
  </w:style>
  <w:style w:type="paragraph" w:customStyle="1" w:styleId="LineBottom">
    <w:name w:val="LineBottom"/>
    <w:basedOn w:val="Normal"/>
    <w:next w:val="Normal"/>
    <w:pPr>
      <w:pBdr>
        <w:bottom w:val="single" w:sz="4" w:space="0" w:color="auto"/>
      </w:pBdr>
      <w:spacing w:after="960"/>
      <w:jc w:val="center"/>
    </w:pPr>
    <w:rPr>
      <w:rFonts w:ascii="Arial" w:eastAsia="Arial" w:hAnsi="Arial" w:cs="Arial"/>
      <w:color w:val="000000"/>
      <w:sz w:val="16"/>
      <w:szCs w:val="24"/>
    </w:rPr>
  </w:style>
  <w:style w:type="paragraph" w:customStyle="1" w:styleId="LineTop">
    <w:name w:val="LineTop"/>
    <w:basedOn w:val="Normal"/>
    <w:pPr>
      <w:pBdr>
        <w:top w:val="single" w:sz="4" w:space="0" w:color="auto"/>
      </w:pBdr>
      <w:jc w:val="center"/>
    </w:pPr>
    <w:rPr>
      <w:rFonts w:ascii="Arial" w:eastAsia="Arial" w:hAnsi="Arial" w:cs="Arial"/>
      <w:color w:val="000000"/>
      <w:sz w:val="16"/>
      <w:szCs w:val="24"/>
    </w:rPr>
  </w:style>
  <w:style w:type="paragraph" w:customStyle="1" w:styleId="NRAMS">
    <w:name w:val="NRAMS"/>
    <w:pPr>
      <w:spacing w:after="480" w:line="460" w:lineRule="auto"/>
      <w:ind w:left="1418"/>
    </w:pPr>
    <w:rPr>
      <w:rFonts w:ascii="Arial" w:eastAsia="Arial" w:hAnsi="Arial" w:cs="Arial"/>
      <w:b/>
      <w:color w:val="000000"/>
      <w:sz w:val="46"/>
      <w:szCs w:val="24"/>
    </w:rPr>
  </w:style>
  <w:style w:type="numbering" w:customStyle="1" w:styleId="NoList0">
    <w:name w:val="No List_0"/>
    <w:next w:val="NoList"/>
    <w:uiPriority w:val="99"/>
    <w:semiHidden/>
    <w:unhideWhenUsed/>
  </w:style>
  <w:style w:type="paragraph" w:customStyle="1" w:styleId="Normal0">
    <w:name w:val="Normal_0"/>
    <w:next w:val="Normal"/>
    <w:qFormat/>
    <w:rsid w:val="00EC60CE"/>
    <w:rPr>
      <w:sz w:val="24"/>
      <w:szCs w:val="24"/>
    </w:rPr>
  </w:style>
  <w:style w:type="paragraph" w:customStyle="1" w:styleId="Normal12">
    <w:name w:val="Normal12"/>
    <w:basedOn w:val="Normal"/>
    <w:pPr>
      <w:spacing w:after="240"/>
    </w:pPr>
    <w:rPr>
      <w:color w:val="000000"/>
      <w:sz w:val="24"/>
      <w:szCs w:val="24"/>
    </w:rPr>
  </w:style>
  <w:style w:type="paragraph" w:customStyle="1" w:styleId="Normal12Italic">
    <w:name w:val="Normal12Italic"/>
    <w:pPr>
      <w:spacing w:after="240"/>
    </w:pPr>
    <w:rPr>
      <w:i/>
      <w:color w:val="000000"/>
      <w:sz w:val="24"/>
      <w:szCs w:val="24"/>
    </w:rPr>
  </w:style>
  <w:style w:type="paragraph" w:customStyle="1" w:styleId="Normal12a12b">
    <w:name w:val="Normal12a12b"/>
    <w:basedOn w:val="Normal"/>
    <w:pPr>
      <w:spacing w:before="240" w:after="240"/>
    </w:pPr>
    <w:rPr>
      <w:color w:val="000000"/>
      <w:sz w:val="24"/>
      <w:szCs w:val="24"/>
    </w:rPr>
  </w:style>
  <w:style w:type="paragraph" w:customStyle="1" w:styleId="Normal24">
    <w:name w:val="Normal24"/>
    <w:basedOn w:val="Normal"/>
    <w:pPr>
      <w:spacing w:after="480"/>
    </w:pPr>
    <w:rPr>
      <w:color w:val="000000"/>
      <w:sz w:val="24"/>
      <w:szCs w:val="24"/>
    </w:rPr>
  </w:style>
  <w:style w:type="paragraph" w:customStyle="1" w:styleId="Normal6">
    <w:name w:val="Normal6"/>
    <w:basedOn w:val="Normal"/>
    <w:pPr>
      <w:spacing w:after="120"/>
    </w:pPr>
    <w:rPr>
      <w:color w:val="000000"/>
      <w:sz w:val="24"/>
      <w:szCs w:val="24"/>
    </w:rPr>
  </w:style>
  <w:style w:type="paragraph" w:customStyle="1" w:styleId="Normal6Center">
    <w:name w:val="Normal6 + Center"/>
    <w:qFormat/>
    <w:rsid w:val="00276AA4"/>
    <w:pPr>
      <w:spacing w:after="120"/>
      <w:jc w:val="center"/>
    </w:pPr>
    <w:rPr>
      <w:b/>
      <w:i/>
      <w:color w:val="000000"/>
      <w:sz w:val="24"/>
      <w:szCs w:val="24"/>
    </w:rPr>
  </w:style>
  <w:style w:type="paragraph" w:customStyle="1" w:styleId="Normal6Italic">
    <w:name w:val="Normal6Italic"/>
    <w:basedOn w:val="Normal"/>
    <w:pPr>
      <w:spacing w:after="120"/>
    </w:pPr>
    <w:rPr>
      <w:i/>
      <w:color w:val="000000"/>
      <w:sz w:val="24"/>
      <w:szCs w:val="24"/>
    </w:rPr>
  </w:style>
  <w:style w:type="character" w:customStyle="1" w:styleId="Normal6RomanBI">
    <w:name w:val="Normal6RomanBI"/>
    <w:rPr>
      <w:rFonts w:ascii="Times New Roman" w:eastAsia="Times New Roman" w:hAnsi="Times New Roman" w:cs="Times New Roman"/>
      <w:b/>
      <w:i/>
      <w:color w:val="000000"/>
      <w:sz w:val="24"/>
    </w:rPr>
  </w:style>
  <w:style w:type="paragraph" w:customStyle="1" w:styleId="NormalBold">
    <w:name w:val="NormalBold"/>
    <w:basedOn w:val="Normal"/>
    <w:rPr>
      <w:b/>
      <w:color w:val="000000"/>
      <w:sz w:val="24"/>
      <w:szCs w:val="24"/>
    </w:rPr>
  </w:style>
  <w:style w:type="paragraph" w:customStyle="1" w:styleId="NormalBold12b">
    <w:name w:val="NormalBold12b"/>
    <w:basedOn w:val="Normal"/>
    <w:pPr>
      <w:spacing w:before="240"/>
    </w:pPr>
    <w:rPr>
      <w:b/>
      <w:color w:val="000000"/>
      <w:sz w:val="24"/>
      <w:szCs w:val="24"/>
    </w:rPr>
  </w:style>
  <w:style w:type="paragraph" w:customStyle="1" w:styleId="Olang">
    <w:name w:val="Olang"/>
    <w:pPr>
      <w:spacing w:before="240" w:after="240"/>
      <w:jc w:val="right"/>
    </w:pPr>
    <w:rPr>
      <w:color w:val="000000"/>
      <w:sz w:val="24"/>
      <w:szCs w:val="24"/>
    </w:rPr>
  </w:style>
  <w:style w:type="paragraph" w:customStyle="1" w:styleId="RefPE">
    <w:name w:val="RefPE"/>
    <w:basedOn w:val="Normal"/>
    <w:rsid w:val="00A92086"/>
    <w:pPr>
      <w:spacing w:after="240"/>
      <w:jc w:val="right"/>
    </w:pPr>
    <w:rPr>
      <w:rFonts w:ascii="Arial" w:hAnsi="Arial"/>
      <w:b/>
      <w:sz w:val="24"/>
      <w:szCs w:val="24"/>
    </w:rPr>
  </w:style>
  <w:style w:type="paragraph" w:customStyle="1" w:styleId="RefProc">
    <w:name w:val="RefProc"/>
    <w:basedOn w:val="Normal"/>
    <w:rsid w:val="00905F0C"/>
    <w:pPr>
      <w:spacing w:after="240"/>
      <w:jc w:val="right"/>
    </w:pPr>
    <w:rPr>
      <w:rFonts w:ascii="Arial Bold" w:eastAsia="Arial" w:hAnsi="Arial Bold" w:cs="Arial"/>
      <w:b/>
      <w:color w:val="000000"/>
      <w:sz w:val="22"/>
      <w:szCs w:val="24"/>
    </w:rPr>
  </w:style>
  <w:style w:type="paragraph" w:customStyle="1" w:styleId="StyleNormal6TimesNewRomanBoldItalic">
    <w:name w:val="Style Normal6 + TimesNewRoman Bold Italic"/>
    <w:pPr>
      <w:spacing w:after="120"/>
    </w:pPr>
    <w:rPr>
      <w:b/>
      <w:i/>
      <w:color w:val="000000"/>
      <w:sz w:val="24"/>
      <w:szCs w:val="24"/>
    </w:rPr>
  </w:style>
  <w:style w:type="paragraph" w:customStyle="1" w:styleId="StyleNormalBoldNotBold">
    <w:name w:val="Style NormalBold + Not Bold"/>
    <w:rPr>
      <w:b w:val="0"/>
      <w:color w:val="000000"/>
      <w:sz w:val="24"/>
      <w:szCs w:val="24"/>
    </w:rPr>
  </w:style>
  <w:style w:type="character" w:customStyle="1" w:styleId="Sub">
    <w:name w:val="Sub"/>
    <w:rPr>
      <w:color w:val="000000"/>
      <w:vertAlign w:val="subscript"/>
    </w:rPr>
  </w:style>
  <w:style w:type="character" w:customStyle="1" w:styleId="SubBold">
    <w:name w:val="SubBold"/>
    <w:rPr>
      <w:b/>
      <w:color w:val="000000"/>
      <w:vertAlign w:val="subscript"/>
    </w:rPr>
  </w:style>
  <w:style w:type="character" w:customStyle="1" w:styleId="SubBoldItalic">
    <w:name w:val="SubBoldItalic"/>
    <w:rPr>
      <w:b/>
      <w:i/>
      <w:color w:val="000000"/>
      <w:vertAlign w:val="subscript"/>
    </w:rPr>
  </w:style>
  <w:style w:type="character" w:customStyle="1" w:styleId="SubItalic">
    <w:name w:val="SubItalic"/>
    <w:rPr>
      <w:i/>
      <w:color w:val="000000"/>
      <w:vertAlign w:val="subscript"/>
    </w:rPr>
  </w:style>
  <w:style w:type="character" w:customStyle="1" w:styleId="Sup">
    <w:name w:val="Sup"/>
    <w:rPr>
      <w:color w:val="000000"/>
      <w:vertAlign w:val="superscript"/>
    </w:rPr>
  </w:style>
  <w:style w:type="character" w:customStyle="1" w:styleId="SupBold">
    <w:name w:val="SupBold"/>
    <w:rPr>
      <w:b/>
      <w:color w:val="000000"/>
      <w:vertAlign w:val="superscript"/>
    </w:rPr>
  </w:style>
  <w:style w:type="character" w:customStyle="1" w:styleId="SupBoldItalic">
    <w:name w:val="SupBoldItalic"/>
    <w:rPr>
      <w:b/>
      <w:i/>
      <w:color w:val="000000"/>
      <w:vertAlign w:val="superscript"/>
    </w:rPr>
  </w:style>
  <w:style w:type="character" w:customStyle="1" w:styleId="SupItalic">
    <w:name w:val="SupItalic"/>
    <w:rPr>
      <w:i/>
      <w:color w:val="000000"/>
      <w:vertAlign w:val="superscript"/>
    </w:r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ypeDocAM">
    <w:name w:val="TypeDocAM"/>
    <w:basedOn w:val="Normal"/>
    <w:pPr>
      <w:ind w:left="1418"/>
    </w:pPr>
    <w:rPr>
      <w:rFonts w:ascii="Arial" w:eastAsia="Arial" w:hAnsi="Arial" w:cs="Arial"/>
      <w:b/>
      <w:color w:val="000000"/>
      <w:sz w:val="48"/>
      <w:szCs w:val="24"/>
    </w:rPr>
  </w:style>
  <w:style w:type="character" w:customStyle="1" w:styleId="Underline">
    <w:name w:val="Underline"/>
    <w:uiPriority w:val="1"/>
    <w:qFormat/>
    <w:rsid w:val="001F3CAD"/>
    <w:rPr>
      <w:rFonts w:ascii="Times New Roman" w:hAnsi="Times New Roman"/>
      <w:sz w:val="24"/>
      <w:u w:val="single"/>
    </w:rPr>
  </w:style>
  <w:style w:type="paragraph" w:customStyle="1" w:styleId="ZCommittee">
    <w:name w:val="ZCommittee"/>
    <w:basedOn w:val="Normal"/>
    <w:next w:val="Normal"/>
    <w:pPr>
      <w:spacing w:line="220" w:lineRule="auto"/>
      <w:jc w:val="center"/>
    </w:pPr>
    <w:rPr>
      <w:rFonts w:ascii="Arial" w:eastAsia="Arial" w:hAnsi="Arial" w:cs="Arial"/>
      <w:i/>
      <w:color w:val="000000"/>
      <w:sz w:val="22"/>
      <w:szCs w:val="24"/>
    </w:rPr>
  </w:style>
  <w:style w:type="paragraph" w:customStyle="1" w:styleId="ZDate">
    <w:name w:val="ZDate"/>
    <w:basedOn w:val="Normal"/>
    <w:pPr>
      <w:spacing w:after="168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1162093</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20180919-162906-081686-791416</vt:lpwstr>
  </property>
  <property fmtid="{D5CDD505-2E9C-101B-9397-08002B2CF9AE}" pid="7" name="FooterPath">
    <vt:lpwstr>AM\1162093LT.docx</vt:lpwstr>
  </property>
  <property fmtid="{D5CDD505-2E9C-101B-9397-08002B2CF9AE}" pid="8" name="PE Number">
    <vt:lpwstr>627.602</vt:lpwstr>
  </property>
  <property fmtid="{D5CDD505-2E9C-101B-9397-08002B2CF9AE}" pid="9" name="UID">
    <vt:lpwstr>eu.europa.europarl-DIN1-2018-0000080273_01.01-lt-01.00_text-xml</vt:lpwstr>
  </property>
</Properties>
</file>