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48473E" w:rsidTr="00904864">
        <w:trPr>
          <w:trHeight w:hRule="exact" w:val="1418"/>
        </w:trPr>
        <w:tc>
          <w:tcPr>
            <w:tcW w:w="6804" w:type="dxa"/>
            <w:shd w:val="clear" w:color="auto" w:fill="auto"/>
            <w:vAlign w:val="center"/>
          </w:tcPr>
          <w:p w:rsidR="00522B51" w:rsidRPr="0048473E" w:rsidRDefault="008324F5" w:rsidP="00904864">
            <w:pPr>
              <w:pStyle w:val="EPName"/>
              <w:rPr>
                <w:color w:val="auto"/>
              </w:rPr>
            </w:pPr>
            <w:bookmarkStart w:id="0" w:name="_GoBack"/>
            <w:bookmarkEnd w:id="0"/>
            <w:r w:rsidRPr="0048473E">
              <w:rPr>
                <w:color w:val="auto"/>
              </w:rPr>
              <w:t>Evropský parlament</w:t>
            </w:r>
          </w:p>
          <w:p w:rsidR="00522B51" w:rsidRPr="0048473E" w:rsidRDefault="003E60D2" w:rsidP="003E60D2">
            <w:pPr>
              <w:pStyle w:val="EPTerm"/>
              <w:rPr>
                <w:rStyle w:val="HideTWBExt"/>
                <w:noProof w:val="0"/>
                <w:vanish w:val="0"/>
                <w:color w:val="auto"/>
              </w:rPr>
            </w:pPr>
            <w:r w:rsidRPr="0048473E">
              <w:t>2014-2019</w:t>
            </w:r>
          </w:p>
        </w:tc>
        <w:tc>
          <w:tcPr>
            <w:tcW w:w="2268" w:type="dxa"/>
            <w:shd w:val="clear" w:color="auto" w:fill="auto"/>
          </w:tcPr>
          <w:p w:rsidR="00522B51" w:rsidRPr="0048473E" w:rsidRDefault="00382450"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rsidR="00F24D40" w:rsidRPr="0048473E" w:rsidRDefault="00F24D40" w:rsidP="00F24D40">
      <w:pPr>
        <w:pStyle w:val="LineTop"/>
      </w:pPr>
    </w:p>
    <w:p w:rsidR="00F24D40" w:rsidRPr="0048473E" w:rsidRDefault="00F24D40" w:rsidP="00F24D40">
      <w:pPr>
        <w:pStyle w:val="ZCommittee"/>
      </w:pPr>
      <w:r w:rsidRPr="0048473E">
        <w:rPr>
          <w:rStyle w:val="HideTWBExt"/>
          <w:noProof w:val="0"/>
          <w:color w:val="auto"/>
        </w:rPr>
        <w:t>&lt;</w:t>
      </w:r>
      <w:r w:rsidRPr="0048473E">
        <w:rPr>
          <w:rStyle w:val="HideTWBExt"/>
          <w:i w:val="0"/>
          <w:noProof w:val="0"/>
          <w:color w:val="auto"/>
        </w:rPr>
        <w:t>Commission</w:t>
      </w:r>
      <w:r w:rsidRPr="0048473E">
        <w:rPr>
          <w:rStyle w:val="HideTWBExt"/>
          <w:noProof w:val="0"/>
          <w:color w:val="auto"/>
        </w:rPr>
        <w:t>&gt;</w:t>
      </w:r>
      <w:r w:rsidRPr="0048473E">
        <w:rPr>
          <w:rStyle w:val="HideTWBInt"/>
          <w:color w:val="auto"/>
        </w:rPr>
        <w:t>{FEMM}</w:t>
      </w:r>
      <w:r w:rsidRPr="0048473E">
        <w:t>Výbor pro práva žen</w:t>
      </w:r>
      <w:r w:rsidR="0048473E" w:rsidRPr="0048473E">
        <w:t xml:space="preserve"> a </w:t>
      </w:r>
      <w:r w:rsidRPr="0048473E">
        <w:t>rovnost pohlaví</w:t>
      </w:r>
      <w:r w:rsidRPr="0048473E">
        <w:rPr>
          <w:rStyle w:val="HideTWBExt"/>
          <w:noProof w:val="0"/>
          <w:color w:val="auto"/>
        </w:rPr>
        <w:t>&lt;/</w:t>
      </w:r>
      <w:r w:rsidRPr="0048473E">
        <w:rPr>
          <w:rStyle w:val="HideTWBExt"/>
          <w:i w:val="0"/>
          <w:noProof w:val="0"/>
          <w:color w:val="auto"/>
        </w:rPr>
        <w:t>Commission</w:t>
      </w:r>
      <w:r w:rsidRPr="0048473E">
        <w:rPr>
          <w:rStyle w:val="HideTWBExt"/>
          <w:noProof w:val="0"/>
          <w:color w:val="auto"/>
        </w:rPr>
        <w:t>&gt;</w:t>
      </w:r>
    </w:p>
    <w:p w:rsidR="00F24D40" w:rsidRPr="0048473E" w:rsidRDefault="00F24D40" w:rsidP="00F24D40">
      <w:pPr>
        <w:pStyle w:val="LineBottom"/>
      </w:pPr>
    </w:p>
    <w:p w:rsidR="00DB56E4" w:rsidRPr="0048473E" w:rsidRDefault="00DB56E4" w:rsidP="00DB56E4">
      <w:pPr>
        <w:pStyle w:val="RefProc"/>
      </w:pPr>
      <w:r w:rsidRPr="0048473E">
        <w:rPr>
          <w:rStyle w:val="HideTWBExt"/>
          <w:b w:val="0"/>
          <w:noProof w:val="0"/>
          <w:color w:val="auto"/>
        </w:rPr>
        <w:t>&lt;</w:t>
      </w:r>
      <w:r w:rsidRPr="0048473E">
        <w:rPr>
          <w:rStyle w:val="HideTWBExt"/>
          <w:b w:val="0"/>
          <w:caps w:val="0"/>
          <w:noProof w:val="0"/>
          <w:color w:val="auto"/>
        </w:rPr>
        <w:t>RefProc</w:t>
      </w:r>
      <w:r w:rsidRPr="0048473E">
        <w:rPr>
          <w:rStyle w:val="HideTWBExt"/>
          <w:b w:val="0"/>
          <w:noProof w:val="0"/>
          <w:color w:val="auto"/>
        </w:rPr>
        <w:t>&gt;</w:t>
      </w:r>
      <w:r w:rsidRPr="0048473E">
        <w:t>2015/0278</w:t>
      </w:r>
      <w:r w:rsidRPr="0048473E">
        <w:rPr>
          <w:rStyle w:val="HideTWBExt"/>
          <w:b w:val="0"/>
          <w:noProof w:val="0"/>
          <w:color w:val="auto"/>
        </w:rPr>
        <w:t>&lt;/</w:t>
      </w:r>
      <w:r w:rsidRPr="0048473E">
        <w:rPr>
          <w:rStyle w:val="HideTWBExt"/>
          <w:b w:val="0"/>
          <w:caps w:val="0"/>
          <w:noProof w:val="0"/>
          <w:color w:val="auto"/>
        </w:rPr>
        <w:t>RefProc</w:t>
      </w:r>
      <w:r w:rsidRPr="0048473E">
        <w:rPr>
          <w:rStyle w:val="HideTWBExt"/>
          <w:b w:val="0"/>
          <w:noProof w:val="0"/>
          <w:color w:val="auto"/>
        </w:rPr>
        <w:t>&gt;&lt;</w:t>
      </w:r>
      <w:r w:rsidRPr="0048473E">
        <w:rPr>
          <w:rStyle w:val="HideTWBExt"/>
          <w:b w:val="0"/>
          <w:caps w:val="0"/>
          <w:noProof w:val="0"/>
          <w:color w:val="auto"/>
        </w:rPr>
        <w:t>RefTypeProc</w:t>
      </w:r>
      <w:r w:rsidRPr="0048473E">
        <w:rPr>
          <w:rStyle w:val="HideTWBExt"/>
          <w:b w:val="0"/>
          <w:noProof w:val="0"/>
          <w:color w:val="auto"/>
        </w:rPr>
        <w:t>&gt;</w:t>
      </w:r>
      <w:r w:rsidRPr="0048473E">
        <w:t>(COD)</w:t>
      </w:r>
      <w:r w:rsidRPr="0048473E">
        <w:rPr>
          <w:rStyle w:val="HideTWBExt"/>
          <w:b w:val="0"/>
          <w:noProof w:val="0"/>
          <w:color w:val="auto"/>
        </w:rPr>
        <w:t>&lt;/</w:t>
      </w:r>
      <w:r w:rsidRPr="0048473E">
        <w:rPr>
          <w:rStyle w:val="HideTWBExt"/>
          <w:b w:val="0"/>
          <w:caps w:val="0"/>
          <w:noProof w:val="0"/>
          <w:color w:val="auto"/>
        </w:rPr>
        <w:t>RefTypeProc</w:t>
      </w:r>
      <w:r w:rsidRPr="0048473E">
        <w:rPr>
          <w:rStyle w:val="HideTWBExt"/>
          <w:b w:val="0"/>
          <w:noProof w:val="0"/>
          <w:color w:val="auto"/>
        </w:rPr>
        <w:t>&gt;</w:t>
      </w:r>
    </w:p>
    <w:p w:rsidR="00DB56E4" w:rsidRPr="0048473E" w:rsidRDefault="00DB56E4" w:rsidP="00DB56E4">
      <w:pPr>
        <w:pStyle w:val="ZDate"/>
      </w:pPr>
      <w:r w:rsidRPr="0048473E">
        <w:rPr>
          <w:rStyle w:val="HideTWBExt"/>
          <w:noProof w:val="0"/>
          <w:color w:val="auto"/>
        </w:rPr>
        <w:t>&lt;Date&gt;</w:t>
      </w:r>
      <w:r w:rsidRPr="0048473E">
        <w:rPr>
          <w:rStyle w:val="HideTWBInt"/>
        </w:rPr>
        <w:t>{03/03/2017}</w:t>
      </w:r>
      <w:r w:rsidR="00A11883">
        <w:t>23</w:t>
      </w:r>
      <w:r w:rsidRPr="0048473E">
        <w:t>.3.2017</w:t>
      </w:r>
      <w:r w:rsidRPr="0048473E">
        <w:rPr>
          <w:rStyle w:val="HideTWBExt"/>
          <w:noProof w:val="0"/>
          <w:color w:val="auto"/>
        </w:rPr>
        <w:t>&lt;/Date&gt;</w:t>
      </w:r>
    </w:p>
    <w:p w:rsidR="00DB56E4" w:rsidRPr="0048473E" w:rsidRDefault="00DB56E4" w:rsidP="00DB56E4">
      <w:pPr>
        <w:pStyle w:val="TypeDoc"/>
      </w:pPr>
      <w:r w:rsidRPr="0048473E">
        <w:rPr>
          <w:rStyle w:val="HideTWBExt"/>
          <w:b w:val="0"/>
          <w:noProof w:val="0"/>
          <w:color w:val="auto"/>
        </w:rPr>
        <w:t>&lt;TitreType&gt;</w:t>
      </w:r>
      <w:r w:rsidRPr="0048473E">
        <w:t>STANOVISKO</w:t>
      </w:r>
      <w:r w:rsidRPr="0048473E">
        <w:rPr>
          <w:rStyle w:val="HideTWBExt"/>
          <w:b w:val="0"/>
          <w:noProof w:val="0"/>
          <w:color w:val="auto"/>
        </w:rPr>
        <w:t>&lt;/TitreType&gt;</w:t>
      </w:r>
    </w:p>
    <w:p w:rsidR="00DB56E4" w:rsidRPr="0048473E" w:rsidRDefault="00DB56E4" w:rsidP="00DB56E4">
      <w:pPr>
        <w:pStyle w:val="Cover24"/>
      </w:pPr>
      <w:r w:rsidRPr="0048473E">
        <w:rPr>
          <w:rStyle w:val="HideTWBExt"/>
          <w:noProof w:val="0"/>
          <w:color w:val="auto"/>
        </w:rPr>
        <w:t>&lt;CommissionResp&gt;</w:t>
      </w:r>
      <w:r w:rsidRPr="0048473E">
        <w:t>Výboru pro práva žen</w:t>
      </w:r>
      <w:r w:rsidR="0048473E" w:rsidRPr="0048473E">
        <w:t xml:space="preserve"> a </w:t>
      </w:r>
      <w:r w:rsidRPr="0048473E">
        <w:t>rovnost pohlaví</w:t>
      </w:r>
      <w:r w:rsidRPr="0048473E">
        <w:rPr>
          <w:rStyle w:val="HideTWBExt"/>
          <w:noProof w:val="0"/>
          <w:color w:val="auto"/>
        </w:rPr>
        <w:t>&lt;/CommissionResp&gt;</w:t>
      </w:r>
    </w:p>
    <w:p w:rsidR="00DB56E4" w:rsidRPr="0048473E" w:rsidRDefault="00DB56E4" w:rsidP="00DB56E4">
      <w:pPr>
        <w:pStyle w:val="Cover24"/>
      </w:pPr>
      <w:r w:rsidRPr="0048473E">
        <w:rPr>
          <w:rStyle w:val="HideTWBExt"/>
          <w:noProof w:val="0"/>
          <w:color w:val="auto"/>
        </w:rPr>
        <w:t>&lt;CommissionInt&gt;</w:t>
      </w:r>
      <w:r w:rsidRPr="0048473E">
        <w:t>pro Výbor pro vnitřní trh</w:t>
      </w:r>
      <w:r w:rsidR="0048473E" w:rsidRPr="0048473E">
        <w:t xml:space="preserve"> a </w:t>
      </w:r>
      <w:r w:rsidRPr="0048473E">
        <w:t>ochranu spotřebitelů</w:t>
      </w:r>
      <w:r w:rsidRPr="0048473E">
        <w:rPr>
          <w:rStyle w:val="HideTWBExt"/>
          <w:noProof w:val="0"/>
          <w:color w:val="auto"/>
        </w:rPr>
        <w:t>&lt;/CommissionInt&gt;</w:t>
      </w:r>
    </w:p>
    <w:p w:rsidR="00DB56E4" w:rsidRPr="0048473E" w:rsidRDefault="00DB56E4" w:rsidP="00DB56E4">
      <w:pPr>
        <w:pStyle w:val="CoverNormal"/>
      </w:pPr>
      <w:r w:rsidRPr="0048473E">
        <w:rPr>
          <w:rStyle w:val="HideTWBExt"/>
          <w:noProof w:val="0"/>
          <w:color w:val="auto"/>
        </w:rPr>
        <w:t>&lt;Titre&gt;</w:t>
      </w:r>
      <w:r w:rsidRPr="0048473E">
        <w:t>k návrhu směrnice Evropského parlamentu</w:t>
      </w:r>
      <w:r w:rsidR="0048473E" w:rsidRPr="0048473E">
        <w:t xml:space="preserve"> a </w:t>
      </w:r>
      <w:r w:rsidRPr="0048473E">
        <w:t>Rady</w:t>
      </w:r>
      <w:r w:rsidR="0048473E" w:rsidRPr="0048473E">
        <w:t xml:space="preserve"> o </w:t>
      </w:r>
      <w:r w:rsidRPr="0048473E">
        <w:t>sbližování právních</w:t>
      </w:r>
      <w:r w:rsidR="0048473E" w:rsidRPr="0048473E">
        <w:t xml:space="preserve"> a </w:t>
      </w:r>
      <w:r w:rsidRPr="0048473E">
        <w:t>správních předpisů členských států týkajících se požadavků na přístupnost</w:t>
      </w:r>
      <w:r w:rsidR="0048473E" w:rsidRPr="0048473E">
        <w:t xml:space="preserve"> u </w:t>
      </w:r>
      <w:r w:rsidRPr="0048473E">
        <w:t>výrobků</w:t>
      </w:r>
      <w:r w:rsidR="0048473E" w:rsidRPr="0048473E">
        <w:t xml:space="preserve"> a </w:t>
      </w:r>
      <w:r w:rsidRPr="0048473E">
        <w:t>služeb</w:t>
      </w:r>
      <w:r w:rsidRPr="0048473E">
        <w:rPr>
          <w:rStyle w:val="HideTWBExt"/>
          <w:noProof w:val="0"/>
          <w:color w:val="auto"/>
        </w:rPr>
        <w:t>&lt;/Titre&gt;</w:t>
      </w:r>
    </w:p>
    <w:p w:rsidR="00DB56E4" w:rsidRPr="0048473E" w:rsidRDefault="00DB56E4" w:rsidP="00DB56E4">
      <w:pPr>
        <w:pStyle w:val="Cover24"/>
      </w:pPr>
      <w:r w:rsidRPr="0048473E">
        <w:rPr>
          <w:rStyle w:val="HideTWBExt"/>
          <w:noProof w:val="0"/>
          <w:color w:val="auto"/>
        </w:rPr>
        <w:t>&lt;DocRef&gt;</w:t>
      </w:r>
      <w:r w:rsidRPr="0048473E">
        <w:t>(COM(2015)0615 – C8-0387/2015 – 2015/0278(COD))</w:t>
      </w:r>
      <w:r w:rsidRPr="0048473E">
        <w:rPr>
          <w:rStyle w:val="HideTWBExt"/>
          <w:noProof w:val="0"/>
          <w:color w:val="auto"/>
        </w:rPr>
        <w:t>&lt;/DocRef&gt;</w:t>
      </w:r>
    </w:p>
    <w:p w:rsidR="00DB56E4" w:rsidRPr="0048473E" w:rsidRDefault="008C779A" w:rsidP="00DB56E4">
      <w:pPr>
        <w:pStyle w:val="Cover24"/>
      </w:pPr>
      <w:r w:rsidRPr="0048473E">
        <w:t xml:space="preserve">Navrhovatelka: </w:t>
      </w:r>
      <w:r w:rsidRPr="0048473E">
        <w:rPr>
          <w:rStyle w:val="HideTWBExt"/>
          <w:noProof w:val="0"/>
          <w:color w:val="auto"/>
        </w:rPr>
        <w:t>&lt;Depute&gt;</w:t>
      </w:r>
      <w:r w:rsidRPr="0048473E">
        <w:t>Rosa Estaràs Ferragut</w:t>
      </w:r>
      <w:r w:rsidRPr="0048473E">
        <w:rPr>
          <w:rStyle w:val="HideTWBExt"/>
          <w:noProof w:val="0"/>
          <w:color w:val="auto"/>
        </w:rPr>
        <w:t>&lt;/Depute&gt;</w:t>
      </w:r>
    </w:p>
    <w:p w:rsidR="00487596" w:rsidRPr="0048473E" w:rsidRDefault="00487596" w:rsidP="00487596">
      <w:pPr>
        <w:pStyle w:val="CoverNormal"/>
      </w:pPr>
    </w:p>
    <w:p w:rsidR="00DB56E4" w:rsidRPr="0048473E" w:rsidRDefault="00DB56E4" w:rsidP="0004474F">
      <w:pPr>
        <w:tabs>
          <w:tab w:val="center" w:pos="4677"/>
        </w:tabs>
      </w:pPr>
      <w:r w:rsidRPr="0048473E">
        <w:br w:type="page"/>
      </w:r>
      <w:r w:rsidRPr="0048473E">
        <w:lastRenderedPageBreak/>
        <w:t>PA_Legam</w:t>
      </w:r>
    </w:p>
    <w:p w:rsidR="00DB56E4" w:rsidRPr="0048473E" w:rsidRDefault="00DB56E4" w:rsidP="00DB56E4">
      <w:pPr>
        <w:pStyle w:val="PageHeadingNotTOC"/>
      </w:pPr>
      <w:r w:rsidRPr="0048473E">
        <w:br w:type="page"/>
      </w:r>
      <w:r w:rsidRPr="0048473E">
        <w:lastRenderedPageBreak/>
        <w:t>STRUČNÉ ODŮVODNĚNÍ</w:t>
      </w:r>
    </w:p>
    <w:p w:rsidR="008C779A" w:rsidRPr="0048473E" w:rsidRDefault="008C779A" w:rsidP="008C779A">
      <w:pPr>
        <w:pStyle w:val="Default"/>
        <w:jc w:val="both"/>
        <w:rPr>
          <w:color w:val="auto"/>
        </w:rPr>
      </w:pPr>
      <w:r w:rsidRPr="0048473E">
        <w:rPr>
          <w:color w:val="auto"/>
        </w:rPr>
        <w:t>Zpravodajka vítá zveřejnění návrhu směrnice Evropského parlamentu</w:t>
      </w:r>
      <w:r w:rsidR="0048473E" w:rsidRPr="0048473E">
        <w:rPr>
          <w:color w:val="auto"/>
        </w:rPr>
        <w:t xml:space="preserve"> a </w:t>
      </w:r>
      <w:r w:rsidRPr="0048473E">
        <w:rPr>
          <w:color w:val="auto"/>
        </w:rPr>
        <w:t>Rady</w:t>
      </w:r>
      <w:r w:rsidR="0048473E" w:rsidRPr="0048473E">
        <w:rPr>
          <w:color w:val="auto"/>
        </w:rPr>
        <w:t xml:space="preserve"> o </w:t>
      </w:r>
      <w:r w:rsidRPr="0048473E">
        <w:rPr>
          <w:color w:val="auto"/>
        </w:rPr>
        <w:t>sbližování právních</w:t>
      </w:r>
      <w:r w:rsidR="0048473E" w:rsidRPr="0048473E">
        <w:rPr>
          <w:color w:val="auto"/>
        </w:rPr>
        <w:t xml:space="preserve"> a </w:t>
      </w:r>
      <w:r w:rsidRPr="0048473E">
        <w:rPr>
          <w:color w:val="auto"/>
        </w:rPr>
        <w:t>správních předpisů členských států týkajících se požadavků na přístupnost</w:t>
      </w:r>
      <w:r w:rsidR="0048473E" w:rsidRPr="0048473E">
        <w:rPr>
          <w:color w:val="auto"/>
        </w:rPr>
        <w:t xml:space="preserve"> u </w:t>
      </w:r>
      <w:r w:rsidRPr="0048473E">
        <w:rPr>
          <w:color w:val="auto"/>
        </w:rPr>
        <w:t>výrobků</w:t>
      </w:r>
      <w:r w:rsidR="0048473E" w:rsidRPr="0048473E">
        <w:rPr>
          <w:color w:val="auto"/>
        </w:rPr>
        <w:t xml:space="preserve"> a </w:t>
      </w:r>
      <w:r w:rsidRPr="0048473E">
        <w:rPr>
          <w:color w:val="auto"/>
        </w:rPr>
        <w:t>služeb, neboť se jedná</w:t>
      </w:r>
      <w:r w:rsidR="0048473E" w:rsidRPr="0048473E">
        <w:rPr>
          <w:color w:val="auto"/>
        </w:rPr>
        <w:t xml:space="preserve"> o </w:t>
      </w:r>
      <w:r w:rsidRPr="0048473E">
        <w:rPr>
          <w:color w:val="auto"/>
        </w:rPr>
        <w:t>návrh, kterým Evropská komise potvrdila své odhodlání zlepšit</w:t>
      </w:r>
      <w:r w:rsidR="0048473E" w:rsidRPr="0048473E">
        <w:rPr>
          <w:color w:val="auto"/>
        </w:rPr>
        <w:t xml:space="preserve"> v </w:t>
      </w:r>
      <w:r w:rsidRPr="0048473E">
        <w:rPr>
          <w:color w:val="auto"/>
        </w:rPr>
        <w:t xml:space="preserve">Evropské unii přístupnost pro osoby se zdravotním postižením. </w:t>
      </w:r>
    </w:p>
    <w:p w:rsidR="008C779A" w:rsidRPr="0048473E" w:rsidRDefault="008C779A" w:rsidP="008C779A">
      <w:pPr>
        <w:pStyle w:val="Default"/>
        <w:jc w:val="both"/>
        <w:rPr>
          <w:color w:val="auto"/>
        </w:rPr>
      </w:pPr>
    </w:p>
    <w:p w:rsidR="008C779A" w:rsidRPr="0048473E" w:rsidRDefault="008C779A" w:rsidP="008C779A">
      <w:pPr>
        <w:pStyle w:val="Default"/>
        <w:jc w:val="both"/>
        <w:rPr>
          <w:color w:val="auto"/>
        </w:rPr>
      </w:pPr>
      <w:r w:rsidRPr="0048473E">
        <w:rPr>
          <w:color w:val="auto"/>
        </w:rPr>
        <w:t>Je třeba připomenout, že hlavním cílem návrhu, známého rovněž jako „Evropský akt přístupnosti“, je sblížit</w:t>
      </w:r>
      <w:r w:rsidR="0048473E" w:rsidRPr="0048473E">
        <w:rPr>
          <w:color w:val="auto"/>
        </w:rPr>
        <w:t xml:space="preserve"> a </w:t>
      </w:r>
      <w:r w:rsidRPr="0048473E">
        <w:rPr>
          <w:color w:val="auto"/>
        </w:rPr>
        <w:t>harmonizovat právní předpisy členských států</w:t>
      </w:r>
      <w:r w:rsidR="0048473E" w:rsidRPr="0048473E">
        <w:rPr>
          <w:color w:val="auto"/>
        </w:rPr>
        <w:t xml:space="preserve"> v </w:t>
      </w:r>
      <w:r w:rsidRPr="0048473E">
        <w:rPr>
          <w:color w:val="auto"/>
        </w:rPr>
        <w:t>oblasti přístupnosti. Zahrnutí opatření týkajících se přístupnosti do vnitrostátních právních předpisů patří mezi povinnosti, které ty země, jež podepsaly Úmluvu OSN</w:t>
      </w:r>
      <w:r w:rsidR="0048473E" w:rsidRPr="0048473E">
        <w:rPr>
          <w:color w:val="auto"/>
        </w:rPr>
        <w:t xml:space="preserve"> o </w:t>
      </w:r>
      <w:r w:rsidRPr="0048473E">
        <w:rPr>
          <w:color w:val="auto"/>
        </w:rPr>
        <w:t>právech osob se zdravotním postižením, již na sebe převzaly na základě článku 9 této úmluvy. Evropská unie proto poskytuje členským států pomoc při plnění jejich povinností tím, že harmonizuje předpisy</w:t>
      </w:r>
      <w:r w:rsidR="0048473E" w:rsidRPr="0048473E">
        <w:rPr>
          <w:color w:val="auto"/>
        </w:rPr>
        <w:t xml:space="preserve"> v </w:t>
      </w:r>
      <w:r w:rsidRPr="0048473E">
        <w:rPr>
          <w:color w:val="auto"/>
        </w:rPr>
        <w:t>této oblasti</w:t>
      </w:r>
      <w:r w:rsidR="0048473E" w:rsidRPr="0048473E">
        <w:rPr>
          <w:color w:val="auto"/>
        </w:rPr>
        <w:t xml:space="preserve"> a </w:t>
      </w:r>
      <w:r w:rsidRPr="0048473E">
        <w:rPr>
          <w:color w:val="auto"/>
        </w:rPr>
        <w:t xml:space="preserve">předchází tak roztříštěnosti na vnitřním trhu EU. </w:t>
      </w:r>
    </w:p>
    <w:p w:rsidR="008C779A" w:rsidRPr="0048473E" w:rsidRDefault="008C779A" w:rsidP="008C779A">
      <w:pPr>
        <w:pStyle w:val="Default"/>
        <w:jc w:val="both"/>
        <w:rPr>
          <w:color w:val="auto"/>
        </w:rPr>
      </w:pPr>
    </w:p>
    <w:p w:rsidR="008C779A" w:rsidRPr="0048473E" w:rsidRDefault="008C779A" w:rsidP="008C779A">
      <w:pPr>
        <w:pStyle w:val="Default"/>
        <w:jc w:val="both"/>
        <w:rPr>
          <w:color w:val="auto"/>
        </w:rPr>
      </w:pPr>
      <w:r w:rsidRPr="0048473E">
        <w:rPr>
          <w:color w:val="auto"/>
        </w:rPr>
        <w:t>V tomto ohledu je důležité objasnit souvislosti návrhu</w:t>
      </w:r>
      <w:r w:rsidR="0048473E" w:rsidRPr="0048473E">
        <w:rPr>
          <w:color w:val="auto"/>
        </w:rPr>
        <w:t xml:space="preserve"> s </w:t>
      </w:r>
      <w:r w:rsidRPr="0048473E">
        <w:rPr>
          <w:color w:val="auto"/>
        </w:rPr>
        <w:t>ohledem na hodnocení Evropské unie, které provedl Výbor OSN pro práva osob se zdravotním postižením,</w:t>
      </w:r>
      <w:r w:rsidR="0048473E" w:rsidRPr="0048473E">
        <w:rPr>
          <w:color w:val="auto"/>
        </w:rPr>
        <w:t xml:space="preserve"> v </w:t>
      </w:r>
      <w:r w:rsidRPr="0048473E">
        <w:rPr>
          <w:color w:val="auto"/>
        </w:rPr>
        <w:t>rámci konstruktivního dialogu konaného</w:t>
      </w:r>
      <w:r w:rsidR="0048473E" w:rsidRPr="0048473E">
        <w:rPr>
          <w:color w:val="auto"/>
        </w:rPr>
        <w:t xml:space="preserve"> v </w:t>
      </w:r>
      <w:r w:rsidRPr="0048473E">
        <w:rPr>
          <w:color w:val="auto"/>
        </w:rPr>
        <w:t>průběhu 14. zasedacího období (27.</w:t>
      </w:r>
      <w:r w:rsidR="0048473E" w:rsidRPr="0048473E">
        <w:rPr>
          <w:color w:val="auto"/>
        </w:rPr>
        <w:t xml:space="preserve"> a </w:t>
      </w:r>
      <w:r w:rsidRPr="0048473E">
        <w:rPr>
          <w:color w:val="auto"/>
        </w:rPr>
        <w:t>28. srpna 2015</w:t>
      </w:r>
      <w:r w:rsidR="0048473E" w:rsidRPr="0048473E">
        <w:rPr>
          <w:color w:val="auto"/>
        </w:rPr>
        <w:t xml:space="preserve"> v </w:t>
      </w:r>
      <w:r w:rsidRPr="0048473E">
        <w:rPr>
          <w:color w:val="auto"/>
        </w:rPr>
        <w:t>Ženevě). Na základě tohoto dialogu přijal Výbor OSN pro práva osob se zdravotním postižením své závěrečné připomínky týkající se EU,</w:t>
      </w:r>
      <w:r w:rsidR="0048473E" w:rsidRPr="0048473E">
        <w:rPr>
          <w:color w:val="auto"/>
        </w:rPr>
        <w:t xml:space="preserve"> v </w:t>
      </w:r>
      <w:r w:rsidRPr="0048473E">
        <w:rPr>
          <w:color w:val="auto"/>
        </w:rPr>
        <w:t>nichž byl zdůrazněn především návrh směrnice</w:t>
      </w:r>
      <w:r w:rsidR="0048473E" w:rsidRPr="0048473E">
        <w:rPr>
          <w:color w:val="auto"/>
        </w:rPr>
        <w:t xml:space="preserve"> a </w:t>
      </w:r>
      <w:r w:rsidRPr="0048473E">
        <w:rPr>
          <w:color w:val="auto"/>
        </w:rPr>
        <w:t>související otázky, jak je zřejmé</w:t>
      </w:r>
      <w:r w:rsidR="0048473E" w:rsidRPr="0048473E">
        <w:rPr>
          <w:color w:val="auto"/>
        </w:rPr>
        <w:t xml:space="preserve"> z </w:t>
      </w:r>
      <w:r w:rsidRPr="0048473E">
        <w:rPr>
          <w:color w:val="auto"/>
        </w:rPr>
        <w:t>bodu 29 oddílu věnovaného článku 9 (přístupnost).</w:t>
      </w:r>
      <w:r w:rsidR="0048473E" w:rsidRPr="0048473E">
        <w:rPr>
          <w:color w:val="auto"/>
        </w:rPr>
        <w:t xml:space="preserve"> V </w:t>
      </w:r>
      <w:r w:rsidRPr="0048473E">
        <w:rPr>
          <w:color w:val="auto"/>
        </w:rPr>
        <w:t>tomto bodě Výbor pro práva osob se zdravotním postižením vyzývá Evropskou unii, aby přijala pozměněný Evropský akt přístupnosti, včetně mechanismů pro účinné</w:t>
      </w:r>
      <w:r w:rsidR="0048473E" w:rsidRPr="0048473E">
        <w:rPr>
          <w:color w:val="auto"/>
        </w:rPr>
        <w:t xml:space="preserve"> a </w:t>
      </w:r>
      <w:r w:rsidRPr="0048473E">
        <w:rPr>
          <w:color w:val="auto"/>
        </w:rPr>
        <w:t>dostupné vymáhání</w:t>
      </w:r>
      <w:r w:rsidR="0048473E" w:rsidRPr="0048473E">
        <w:rPr>
          <w:color w:val="auto"/>
        </w:rPr>
        <w:t xml:space="preserve"> a </w:t>
      </w:r>
      <w:r w:rsidRPr="0048473E">
        <w:rPr>
          <w:color w:val="auto"/>
        </w:rPr>
        <w:t>pro podávání stížností</w:t>
      </w:r>
      <w:r w:rsidR="0048473E" w:rsidRPr="0048473E">
        <w:rPr>
          <w:color w:val="auto"/>
        </w:rPr>
        <w:t xml:space="preserve"> a </w:t>
      </w:r>
      <w:r w:rsidRPr="0048473E">
        <w:rPr>
          <w:color w:val="auto"/>
        </w:rPr>
        <w:t>na základě pokynů stanovených</w:t>
      </w:r>
      <w:r w:rsidR="0048473E" w:rsidRPr="0048473E">
        <w:rPr>
          <w:color w:val="auto"/>
        </w:rPr>
        <w:t xml:space="preserve"> v </w:t>
      </w:r>
      <w:r w:rsidRPr="0048473E">
        <w:rPr>
          <w:color w:val="auto"/>
        </w:rPr>
        <w:t>obecné poznámce výboru č. 2,</w:t>
      </w:r>
      <w:r w:rsidR="0048473E" w:rsidRPr="0048473E">
        <w:rPr>
          <w:color w:val="auto"/>
        </w:rPr>
        <w:t xml:space="preserve"> a </w:t>
      </w:r>
      <w:r w:rsidRPr="0048473E">
        <w:rPr>
          <w:color w:val="auto"/>
        </w:rPr>
        <w:t>to</w:t>
      </w:r>
      <w:r w:rsidR="0048473E" w:rsidRPr="0048473E">
        <w:rPr>
          <w:color w:val="auto"/>
        </w:rPr>
        <w:t xml:space="preserve"> v </w:t>
      </w:r>
      <w:r w:rsidRPr="0048473E">
        <w:rPr>
          <w:color w:val="auto"/>
        </w:rPr>
        <w:t>konzultaci</w:t>
      </w:r>
      <w:r w:rsidR="0048473E" w:rsidRPr="0048473E">
        <w:rPr>
          <w:color w:val="auto"/>
        </w:rPr>
        <w:t xml:space="preserve"> s </w:t>
      </w:r>
      <w:r w:rsidRPr="0048473E">
        <w:rPr>
          <w:color w:val="auto"/>
        </w:rPr>
        <w:t xml:space="preserve">organizacemi osob se zdravotním postižením. </w:t>
      </w:r>
    </w:p>
    <w:p w:rsidR="008C779A" w:rsidRPr="0048473E" w:rsidRDefault="008C779A" w:rsidP="008C779A">
      <w:pPr>
        <w:jc w:val="both"/>
      </w:pPr>
    </w:p>
    <w:p w:rsidR="008C779A" w:rsidRPr="0048473E" w:rsidRDefault="008C779A" w:rsidP="008C779A">
      <w:pPr>
        <w:jc w:val="both"/>
      </w:pPr>
      <w:r w:rsidRPr="0048473E">
        <w:t>V obecné rovině lze předpokládat, že tento akt poskytne široké pokrytí pro produkty</w:t>
      </w:r>
      <w:r w:rsidR="0048473E" w:rsidRPr="0048473E">
        <w:t xml:space="preserve"> a </w:t>
      </w:r>
      <w:r w:rsidRPr="0048473E">
        <w:t>služby</w:t>
      </w:r>
      <w:r w:rsidR="0048473E" w:rsidRPr="0048473E">
        <w:t xml:space="preserve"> v </w:t>
      </w:r>
      <w:r w:rsidRPr="0048473E">
        <w:t>oblasti informačních</w:t>
      </w:r>
      <w:r w:rsidR="0048473E" w:rsidRPr="0048473E">
        <w:t xml:space="preserve"> a </w:t>
      </w:r>
      <w:r w:rsidRPr="0048473E">
        <w:t>komunikačních technologií, což je velmi důležité</w:t>
      </w:r>
      <w:r w:rsidR="0048473E" w:rsidRPr="0048473E">
        <w:t xml:space="preserve"> a </w:t>
      </w:r>
      <w:r w:rsidRPr="0048473E">
        <w:t>je třeba to uvítat. Nicméně právě působnost je oblastí, která skýtá skutečný prostor ke zlepšení, pokud jde</w:t>
      </w:r>
      <w:r w:rsidR="0048473E" w:rsidRPr="0048473E">
        <w:t xml:space="preserve"> o </w:t>
      </w:r>
      <w:r w:rsidRPr="0048473E">
        <w:t>zahrnutí širší řady zboží</w:t>
      </w:r>
      <w:r w:rsidR="0048473E" w:rsidRPr="0048473E">
        <w:t xml:space="preserve"> a </w:t>
      </w:r>
      <w:r w:rsidRPr="0048473E">
        <w:t>služeb, včetně dopravy, zdravotní péče, vzdělání, bydlení, cestovního ruchu, pojistek, elektrických spotřebičů, maloobchodu, právních otázek, spravedlnosti, kultury, volnočasových aktivit</w:t>
      </w:r>
      <w:r w:rsidR="0048473E" w:rsidRPr="0048473E">
        <w:t xml:space="preserve"> a </w:t>
      </w:r>
      <w:r w:rsidRPr="0048473E">
        <w:t xml:space="preserve">sportu. </w:t>
      </w:r>
    </w:p>
    <w:p w:rsidR="008C779A" w:rsidRPr="0048473E" w:rsidRDefault="008C779A" w:rsidP="008C779A">
      <w:pPr>
        <w:jc w:val="both"/>
      </w:pPr>
    </w:p>
    <w:p w:rsidR="008C779A" w:rsidRPr="0048473E" w:rsidRDefault="008C779A" w:rsidP="008C779A">
      <w:pPr>
        <w:jc w:val="both"/>
      </w:pPr>
    </w:p>
    <w:p w:rsidR="008C779A" w:rsidRPr="0048473E" w:rsidRDefault="008C779A" w:rsidP="008C779A">
      <w:pPr>
        <w:pStyle w:val="Default"/>
        <w:jc w:val="both"/>
        <w:rPr>
          <w:b/>
          <w:bCs/>
          <w:color w:val="auto"/>
        </w:rPr>
      </w:pPr>
      <w:r w:rsidRPr="0048473E">
        <w:rPr>
          <w:b/>
          <w:color w:val="auto"/>
        </w:rPr>
        <w:t xml:space="preserve">Požadavky na přístupnost </w:t>
      </w:r>
    </w:p>
    <w:p w:rsidR="008C779A" w:rsidRPr="0048473E" w:rsidRDefault="008C779A" w:rsidP="008C779A">
      <w:pPr>
        <w:pStyle w:val="Default"/>
        <w:jc w:val="both"/>
        <w:rPr>
          <w:b/>
          <w:bCs/>
          <w:color w:val="auto"/>
        </w:rPr>
      </w:pPr>
    </w:p>
    <w:p w:rsidR="008C779A" w:rsidRPr="0048473E" w:rsidRDefault="008C779A" w:rsidP="008C779A">
      <w:pPr>
        <w:pStyle w:val="Default"/>
        <w:jc w:val="both"/>
        <w:rPr>
          <w:color w:val="auto"/>
        </w:rPr>
      </w:pPr>
      <w:r w:rsidRPr="0048473E">
        <w:rPr>
          <w:color w:val="auto"/>
        </w:rPr>
        <w:t>Je nutné zajistit, aby tyto požadavky doprovázely komplexní</w:t>
      </w:r>
      <w:r w:rsidR="0048473E" w:rsidRPr="0048473E">
        <w:rPr>
          <w:color w:val="auto"/>
        </w:rPr>
        <w:t xml:space="preserve"> a </w:t>
      </w:r>
      <w:r w:rsidRPr="0048473E">
        <w:rPr>
          <w:color w:val="auto"/>
        </w:rPr>
        <w:t>přesnější požadavky</w:t>
      </w:r>
      <w:r w:rsidR="0048473E" w:rsidRPr="0048473E">
        <w:rPr>
          <w:color w:val="auto"/>
        </w:rPr>
        <w:t xml:space="preserve"> a </w:t>
      </w:r>
      <w:r w:rsidRPr="0048473E">
        <w:rPr>
          <w:color w:val="auto"/>
        </w:rPr>
        <w:t>vysvětlení</w:t>
      </w:r>
      <w:r w:rsidR="0048473E" w:rsidRPr="0048473E">
        <w:rPr>
          <w:color w:val="auto"/>
        </w:rPr>
        <w:t xml:space="preserve"> v </w:t>
      </w:r>
      <w:r w:rsidRPr="0048473E">
        <w:rPr>
          <w:color w:val="auto"/>
        </w:rPr>
        <w:t>příloze návrhu, které budou řešit potřeby všech osob se zdravotním postižením, včetně žen</w:t>
      </w:r>
      <w:r w:rsidR="0048473E" w:rsidRPr="0048473E">
        <w:rPr>
          <w:color w:val="auto"/>
        </w:rPr>
        <w:t xml:space="preserve"> a </w:t>
      </w:r>
      <w:r w:rsidRPr="0048473E">
        <w:rPr>
          <w:color w:val="auto"/>
        </w:rPr>
        <w:t>dívek se zdravotním postižením,</w:t>
      </w:r>
      <w:r w:rsidR="0048473E" w:rsidRPr="0048473E">
        <w:rPr>
          <w:color w:val="auto"/>
        </w:rPr>
        <w:t xml:space="preserve"> a </w:t>
      </w:r>
      <w:r w:rsidRPr="0048473E">
        <w:rPr>
          <w:color w:val="auto"/>
        </w:rPr>
        <w:t>osob, které</w:t>
      </w:r>
      <w:r w:rsidR="0048473E" w:rsidRPr="0048473E">
        <w:rPr>
          <w:color w:val="auto"/>
        </w:rPr>
        <w:t xml:space="preserve"> v </w:t>
      </w:r>
      <w:r w:rsidRPr="0048473E">
        <w:rPr>
          <w:color w:val="auto"/>
        </w:rPr>
        <w:t xml:space="preserve">důsledku svého postižení potřebují větší podporu. </w:t>
      </w:r>
    </w:p>
    <w:p w:rsidR="008C779A" w:rsidRPr="0048473E" w:rsidRDefault="008C779A" w:rsidP="008C779A">
      <w:pPr>
        <w:pStyle w:val="Default"/>
        <w:jc w:val="both"/>
        <w:rPr>
          <w:color w:val="auto"/>
        </w:rPr>
      </w:pPr>
    </w:p>
    <w:p w:rsidR="008C779A" w:rsidRPr="0048473E" w:rsidRDefault="008C779A" w:rsidP="008C779A">
      <w:pPr>
        <w:jc w:val="both"/>
      </w:pPr>
      <w:r w:rsidRPr="0048473E">
        <w:t>Požadavky týkající se zastavěného prostřední jsou nedostatečné.</w:t>
      </w:r>
      <w:r w:rsidR="0048473E" w:rsidRPr="0048473E">
        <w:t xml:space="preserve"> V </w:t>
      </w:r>
      <w:r w:rsidRPr="0048473E">
        <w:t>návrhu stojí, že členské státy „mohou rozhodnout“</w:t>
      </w:r>
      <w:r w:rsidR="0048473E" w:rsidRPr="0048473E">
        <w:t xml:space="preserve"> o </w:t>
      </w:r>
      <w:r w:rsidRPr="0048473E">
        <w:t>zahrnutí zastavěného prostředí, pokud souvisí</w:t>
      </w:r>
      <w:r w:rsidR="0048473E" w:rsidRPr="0048473E">
        <w:t xml:space="preserve"> s </w:t>
      </w:r>
      <w:r w:rsidRPr="0048473E">
        <w:t>poskytováním daného produktu nebo služeb. Toto ustanovení je třeba posílit prostřednictvím požadavku, který stanoví, že související zastavěné prostředí musí být přístupné. Protože</w:t>
      </w:r>
      <w:r w:rsidR="0048473E" w:rsidRPr="0048473E">
        <w:t xml:space="preserve"> v </w:t>
      </w:r>
      <w:r w:rsidRPr="0048473E">
        <w:t>případě, že osobám se zdravotním postižením nebude umožněn fyzický přístup</w:t>
      </w:r>
      <w:r w:rsidR="0048473E" w:rsidRPr="0048473E">
        <w:t xml:space="preserve"> k </w:t>
      </w:r>
      <w:r w:rsidRPr="0048473E">
        <w:t xml:space="preserve">tomuto produktu nebo službě, je pro ně bezpředmětné, že je samotný produkt nebo služba přístupná. </w:t>
      </w:r>
    </w:p>
    <w:p w:rsidR="008C779A" w:rsidRPr="0048473E" w:rsidRDefault="008C779A" w:rsidP="008C779A">
      <w:pPr>
        <w:jc w:val="both"/>
      </w:pPr>
    </w:p>
    <w:p w:rsidR="008C779A" w:rsidRPr="0048473E" w:rsidRDefault="008C779A" w:rsidP="008C779A">
      <w:pPr>
        <w:jc w:val="both"/>
        <w:rPr>
          <w:b/>
          <w:bCs/>
        </w:rPr>
      </w:pPr>
      <w:r w:rsidRPr="0048473E">
        <w:rPr>
          <w:b/>
        </w:rPr>
        <w:t>Povinnosti výrobců, zplnomocněných zástupců, dovozců</w:t>
      </w:r>
      <w:r w:rsidR="0048473E" w:rsidRPr="0048473E">
        <w:rPr>
          <w:b/>
        </w:rPr>
        <w:t xml:space="preserve"> a </w:t>
      </w:r>
      <w:r w:rsidRPr="0048473E">
        <w:rPr>
          <w:b/>
        </w:rPr>
        <w:t xml:space="preserve">distributorů </w:t>
      </w:r>
    </w:p>
    <w:p w:rsidR="008C779A" w:rsidRPr="0048473E" w:rsidRDefault="008C779A" w:rsidP="008C779A">
      <w:pPr>
        <w:pStyle w:val="Default"/>
        <w:jc w:val="both"/>
        <w:rPr>
          <w:color w:val="auto"/>
        </w:rPr>
      </w:pPr>
      <w:r w:rsidRPr="0048473E">
        <w:rPr>
          <w:color w:val="auto"/>
        </w:rPr>
        <w:t>Měli by být schopni kdykoli poskytnout informace</w:t>
      </w:r>
      <w:r w:rsidR="0048473E" w:rsidRPr="0048473E">
        <w:rPr>
          <w:color w:val="auto"/>
        </w:rPr>
        <w:t xml:space="preserve"> o </w:t>
      </w:r>
      <w:r w:rsidRPr="0048473E">
        <w:rPr>
          <w:color w:val="auto"/>
        </w:rPr>
        <w:t xml:space="preserve">prvcích produktů zajišťujících přístupnost, nikoli pouze „na základě odůvodněné žádosti vnitrostátního orgánu“. </w:t>
      </w:r>
    </w:p>
    <w:p w:rsidR="008C779A" w:rsidRPr="0048473E" w:rsidRDefault="008C779A" w:rsidP="008C779A">
      <w:pPr>
        <w:pStyle w:val="Default"/>
        <w:jc w:val="both"/>
        <w:rPr>
          <w:color w:val="auto"/>
        </w:rPr>
      </w:pPr>
    </w:p>
    <w:p w:rsidR="008C779A" w:rsidRPr="0048473E" w:rsidRDefault="008C779A" w:rsidP="008C779A">
      <w:pPr>
        <w:pStyle w:val="Default"/>
        <w:jc w:val="both"/>
        <w:rPr>
          <w:color w:val="auto"/>
        </w:rPr>
      </w:pPr>
    </w:p>
    <w:p w:rsidR="008C779A" w:rsidRPr="0048473E" w:rsidRDefault="008C779A" w:rsidP="008C779A">
      <w:pPr>
        <w:pStyle w:val="Default"/>
        <w:jc w:val="both"/>
        <w:rPr>
          <w:color w:val="auto"/>
        </w:rPr>
      </w:pPr>
      <w:r w:rsidRPr="0048473E">
        <w:rPr>
          <w:b/>
          <w:color w:val="auto"/>
        </w:rPr>
        <w:t>Dozor nad trhem</w:t>
      </w:r>
      <w:r w:rsidR="0048473E" w:rsidRPr="0048473E">
        <w:rPr>
          <w:b/>
          <w:color w:val="auto"/>
        </w:rPr>
        <w:t xml:space="preserve"> s </w:t>
      </w:r>
      <w:r w:rsidRPr="0048473E">
        <w:rPr>
          <w:b/>
          <w:color w:val="auto"/>
        </w:rPr>
        <w:t xml:space="preserve">výrobky </w:t>
      </w:r>
    </w:p>
    <w:p w:rsidR="008C779A" w:rsidRPr="0048473E" w:rsidRDefault="008C779A" w:rsidP="008C779A">
      <w:pPr>
        <w:pStyle w:val="Default"/>
        <w:jc w:val="both"/>
        <w:rPr>
          <w:color w:val="auto"/>
        </w:rPr>
      </w:pPr>
    </w:p>
    <w:p w:rsidR="008C779A" w:rsidRPr="0048473E" w:rsidRDefault="008C779A" w:rsidP="008C779A">
      <w:pPr>
        <w:pStyle w:val="Default"/>
        <w:jc w:val="both"/>
        <w:rPr>
          <w:color w:val="auto"/>
        </w:rPr>
      </w:pPr>
      <w:r w:rsidRPr="0048473E">
        <w:rPr>
          <w:color w:val="auto"/>
        </w:rPr>
        <w:t>Informace</w:t>
      </w:r>
      <w:r w:rsidR="0048473E" w:rsidRPr="0048473E">
        <w:rPr>
          <w:color w:val="auto"/>
        </w:rPr>
        <w:t xml:space="preserve"> o </w:t>
      </w:r>
      <w:r w:rsidRPr="0048473E">
        <w:rPr>
          <w:color w:val="auto"/>
        </w:rPr>
        <w:t>tom, že výrobky nesplňují požadavky na přístupnost, které mají orgány</w:t>
      </w:r>
      <w:r w:rsidR="0048473E" w:rsidRPr="0048473E">
        <w:rPr>
          <w:color w:val="auto"/>
        </w:rPr>
        <w:t xml:space="preserve"> k </w:t>
      </w:r>
      <w:r w:rsidRPr="0048473E">
        <w:rPr>
          <w:color w:val="auto"/>
        </w:rPr>
        <w:t xml:space="preserve">dispozici, by měly být zveřejňovány systematicky, nikoli pouze na žádost příslušného vnitrostátního orgánu. </w:t>
      </w:r>
    </w:p>
    <w:p w:rsidR="008C779A" w:rsidRPr="0048473E" w:rsidRDefault="008C779A" w:rsidP="008C779A">
      <w:pPr>
        <w:pStyle w:val="Default"/>
        <w:jc w:val="both"/>
        <w:rPr>
          <w:color w:val="auto"/>
        </w:rPr>
      </w:pPr>
    </w:p>
    <w:p w:rsidR="008C779A" w:rsidRPr="0048473E" w:rsidRDefault="008C779A" w:rsidP="008C779A">
      <w:pPr>
        <w:pStyle w:val="Default"/>
        <w:jc w:val="both"/>
        <w:rPr>
          <w:color w:val="auto"/>
        </w:rPr>
      </w:pPr>
    </w:p>
    <w:p w:rsidR="008C779A" w:rsidRPr="0048473E" w:rsidRDefault="008C779A" w:rsidP="008C779A">
      <w:pPr>
        <w:pStyle w:val="Default"/>
        <w:jc w:val="both"/>
        <w:rPr>
          <w:b/>
          <w:bCs/>
          <w:color w:val="auto"/>
        </w:rPr>
      </w:pPr>
      <w:r w:rsidRPr="0048473E">
        <w:rPr>
          <w:b/>
          <w:color w:val="auto"/>
        </w:rPr>
        <w:t>Prosazování</w:t>
      </w:r>
    </w:p>
    <w:p w:rsidR="008C779A" w:rsidRPr="0048473E" w:rsidRDefault="008C779A" w:rsidP="008C779A">
      <w:pPr>
        <w:pStyle w:val="Default"/>
        <w:jc w:val="both"/>
        <w:rPr>
          <w:b/>
          <w:bCs/>
          <w:color w:val="auto"/>
        </w:rPr>
      </w:pPr>
    </w:p>
    <w:p w:rsidR="008C779A" w:rsidRPr="0048473E" w:rsidRDefault="008C779A" w:rsidP="008C779A">
      <w:pPr>
        <w:pStyle w:val="Default"/>
        <w:jc w:val="both"/>
        <w:rPr>
          <w:color w:val="auto"/>
        </w:rPr>
      </w:pPr>
      <w:r w:rsidRPr="0048473E">
        <w:rPr>
          <w:color w:val="auto"/>
        </w:rPr>
        <w:t>Je pozitivní, že návrh předložené směrnice zmiňuje to, že spotřebitelé nebo veřejné instituce nebo soukromá sdružení mohou prostřednictvím svých vnitrostátních soudů podniknout právní kroky, pokud zjistí, že tato směrnice není dodržována. Nicméně</w:t>
      </w:r>
      <w:r w:rsidR="0048473E" w:rsidRPr="0048473E">
        <w:rPr>
          <w:color w:val="auto"/>
        </w:rPr>
        <w:t xml:space="preserve"> s </w:t>
      </w:r>
      <w:r w:rsidRPr="0048473E">
        <w:rPr>
          <w:color w:val="auto"/>
        </w:rPr>
        <w:t>ohledem na problémy, kterým mnoho osob se zdravotním postižením čelí</w:t>
      </w:r>
      <w:r w:rsidR="0048473E" w:rsidRPr="0048473E">
        <w:rPr>
          <w:color w:val="auto"/>
        </w:rPr>
        <w:t xml:space="preserve"> v </w:t>
      </w:r>
      <w:r w:rsidRPr="0048473E">
        <w:rPr>
          <w:color w:val="auto"/>
        </w:rPr>
        <w:t>souvislosti</w:t>
      </w:r>
      <w:r w:rsidR="0048473E" w:rsidRPr="0048473E">
        <w:rPr>
          <w:color w:val="auto"/>
        </w:rPr>
        <w:t xml:space="preserve"> s </w:t>
      </w:r>
      <w:r w:rsidRPr="0048473E">
        <w:rPr>
          <w:color w:val="auto"/>
        </w:rPr>
        <w:t>přístupem</w:t>
      </w:r>
      <w:r w:rsidR="0048473E" w:rsidRPr="0048473E">
        <w:rPr>
          <w:color w:val="auto"/>
        </w:rPr>
        <w:t xml:space="preserve"> k </w:t>
      </w:r>
      <w:r w:rsidRPr="0048473E">
        <w:rPr>
          <w:color w:val="auto"/>
        </w:rPr>
        <w:t>samotnému soudnímu systému, nedostačuje toto ustanovení</w:t>
      </w:r>
      <w:r w:rsidR="0048473E" w:rsidRPr="0048473E">
        <w:rPr>
          <w:color w:val="auto"/>
        </w:rPr>
        <w:t xml:space="preserve"> k </w:t>
      </w:r>
      <w:r w:rsidRPr="0048473E">
        <w:rPr>
          <w:color w:val="auto"/>
        </w:rPr>
        <w:t>tomu, aby bylo možné přijmout odpovídající kroky vůči hospodářským subjektům. Problémy spojené</w:t>
      </w:r>
      <w:r w:rsidR="0048473E" w:rsidRPr="0048473E">
        <w:rPr>
          <w:color w:val="auto"/>
        </w:rPr>
        <w:t xml:space="preserve"> s </w:t>
      </w:r>
      <w:r w:rsidRPr="0048473E">
        <w:rPr>
          <w:color w:val="auto"/>
        </w:rPr>
        <w:t>prosazováním by tudíž neměly být řešeny prostřednictvím kroků jednotlivých spotřebitelů, ale hlavně</w:t>
      </w:r>
      <w:r w:rsidR="0048473E" w:rsidRPr="0048473E">
        <w:rPr>
          <w:color w:val="auto"/>
        </w:rPr>
        <w:t xml:space="preserve"> a </w:t>
      </w:r>
      <w:r w:rsidRPr="0048473E">
        <w:rPr>
          <w:color w:val="auto"/>
        </w:rPr>
        <w:t>především prostřednictvím všeobecného systému provádění</w:t>
      </w:r>
      <w:r w:rsidR="0048473E" w:rsidRPr="0048473E">
        <w:rPr>
          <w:color w:val="auto"/>
        </w:rPr>
        <w:t xml:space="preserve"> a </w:t>
      </w:r>
      <w:r w:rsidRPr="0048473E">
        <w:rPr>
          <w:color w:val="auto"/>
        </w:rPr>
        <w:t>monitorování</w:t>
      </w:r>
      <w:r w:rsidR="0048473E" w:rsidRPr="0048473E">
        <w:rPr>
          <w:color w:val="auto"/>
        </w:rPr>
        <w:t xml:space="preserve"> a </w:t>
      </w:r>
      <w:r w:rsidRPr="0048473E">
        <w:rPr>
          <w:color w:val="auto"/>
        </w:rPr>
        <w:t>mechanismu pro podávání stížností spotřebitelů. Členské státy by musely vnitrostátním orgánům dohledu nad trhem svěřit silné pravomoci</w:t>
      </w:r>
      <w:r w:rsidR="0048473E" w:rsidRPr="0048473E">
        <w:rPr>
          <w:color w:val="auto"/>
        </w:rPr>
        <w:t xml:space="preserve"> k </w:t>
      </w:r>
      <w:r w:rsidRPr="0048473E">
        <w:rPr>
          <w:color w:val="auto"/>
        </w:rPr>
        <w:t>monitorování</w:t>
      </w:r>
      <w:r w:rsidR="0048473E" w:rsidRPr="0048473E">
        <w:rPr>
          <w:color w:val="auto"/>
        </w:rPr>
        <w:t xml:space="preserve"> a </w:t>
      </w:r>
      <w:r w:rsidRPr="0048473E">
        <w:rPr>
          <w:color w:val="auto"/>
        </w:rPr>
        <w:t xml:space="preserve">prosazování správného uplatňování této směrnice. </w:t>
      </w:r>
    </w:p>
    <w:p w:rsidR="008C779A" w:rsidRPr="0048473E" w:rsidRDefault="008C779A" w:rsidP="008C779A">
      <w:pPr>
        <w:pStyle w:val="Default"/>
        <w:jc w:val="both"/>
        <w:rPr>
          <w:color w:val="auto"/>
        </w:rPr>
      </w:pPr>
    </w:p>
    <w:p w:rsidR="008C779A" w:rsidRPr="0048473E" w:rsidRDefault="008C779A" w:rsidP="008C779A">
      <w:pPr>
        <w:pStyle w:val="Default"/>
        <w:jc w:val="both"/>
        <w:rPr>
          <w:color w:val="auto"/>
        </w:rPr>
      </w:pPr>
    </w:p>
    <w:p w:rsidR="008C779A" w:rsidRPr="0048473E" w:rsidRDefault="008C779A" w:rsidP="008C779A">
      <w:pPr>
        <w:pStyle w:val="Default"/>
        <w:jc w:val="both"/>
        <w:rPr>
          <w:color w:val="auto"/>
        </w:rPr>
      </w:pPr>
      <w:r w:rsidRPr="0048473E">
        <w:rPr>
          <w:b/>
          <w:color w:val="auto"/>
        </w:rPr>
        <w:t xml:space="preserve">Sankce </w:t>
      </w:r>
    </w:p>
    <w:p w:rsidR="008C779A" w:rsidRPr="0048473E" w:rsidRDefault="008C779A" w:rsidP="008C779A">
      <w:pPr>
        <w:pStyle w:val="Default"/>
        <w:jc w:val="both"/>
        <w:rPr>
          <w:color w:val="auto"/>
        </w:rPr>
      </w:pPr>
    </w:p>
    <w:p w:rsidR="00DB56E4" w:rsidRPr="0048473E" w:rsidRDefault="008C779A" w:rsidP="008C779A">
      <w:pPr>
        <w:pStyle w:val="Normal12"/>
      </w:pPr>
      <w:r w:rsidRPr="0048473E">
        <w:t>Získané prostředky by měly být opětovně investovány do opatření souvisejících</w:t>
      </w:r>
      <w:r w:rsidR="0048473E" w:rsidRPr="0048473E">
        <w:t xml:space="preserve"> s </w:t>
      </w:r>
      <w:r w:rsidRPr="0048473E">
        <w:t>přístupností. Je nutné rovněž zamezit tomu, aby bylo placení sankcí vnímáno jako „levné“ řešení umožňující vyhýbat se uplatňování požadavků na přístupnost stanovených</w:t>
      </w:r>
      <w:r w:rsidR="0048473E" w:rsidRPr="0048473E">
        <w:t xml:space="preserve"> v </w:t>
      </w:r>
      <w:r w:rsidRPr="0048473E">
        <w:t xml:space="preserve">článku 3. </w:t>
      </w:r>
    </w:p>
    <w:p w:rsidR="00DB56E4" w:rsidRPr="0048473E" w:rsidRDefault="008324F5" w:rsidP="00DB56E4">
      <w:pPr>
        <w:pStyle w:val="ConclusionsPA"/>
      </w:pPr>
      <w:r w:rsidRPr="0048473E">
        <w:t>POZMĚŇOVACÍ NÁVRHY</w:t>
      </w:r>
    </w:p>
    <w:p w:rsidR="00DB56E4" w:rsidRPr="0048473E" w:rsidRDefault="008C779A" w:rsidP="00DB56E4">
      <w:pPr>
        <w:pStyle w:val="Normal12Tab"/>
      </w:pPr>
      <w:bookmarkStart w:id="1" w:name="IntroA"/>
      <w:r w:rsidRPr="0048473E">
        <w:t>Výbor pro práva žen</w:t>
      </w:r>
      <w:r w:rsidR="0048473E" w:rsidRPr="0048473E">
        <w:t xml:space="preserve"> a </w:t>
      </w:r>
      <w:r w:rsidRPr="0048473E">
        <w:t>rovnost pohlaví vyzývá Výbor pro vnitřní trh</w:t>
      </w:r>
      <w:r w:rsidR="0048473E" w:rsidRPr="0048473E">
        <w:t xml:space="preserve"> a </w:t>
      </w:r>
      <w:r w:rsidRPr="0048473E">
        <w:t>ochranu spotřebitelů jako věcně příslušný výbor, aby zohlednil následující pozměňovací návrhy:</w:t>
      </w:r>
    </w:p>
    <w:p w:rsidR="00F23F92" w:rsidRPr="0048473E" w:rsidRDefault="00F23F92" w:rsidP="00F23F92">
      <w:pPr>
        <w:pStyle w:val="AMNumberTabs"/>
        <w:keepNext/>
      </w:pPr>
      <w:bookmarkStart w:id="2" w:name="IntroB"/>
      <w:bookmarkStart w:id="3" w:name="ProcPageAD"/>
      <w:bookmarkEnd w:id="1"/>
      <w:r w:rsidRPr="0048473E">
        <w:rPr>
          <w:rStyle w:val="HideTWBExt"/>
          <w:b w:val="0"/>
          <w:noProof w:val="0"/>
        </w:rPr>
        <w:t>&lt;RepeatBlock-Amend&gt;</w:t>
      </w:r>
      <w:bookmarkStart w:id="4" w:name="restart"/>
      <w:bookmarkEnd w:id="2"/>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1</w:t>
      </w:r>
      <w:r w:rsidRPr="0048473E">
        <w:rPr>
          <w:rStyle w:val="HideTWBExt"/>
          <w:b w:val="0"/>
          <w:noProof w:val="0"/>
        </w:rPr>
        <w:t>&lt;/NumAm&gt;</w:t>
      </w:r>
    </w:p>
    <w:p w:rsidR="00F23F92" w:rsidRPr="0048473E" w:rsidRDefault="00F23F92" w:rsidP="00F23F92">
      <w:pPr>
        <w:pStyle w:val="NormalBold12b"/>
        <w:keepNext/>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Právní východisko 1</w:t>
      </w:r>
      <w:r w:rsidR="0048473E" w:rsidRPr="0048473E">
        <w:t xml:space="preserve"> a </w:t>
      </w:r>
      <w:r w:rsidRPr="0048473E">
        <w:t>(nové)</w:t>
      </w:r>
      <w:r w:rsidRPr="0048473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tcPr>
          <w:p w:rsidR="00F23F92" w:rsidRPr="0048473E" w:rsidRDefault="00F23F92" w:rsidP="00F23F92">
            <w:pPr>
              <w:pStyle w:val="ColumnHeading"/>
              <w:keepNext/>
            </w:pPr>
            <w:r w:rsidRPr="0048473E">
              <w:t>Znění navržené Komisí</w:t>
            </w:r>
          </w:p>
        </w:tc>
        <w:tc>
          <w:tcPr>
            <w:tcW w:w="4876" w:type="dxa"/>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tcPr>
          <w:p w:rsidR="00F23F92" w:rsidRPr="0048473E" w:rsidRDefault="00F23F92" w:rsidP="00F23F92">
            <w:pPr>
              <w:pStyle w:val="Normal6"/>
              <w:rPr>
                <w:b/>
                <w:bCs/>
                <w:i/>
                <w:iCs/>
              </w:rPr>
            </w:pPr>
            <w:r w:rsidRPr="0048473E">
              <w:rPr>
                <w:b/>
                <w:i/>
              </w:rPr>
              <w:t xml:space="preserve">s ohledem na Listinu základních práv Evropské unie, zejména na její články 21, </w:t>
            </w:r>
            <w:r w:rsidRPr="0048473E">
              <w:rPr>
                <w:b/>
                <w:i/>
              </w:rPr>
              <w:lastRenderedPageBreak/>
              <w:t>23</w:t>
            </w:r>
            <w:r w:rsidR="0048473E" w:rsidRPr="0048473E">
              <w:rPr>
                <w:b/>
                <w:i/>
              </w:rPr>
              <w:t xml:space="preserve"> a </w:t>
            </w:r>
            <w:r w:rsidRPr="0048473E">
              <w:rPr>
                <w:b/>
                <w:i/>
              </w:rPr>
              <w:t>26,</w:t>
            </w:r>
          </w:p>
        </w:tc>
      </w:tr>
    </w:tbl>
    <w:p w:rsidR="00F23F92" w:rsidRPr="0048473E" w:rsidRDefault="00F23F92" w:rsidP="00F23F92">
      <w:r w:rsidRPr="0048473E">
        <w:rPr>
          <w:rStyle w:val="HideTWBExt"/>
          <w:noProof w:val="0"/>
        </w:rPr>
        <w:lastRenderedPageBreak/>
        <w:t>&lt;/Amend&gt;</w:t>
      </w:r>
      <w:bookmarkEnd w:id="4"/>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2</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Bod odůvodnění 1</w:t>
      </w:r>
      <w:r w:rsidRPr="0048473E">
        <w:rPr>
          <w:rStyle w:val="HideTWBExt"/>
          <w:b w:val="0"/>
          <w:noProof w:val="0"/>
        </w:rPr>
        <w:t>&lt;/Article&gt;</w:t>
      </w:r>
    </w:p>
    <w:p w:rsidR="00F23F92" w:rsidRPr="0048473E" w:rsidRDefault="00F23F92" w:rsidP="00F23F92"/>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(1)</w:t>
            </w:r>
            <w:r w:rsidRPr="0048473E">
              <w:tab/>
              <w:t>Účelem této směrnice je přispět</w:t>
            </w:r>
            <w:r w:rsidR="0048473E" w:rsidRPr="0048473E">
              <w:t xml:space="preserve"> k </w:t>
            </w:r>
            <w:r w:rsidRPr="0048473E">
              <w:t>řádnému fungování vnitřního trhu sblížením právních</w:t>
            </w:r>
            <w:r w:rsidR="0048473E" w:rsidRPr="0048473E">
              <w:t xml:space="preserve"> a </w:t>
            </w:r>
            <w:r w:rsidRPr="0048473E">
              <w:t>správních předpisů členských států</w:t>
            </w:r>
            <w:r w:rsidR="0048473E" w:rsidRPr="0048473E">
              <w:t xml:space="preserve"> a </w:t>
            </w:r>
            <w:r w:rsidRPr="0048473E">
              <w:t xml:space="preserve">odstraněním překážek bránících volnému pohybu </w:t>
            </w:r>
            <w:r w:rsidRPr="0048473E">
              <w:rPr>
                <w:b/>
                <w:i/>
              </w:rPr>
              <w:t xml:space="preserve">určitých </w:t>
            </w:r>
            <w:r w:rsidRPr="0048473E">
              <w:t>přístupných výrobků</w:t>
            </w:r>
            <w:r w:rsidR="0048473E" w:rsidRPr="0048473E">
              <w:t xml:space="preserve"> a </w:t>
            </w:r>
            <w:r w:rsidRPr="0048473E">
              <w:t>služeb. To zvýší dostupnost přístupných výrobků</w:t>
            </w:r>
            <w:r w:rsidR="0048473E" w:rsidRPr="0048473E">
              <w:t xml:space="preserve"> a </w:t>
            </w:r>
            <w:r w:rsidRPr="0048473E">
              <w:t>služeb na vnitřním trhu.</w:t>
            </w:r>
          </w:p>
        </w:tc>
        <w:tc>
          <w:tcPr>
            <w:tcW w:w="4876" w:type="dxa"/>
            <w:hideMark/>
          </w:tcPr>
          <w:p w:rsidR="00F23F92" w:rsidRPr="0048473E" w:rsidRDefault="00F23F92" w:rsidP="00600C3B">
            <w:pPr>
              <w:pStyle w:val="Normal6"/>
              <w:rPr>
                <w:szCs w:val="24"/>
              </w:rPr>
            </w:pPr>
            <w:r w:rsidRPr="0048473E">
              <w:t>(1)</w:t>
            </w:r>
            <w:r w:rsidRPr="0048473E">
              <w:tab/>
              <w:t>Účelem této směrnice je přispět</w:t>
            </w:r>
            <w:r w:rsidR="0048473E" w:rsidRPr="0048473E">
              <w:t xml:space="preserve"> k </w:t>
            </w:r>
            <w:r w:rsidRPr="0048473E">
              <w:t>řádnému fungování vnitřního trhu sblížením právních</w:t>
            </w:r>
            <w:r w:rsidR="0048473E" w:rsidRPr="0048473E">
              <w:t xml:space="preserve"> a </w:t>
            </w:r>
            <w:r w:rsidRPr="0048473E">
              <w:t>správních předpisů členských států</w:t>
            </w:r>
            <w:r w:rsidR="0048473E" w:rsidRPr="0048473E">
              <w:t xml:space="preserve"> a </w:t>
            </w:r>
            <w:r w:rsidRPr="0048473E">
              <w:t>odstraněním překážek bránících volnému pohybu přístupných výrobků</w:t>
            </w:r>
            <w:r w:rsidR="0048473E" w:rsidRPr="0048473E">
              <w:t xml:space="preserve"> a </w:t>
            </w:r>
            <w:r w:rsidRPr="0048473E">
              <w:t>služeb. To zvýší dostupnost přístupných výrobků</w:t>
            </w:r>
            <w:r w:rsidR="0048473E" w:rsidRPr="0048473E">
              <w:t xml:space="preserve"> a </w:t>
            </w:r>
            <w:r w:rsidRPr="0048473E">
              <w:t>služeb na vnitřním trhu</w:t>
            </w:r>
            <w:r w:rsidRPr="0048473E">
              <w:rPr>
                <w:b/>
                <w:i/>
              </w:rPr>
              <w:t xml:space="preserve"> pro všechny občany</w:t>
            </w:r>
            <w:r w:rsidR="0048473E" w:rsidRPr="0048473E">
              <w:rPr>
                <w:b/>
                <w:i/>
              </w:rPr>
              <w:t xml:space="preserve"> a </w:t>
            </w:r>
            <w:r w:rsidR="00600C3B">
              <w:rPr>
                <w:b/>
                <w:i/>
              </w:rPr>
              <w:t xml:space="preserve">vytvoří </w:t>
            </w:r>
            <w:r w:rsidRPr="0048473E">
              <w:rPr>
                <w:b/>
                <w:i/>
              </w:rPr>
              <w:t>podmínky pro inkluzivní</w:t>
            </w:r>
            <w:r w:rsidR="0048473E" w:rsidRPr="0048473E">
              <w:rPr>
                <w:b/>
                <w:i/>
              </w:rPr>
              <w:t xml:space="preserve"> a </w:t>
            </w:r>
            <w:r w:rsidRPr="0048473E">
              <w:rPr>
                <w:b/>
                <w:i/>
              </w:rPr>
              <w:t>nediskriminační účast</w:t>
            </w:r>
            <w:r w:rsidRPr="0048473E">
              <w:t>.</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3</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Bod odůvodnění 2</w:t>
      </w:r>
      <w:r w:rsidRPr="0048473E">
        <w:rPr>
          <w:rStyle w:val="HideTWBExt"/>
          <w:b w:val="0"/>
          <w:noProof w:val="0"/>
        </w:rPr>
        <w:t>&lt;/Article&gt;</w:t>
      </w:r>
    </w:p>
    <w:p w:rsidR="00F23F92" w:rsidRPr="0048473E" w:rsidRDefault="00F23F92" w:rsidP="00F23F92"/>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(2)</w:t>
            </w:r>
            <w:r w:rsidRPr="0048473E">
              <w:tab/>
              <w:t>Poptávka po přístupných výrobcích</w:t>
            </w:r>
            <w:r w:rsidR="0048473E" w:rsidRPr="0048473E">
              <w:t xml:space="preserve"> a </w:t>
            </w:r>
            <w:r w:rsidRPr="0048473E">
              <w:t>službách je vysoká</w:t>
            </w:r>
            <w:r w:rsidR="0048473E" w:rsidRPr="0048473E">
              <w:t xml:space="preserve"> a </w:t>
            </w:r>
            <w:r w:rsidRPr="0048473E">
              <w:t xml:space="preserve">počet </w:t>
            </w:r>
            <w:r w:rsidRPr="0048473E">
              <w:rPr>
                <w:b/>
                <w:i/>
              </w:rPr>
              <w:t>občanů</w:t>
            </w:r>
            <w:r w:rsidRPr="0048473E">
              <w:t xml:space="preserve"> se zdravotním postižením a</w:t>
            </w:r>
            <w:r w:rsidRPr="0048473E">
              <w:rPr>
                <w:b/>
                <w:i/>
              </w:rPr>
              <w:t>/</w:t>
            </w:r>
            <w:r w:rsidRPr="0048473E">
              <w:t xml:space="preserve">nebo </w:t>
            </w:r>
            <w:r w:rsidRPr="0048473E">
              <w:rPr>
                <w:b/>
                <w:i/>
              </w:rPr>
              <w:t>funkčním</w:t>
            </w:r>
            <w:r w:rsidRPr="0048473E">
              <w:t xml:space="preserve"> omezením se vzhledem ke stárnutí obyvatelstva Evropské unie výrazně zvýší. Prostředí, ve kterém jsou výrobky</w:t>
            </w:r>
            <w:r w:rsidR="0048473E" w:rsidRPr="0048473E">
              <w:t xml:space="preserve"> a </w:t>
            </w:r>
            <w:r w:rsidRPr="0048473E">
              <w:t>služby přístupnější, umožňuje vytvořit společnost podporující začlenění</w:t>
            </w:r>
            <w:r w:rsidR="0048473E" w:rsidRPr="0048473E">
              <w:t xml:space="preserve"> a </w:t>
            </w:r>
            <w:r w:rsidRPr="0048473E">
              <w:rPr>
                <w:b/>
                <w:i/>
              </w:rPr>
              <w:t>usnadňuje nezávislý život</w:t>
            </w:r>
            <w:r w:rsidRPr="0048473E">
              <w:t>.</w:t>
            </w:r>
          </w:p>
        </w:tc>
        <w:tc>
          <w:tcPr>
            <w:tcW w:w="4876" w:type="dxa"/>
          </w:tcPr>
          <w:p w:rsidR="00F23F92" w:rsidRPr="0048473E" w:rsidRDefault="00F23F92" w:rsidP="00F23F92">
            <w:pPr>
              <w:pStyle w:val="Normal6"/>
              <w:rPr>
                <w:szCs w:val="24"/>
              </w:rPr>
            </w:pPr>
            <w:r w:rsidRPr="0048473E">
              <w:t>(2)</w:t>
            </w:r>
            <w:r w:rsidRPr="0048473E">
              <w:tab/>
              <w:t>Poptávka po přístupných výrobcích</w:t>
            </w:r>
            <w:r w:rsidR="0048473E" w:rsidRPr="0048473E">
              <w:t xml:space="preserve"> a </w:t>
            </w:r>
            <w:r w:rsidRPr="0048473E">
              <w:t>službách je vysoká</w:t>
            </w:r>
            <w:r w:rsidR="0048473E" w:rsidRPr="0048473E">
              <w:t xml:space="preserve"> a </w:t>
            </w:r>
            <w:r w:rsidRPr="0048473E">
              <w:t xml:space="preserve">počet </w:t>
            </w:r>
            <w:r w:rsidRPr="0048473E">
              <w:rPr>
                <w:b/>
                <w:i/>
              </w:rPr>
              <w:t>osob</w:t>
            </w:r>
            <w:r w:rsidRPr="0048473E">
              <w:t xml:space="preserve"> se zdravotním postižením</w:t>
            </w:r>
            <w:r w:rsidR="0048473E" w:rsidRPr="0048473E">
              <w:t xml:space="preserve"> a </w:t>
            </w:r>
            <w:r w:rsidRPr="0048473E">
              <w:rPr>
                <w:b/>
                <w:i/>
              </w:rPr>
              <w:t>osob</w:t>
            </w:r>
            <w:r w:rsidR="0048473E" w:rsidRPr="0048473E">
              <w:rPr>
                <w:b/>
                <w:i/>
              </w:rPr>
              <w:t xml:space="preserve"> s </w:t>
            </w:r>
            <w:r w:rsidRPr="0048473E">
              <w:rPr>
                <w:b/>
                <w:i/>
              </w:rPr>
              <w:t>omezením souvisejícím</w:t>
            </w:r>
            <w:r w:rsidR="0048473E" w:rsidRPr="0048473E">
              <w:rPr>
                <w:b/>
                <w:i/>
              </w:rPr>
              <w:t xml:space="preserve"> s </w:t>
            </w:r>
            <w:r w:rsidRPr="0048473E">
              <w:rPr>
                <w:b/>
                <w:i/>
              </w:rPr>
              <w:t xml:space="preserve">věkem </w:t>
            </w:r>
            <w:r w:rsidRPr="0048473E">
              <w:t xml:space="preserve">nebo </w:t>
            </w:r>
            <w:r w:rsidRPr="0048473E">
              <w:rPr>
                <w:b/>
                <w:i/>
              </w:rPr>
              <w:t>jiným</w:t>
            </w:r>
            <w:r w:rsidRPr="0048473E">
              <w:t xml:space="preserve"> omezením se vzhledem ke stárnutí obyvatelstva Evropské unie výrazně zvýší. Prostředí, ve kterém jsou výrobky</w:t>
            </w:r>
            <w:r w:rsidR="0048473E" w:rsidRPr="0048473E">
              <w:t xml:space="preserve"> a </w:t>
            </w:r>
            <w:r w:rsidRPr="0048473E">
              <w:t xml:space="preserve">služby přístupnější, </w:t>
            </w:r>
            <w:r w:rsidRPr="0048473E">
              <w:rPr>
                <w:b/>
                <w:i/>
              </w:rPr>
              <w:t xml:space="preserve">slouží potřebám spotřebitelů, </w:t>
            </w:r>
            <w:r w:rsidRPr="0048473E">
              <w:t>umožňuje vytvořit společnost podporující začlenění</w:t>
            </w:r>
            <w:r w:rsidR="0048473E" w:rsidRPr="0048473E">
              <w:t xml:space="preserve"> a </w:t>
            </w:r>
            <w:r w:rsidRPr="0048473E">
              <w:rPr>
                <w:b/>
                <w:i/>
              </w:rPr>
              <w:t>je nezbytným předpokladem nezávislého života pro všechny občany</w:t>
            </w:r>
            <w:r w:rsidRPr="0048473E">
              <w:t>.</w:t>
            </w:r>
          </w:p>
        </w:tc>
      </w:tr>
      <w:tr w:rsidR="00F23F92" w:rsidRPr="0048473E" w:rsidTr="00F23F92">
        <w:trPr>
          <w:jc w:val="center"/>
        </w:trPr>
        <w:tc>
          <w:tcPr>
            <w:tcW w:w="4876" w:type="dxa"/>
          </w:tcPr>
          <w:p w:rsidR="00F23F92" w:rsidRPr="0048473E" w:rsidRDefault="00F23F92" w:rsidP="00F23F92">
            <w:pPr>
              <w:pStyle w:val="Normal6"/>
            </w:pPr>
          </w:p>
        </w:tc>
        <w:tc>
          <w:tcPr>
            <w:tcW w:w="4876" w:type="dxa"/>
          </w:tcPr>
          <w:p w:rsidR="00F23F92" w:rsidRPr="0048473E" w:rsidRDefault="00F23F92" w:rsidP="00F23F92">
            <w:pPr>
              <w:pStyle w:val="Normal6"/>
            </w:pPr>
            <w:r w:rsidRPr="0048473E">
              <w:rPr>
                <w:i/>
              </w:rPr>
              <w:t>(První část tohoto pozměňujícího návrhu (definice „občané se zdravotním postižením a/nebo funkčním omezením“ se mění na „osoby se zdravotním postižením</w:t>
            </w:r>
            <w:r w:rsidR="0048473E" w:rsidRPr="0048473E">
              <w:rPr>
                <w:i/>
              </w:rPr>
              <w:t xml:space="preserve"> a </w:t>
            </w:r>
            <w:r w:rsidRPr="0048473E">
              <w:rPr>
                <w:i/>
              </w:rPr>
              <w:t>osoby</w:t>
            </w:r>
            <w:r w:rsidR="0048473E" w:rsidRPr="0048473E">
              <w:rPr>
                <w:i/>
              </w:rPr>
              <w:t xml:space="preserve"> s </w:t>
            </w:r>
            <w:r w:rsidRPr="0048473E">
              <w:rPr>
                <w:i/>
              </w:rPr>
              <w:t>omezením souvisejícím</w:t>
            </w:r>
            <w:r w:rsidR="0048473E" w:rsidRPr="0048473E">
              <w:rPr>
                <w:i/>
              </w:rPr>
              <w:t xml:space="preserve"> s </w:t>
            </w:r>
            <w:r w:rsidRPr="0048473E">
              <w:rPr>
                <w:i/>
              </w:rPr>
              <w:t>věkem nebo jiným omezením“) se vztahuje na celý text</w:t>
            </w:r>
            <w:r w:rsidR="0048473E" w:rsidRPr="0048473E">
              <w:rPr>
                <w:i/>
              </w:rPr>
              <w:t xml:space="preserve"> a </w:t>
            </w:r>
            <w:r w:rsidRPr="0048473E">
              <w:rPr>
                <w:i/>
              </w:rPr>
              <w:t>vyžádá si odpovídající změny</w:t>
            </w:r>
            <w:r w:rsidR="0048473E" w:rsidRPr="0048473E">
              <w:rPr>
                <w:i/>
              </w:rPr>
              <w:t xml:space="preserve"> v </w:t>
            </w:r>
            <w:r w:rsidRPr="0048473E">
              <w:rPr>
                <w:i/>
              </w:rPr>
              <w:t xml:space="preserve">celém textu.) </w:t>
            </w:r>
          </w:p>
        </w:tc>
      </w:tr>
    </w:tbl>
    <w:p w:rsidR="00F23F92" w:rsidRPr="0048473E" w:rsidRDefault="00F23F92" w:rsidP="00F23F92">
      <w:r w:rsidRPr="0048473E">
        <w:rPr>
          <w:rStyle w:val="HideTWBExt"/>
          <w:noProof w:val="0"/>
        </w:rPr>
        <w:t>&lt;/Amend&gt;</w:t>
      </w:r>
      <w:bookmarkStart w:id="5" w:name="EndB"/>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4</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Bod odůvodnění 2</w:t>
      </w:r>
      <w:r w:rsidR="0048473E" w:rsidRPr="0048473E">
        <w:t xml:space="preserve"> a </w:t>
      </w:r>
      <w:r w:rsidRPr="0048473E">
        <w:t>(nový)</w:t>
      </w:r>
      <w:r w:rsidRPr="0048473E">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3F92" w:rsidRPr="0048473E" w:rsidTr="00F23F92">
        <w:trPr>
          <w:jc w:val="center"/>
        </w:trPr>
        <w:tc>
          <w:tcPr>
            <w:tcW w:w="9750" w:type="dxa"/>
            <w:gridSpan w:val="2"/>
          </w:tcPr>
          <w:p w:rsidR="00F23F92" w:rsidRPr="0048473E" w:rsidRDefault="00F23F92" w:rsidP="00F23F92">
            <w:pPr>
              <w:keepNext/>
            </w:pPr>
          </w:p>
        </w:tc>
      </w:tr>
      <w:tr w:rsidR="00F23F92" w:rsidRPr="0048473E" w:rsidTr="00F23F92">
        <w:trPr>
          <w:jc w:val="center"/>
        </w:trPr>
        <w:tc>
          <w:tcPr>
            <w:tcW w:w="4875" w:type="dxa"/>
            <w:hideMark/>
          </w:tcPr>
          <w:p w:rsidR="00F23F92" w:rsidRPr="0048473E" w:rsidRDefault="00F23F92" w:rsidP="00F23F92">
            <w:pPr>
              <w:pStyle w:val="ColumnHeading"/>
              <w:keepNext/>
            </w:pPr>
            <w:r w:rsidRPr="0048473E">
              <w:t>Znění navržené Komisí</w:t>
            </w:r>
          </w:p>
        </w:tc>
        <w:tc>
          <w:tcPr>
            <w:tcW w:w="4875"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5" w:type="dxa"/>
          </w:tcPr>
          <w:p w:rsidR="00F23F92" w:rsidRPr="0048473E" w:rsidRDefault="00F23F92" w:rsidP="00F23F92">
            <w:pPr>
              <w:pStyle w:val="Normal6"/>
            </w:pPr>
          </w:p>
        </w:tc>
        <w:tc>
          <w:tcPr>
            <w:tcW w:w="4875" w:type="dxa"/>
            <w:hideMark/>
          </w:tcPr>
          <w:p w:rsidR="00F23F92" w:rsidRPr="0048473E" w:rsidRDefault="00F23F92" w:rsidP="00F23F92">
            <w:pPr>
              <w:pStyle w:val="Normal6"/>
              <w:rPr>
                <w:szCs w:val="24"/>
              </w:rPr>
            </w:pPr>
            <w:r w:rsidRPr="0048473E">
              <w:rPr>
                <w:b/>
                <w:i/>
              </w:rPr>
              <w:t>(2a)</w:t>
            </w:r>
            <w:r w:rsidRPr="0048473E">
              <w:tab/>
            </w:r>
            <w:r w:rsidRPr="0048473E">
              <w:rPr>
                <w:b/>
                <w:i/>
              </w:rPr>
              <w:t>Členské státy by měly přijmout opatření, která zajistí, aby bylo možné plně</w:t>
            </w:r>
            <w:r w:rsidR="0048473E" w:rsidRPr="0048473E">
              <w:rPr>
                <w:b/>
                <w:i/>
              </w:rPr>
              <w:t xml:space="preserve"> a </w:t>
            </w:r>
            <w:r w:rsidRPr="0048473E">
              <w:rPr>
                <w:b/>
                <w:i/>
              </w:rPr>
              <w:t>rovnoprávně požívat všech základních práv</w:t>
            </w:r>
            <w:r w:rsidR="0048473E" w:rsidRPr="0048473E">
              <w:rPr>
                <w:b/>
                <w:i/>
              </w:rPr>
              <w:t xml:space="preserve"> a </w:t>
            </w:r>
            <w:r w:rsidRPr="0048473E">
              <w:rPr>
                <w:b/>
                <w:i/>
              </w:rPr>
              <w:t>svobod. Proto je nutné, aby členské státy při rozhodování</w:t>
            </w:r>
            <w:r w:rsidR="0048473E" w:rsidRPr="0048473E">
              <w:rPr>
                <w:b/>
                <w:i/>
              </w:rPr>
              <w:t xml:space="preserve"> o </w:t>
            </w:r>
            <w:r w:rsidRPr="0048473E">
              <w:rPr>
                <w:b/>
                <w:i/>
              </w:rPr>
              <w:t>opatřeních</w:t>
            </w:r>
            <w:r w:rsidR="0048473E" w:rsidRPr="0048473E">
              <w:rPr>
                <w:b/>
                <w:i/>
              </w:rPr>
              <w:t xml:space="preserve"> a </w:t>
            </w:r>
            <w:r w:rsidRPr="0048473E">
              <w:rPr>
                <w:b/>
                <w:i/>
              </w:rPr>
              <w:t>požadavcích na dostupnost</w:t>
            </w:r>
            <w:r w:rsidR="0048473E" w:rsidRPr="0048473E">
              <w:rPr>
                <w:b/>
                <w:i/>
              </w:rPr>
              <w:t xml:space="preserve"> a </w:t>
            </w:r>
            <w:r w:rsidRPr="0048473E">
              <w:rPr>
                <w:b/>
                <w:i/>
              </w:rPr>
              <w:t>zvýšenou účast na vnitřním trhu pro osoby se zdravotním postižením</w:t>
            </w:r>
            <w:r w:rsidR="0048473E" w:rsidRPr="0048473E">
              <w:rPr>
                <w:b/>
                <w:i/>
              </w:rPr>
              <w:t xml:space="preserve"> a </w:t>
            </w:r>
            <w:r w:rsidRPr="0048473E">
              <w:rPr>
                <w:b/>
                <w:i/>
              </w:rPr>
              <w:t>osoby</w:t>
            </w:r>
            <w:r w:rsidR="0048473E" w:rsidRPr="0048473E">
              <w:rPr>
                <w:b/>
                <w:i/>
              </w:rPr>
              <w:t xml:space="preserve"> s </w:t>
            </w:r>
            <w:r w:rsidRPr="0048473E">
              <w:rPr>
                <w:b/>
                <w:i/>
              </w:rPr>
              <w:t>omezením souvisejícím</w:t>
            </w:r>
            <w:r w:rsidR="0048473E" w:rsidRPr="0048473E">
              <w:rPr>
                <w:b/>
                <w:i/>
              </w:rPr>
              <w:t xml:space="preserve"> s </w:t>
            </w:r>
            <w:r w:rsidRPr="0048473E">
              <w:rPr>
                <w:b/>
                <w:i/>
              </w:rPr>
              <w:t>věkem nebo jiným omezením uplatňovaly hledisko rovnosti žen</w:t>
            </w:r>
            <w:r w:rsidR="0048473E" w:rsidRPr="0048473E">
              <w:rPr>
                <w:b/>
                <w:i/>
              </w:rPr>
              <w:t xml:space="preserve"> a </w:t>
            </w:r>
            <w:r w:rsidRPr="0048473E">
              <w:rPr>
                <w:b/>
                <w:i/>
              </w:rPr>
              <w:t>mužů.</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5</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Bod odůvodnění 2 b (nový)</w:t>
      </w:r>
      <w:r w:rsidRPr="0048473E">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3F92" w:rsidRPr="0048473E" w:rsidTr="00F23F92">
        <w:trPr>
          <w:jc w:val="center"/>
        </w:trPr>
        <w:tc>
          <w:tcPr>
            <w:tcW w:w="9750" w:type="dxa"/>
            <w:gridSpan w:val="2"/>
          </w:tcPr>
          <w:p w:rsidR="00F23F92" w:rsidRPr="0048473E" w:rsidRDefault="00F23F92" w:rsidP="00F23F92">
            <w:pPr>
              <w:keepNext/>
            </w:pPr>
          </w:p>
        </w:tc>
      </w:tr>
      <w:tr w:rsidR="00F23F92" w:rsidRPr="0048473E" w:rsidTr="00F23F92">
        <w:trPr>
          <w:jc w:val="center"/>
        </w:trPr>
        <w:tc>
          <w:tcPr>
            <w:tcW w:w="4875" w:type="dxa"/>
            <w:hideMark/>
          </w:tcPr>
          <w:p w:rsidR="00F23F92" w:rsidRPr="0048473E" w:rsidRDefault="00F23F92" w:rsidP="00F23F92">
            <w:pPr>
              <w:pStyle w:val="ColumnHeading"/>
              <w:keepNext/>
            </w:pPr>
            <w:r w:rsidRPr="0048473E">
              <w:t>Znění navržené Komisí</w:t>
            </w:r>
          </w:p>
        </w:tc>
        <w:tc>
          <w:tcPr>
            <w:tcW w:w="4875"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5" w:type="dxa"/>
          </w:tcPr>
          <w:p w:rsidR="00F23F92" w:rsidRPr="0048473E" w:rsidRDefault="00F23F92" w:rsidP="00F23F92">
            <w:pPr>
              <w:pStyle w:val="Normal6"/>
            </w:pPr>
          </w:p>
        </w:tc>
        <w:tc>
          <w:tcPr>
            <w:tcW w:w="4875" w:type="dxa"/>
            <w:hideMark/>
          </w:tcPr>
          <w:p w:rsidR="00F23F92" w:rsidRPr="0048473E" w:rsidRDefault="00F23F92" w:rsidP="00600C3B">
            <w:pPr>
              <w:pStyle w:val="Normal6"/>
              <w:rPr>
                <w:b/>
                <w:i/>
                <w:szCs w:val="24"/>
              </w:rPr>
            </w:pPr>
            <w:r w:rsidRPr="0048473E">
              <w:rPr>
                <w:b/>
                <w:i/>
              </w:rPr>
              <w:t>(2b)</w:t>
            </w:r>
            <w:r w:rsidRPr="0048473E">
              <w:tab/>
            </w:r>
            <w:r w:rsidRPr="0048473E">
              <w:rPr>
                <w:b/>
                <w:i/>
              </w:rPr>
              <w:t xml:space="preserve">V Unii žije více než 80 milionů osob se zdravotním postižením, které naléhavě potřebují přístupné prostředí. Pro osoby se zdravotním postižením je obtížné zapojit se </w:t>
            </w:r>
            <w:r w:rsidR="00600C3B">
              <w:rPr>
                <w:b/>
                <w:i/>
              </w:rPr>
              <w:t>do</w:t>
            </w:r>
            <w:r w:rsidRPr="0048473E">
              <w:rPr>
                <w:b/>
                <w:i/>
              </w:rPr>
              <w:t xml:space="preserve"> trhu práce</w:t>
            </w:r>
            <w:r w:rsidR="0048473E" w:rsidRPr="0048473E">
              <w:rPr>
                <w:b/>
                <w:i/>
              </w:rPr>
              <w:t xml:space="preserve"> a </w:t>
            </w:r>
            <w:r w:rsidRPr="0048473E">
              <w:rPr>
                <w:b/>
                <w:i/>
              </w:rPr>
              <w:t>do volnočasových aktivit</w:t>
            </w:r>
            <w:r w:rsidR="0048473E" w:rsidRPr="0048473E">
              <w:rPr>
                <w:b/>
                <w:i/>
              </w:rPr>
              <w:t xml:space="preserve"> a </w:t>
            </w:r>
            <w:r w:rsidRPr="0048473E">
              <w:rPr>
                <w:b/>
                <w:i/>
              </w:rPr>
              <w:t>podle Organizace spojených národů je výskyt zdravotního postižení vyšší</w:t>
            </w:r>
            <w:r w:rsidR="0048473E" w:rsidRPr="0048473E">
              <w:rPr>
                <w:b/>
                <w:i/>
              </w:rPr>
              <w:t xml:space="preserve"> u </w:t>
            </w:r>
            <w:r w:rsidRPr="0048473E">
              <w:rPr>
                <w:b/>
                <w:i/>
              </w:rPr>
              <w:t>žen než</w:t>
            </w:r>
            <w:r w:rsidR="0048473E" w:rsidRPr="0048473E">
              <w:rPr>
                <w:b/>
                <w:i/>
              </w:rPr>
              <w:t xml:space="preserve"> u </w:t>
            </w:r>
            <w:r w:rsidRPr="0048473E">
              <w:rPr>
                <w:b/>
                <w:i/>
              </w:rPr>
              <w:t xml:space="preserve">mužů. </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6</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2 c (nový)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(2c)</w:t>
            </w:r>
            <w:r w:rsidRPr="0048473E">
              <w:tab/>
            </w:r>
            <w:r w:rsidRPr="0048473E">
              <w:rPr>
                <w:b/>
                <w:i/>
              </w:rPr>
              <w:t>Skutečnost, že ženy</w:t>
            </w:r>
            <w:r w:rsidR="0048473E" w:rsidRPr="0048473E">
              <w:rPr>
                <w:b/>
                <w:i/>
              </w:rPr>
              <w:t xml:space="preserve"> a </w:t>
            </w:r>
            <w:r w:rsidRPr="0048473E">
              <w:rPr>
                <w:b/>
                <w:i/>
              </w:rPr>
              <w:t>dívky se zdravotním postižením čelí různým formám diskriminace</w:t>
            </w:r>
            <w:r w:rsidR="0048473E" w:rsidRPr="0048473E">
              <w:rPr>
                <w:b/>
                <w:i/>
              </w:rPr>
              <w:t xml:space="preserve"> a </w:t>
            </w:r>
            <w:r w:rsidRPr="0048473E">
              <w:rPr>
                <w:b/>
                <w:i/>
              </w:rPr>
              <w:t>nerovnováze mezi ženami</w:t>
            </w:r>
            <w:r w:rsidR="0048473E" w:rsidRPr="0048473E">
              <w:rPr>
                <w:b/>
                <w:i/>
              </w:rPr>
              <w:t xml:space="preserve"> a </w:t>
            </w:r>
            <w:r w:rsidRPr="0048473E">
              <w:rPr>
                <w:b/>
                <w:i/>
              </w:rPr>
              <w:t>muži</w:t>
            </w:r>
            <w:r w:rsidR="0048473E" w:rsidRPr="0048473E">
              <w:rPr>
                <w:b/>
                <w:i/>
              </w:rPr>
              <w:t xml:space="preserve"> v </w:t>
            </w:r>
            <w:r w:rsidRPr="0048473E">
              <w:rPr>
                <w:b/>
                <w:i/>
              </w:rPr>
              <w:t>oblasti péče, vyžaduje zlepšení přístupnosti</w:t>
            </w:r>
            <w:r w:rsidR="0048473E" w:rsidRPr="0048473E">
              <w:rPr>
                <w:b/>
                <w:i/>
              </w:rPr>
              <w:t xml:space="preserve"> v </w:t>
            </w:r>
            <w:r w:rsidRPr="0048473E">
              <w:rPr>
                <w:b/>
                <w:i/>
              </w:rPr>
              <w:t>rámci všech odvětví.</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7</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2 d (nový)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(2d)</w:t>
            </w:r>
            <w:r w:rsidRPr="0048473E">
              <w:tab/>
            </w:r>
            <w:r w:rsidRPr="0048473E">
              <w:rPr>
                <w:b/>
                <w:i/>
              </w:rPr>
              <w:t>Stárnoucí část populace se</w:t>
            </w:r>
            <w:r w:rsidR="0048473E" w:rsidRPr="0048473E">
              <w:rPr>
                <w:b/>
                <w:i/>
              </w:rPr>
              <w:t xml:space="preserve"> v </w:t>
            </w:r>
            <w:r w:rsidRPr="0048473E">
              <w:rPr>
                <w:b/>
                <w:i/>
              </w:rPr>
              <w:t>Unii neustále rozšiřuje, což vede</w:t>
            </w:r>
            <w:r w:rsidR="0048473E" w:rsidRPr="0048473E">
              <w:rPr>
                <w:b/>
                <w:i/>
              </w:rPr>
              <w:t xml:space="preserve"> k </w:t>
            </w:r>
            <w:r w:rsidRPr="0048473E">
              <w:rPr>
                <w:b/>
                <w:i/>
              </w:rPr>
              <w:t>významnému nárůstu počtu osob</w:t>
            </w:r>
            <w:r w:rsidR="0048473E" w:rsidRPr="0048473E">
              <w:rPr>
                <w:b/>
                <w:i/>
              </w:rPr>
              <w:t xml:space="preserve"> s </w:t>
            </w:r>
            <w:r w:rsidRPr="0048473E">
              <w:rPr>
                <w:b/>
                <w:i/>
              </w:rPr>
              <w:t>omezením souvisejícím</w:t>
            </w:r>
            <w:r w:rsidR="0048473E" w:rsidRPr="0048473E">
              <w:rPr>
                <w:b/>
                <w:i/>
              </w:rPr>
              <w:t xml:space="preserve"> s </w:t>
            </w:r>
            <w:r w:rsidRPr="0048473E">
              <w:rPr>
                <w:b/>
                <w:i/>
              </w:rPr>
              <w:t>věkem, které potřebují přístupné výrobky</w:t>
            </w:r>
            <w:r w:rsidR="0048473E" w:rsidRPr="0048473E">
              <w:rPr>
                <w:b/>
                <w:i/>
              </w:rPr>
              <w:t xml:space="preserve"> a </w:t>
            </w:r>
            <w:r w:rsidRPr="0048473E">
              <w:rPr>
                <w:b/>
                <w:i/>
              </w:rPr>
              <w:t>služby</w:t>
            </w:r>
            <w:r w:rsidR="0048473E" w:rsidRPr="0048473E">
              <w:rPr>
                <w:b/>
                <w:i/>
              </w:rPr>
              <w:t xml:space="preserve"> a </w:t>
            </w:r>
            <w:r w:rsidRPr="0048473E">
              <w:rPr>
                <w:b/>
                <w:i/>
              </w:rPr>
              <w:t>dobře navržené zastavěné prostředí, které jim umožní pokračovat</w:t>
            </w:r>
            <w:r w:rsidR="0048473E" w:rsidRPr="0048473E">
              <w:rPr>
                <w:b/>
                <w:i/>
              </w:rPr>
              <w:t xml:space="preserve"> v </w:t>
            </w:r>
            <w:r w:rsidRPr="0048473E">
              <w:rPr>
                <w:b/>
                <w:i/>
              </w:rPr>
              <w:t xml:space="preserve">aktivitách jejich každodenního života. </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8</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2 e (nový)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(2e)</w:t>
            </w:r>
            <w:r w:rsidRPr="0048473E">
              <w:tab/>
            </w:r>
            <w:r w:rsidRPr="0048473E">
              <w:rPr>
                <w:b/>
                <w:i/>
              </w:rPr>
              <w:t>Marginalizace žen se zdravotním postižením je vyšší ve srovnání</w:t>
            </w:r>
            <w:r w:rsidR="0048473E" w:rsidRPr="0048473E">
              <w:rPr>
                <w:b/>
                <w:i/>
              </w:rPr>
              <w:t xml:space="preserve"> s </w:t>
            </w:r>
            <w:r w:rsidRPr="0048473E">
              <w:rPr>
                <w:b/>
                <w:i/>
              </w:rPr>
              <w:t>izolací, které čelí muži se zdravotním postižením.</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9</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2 f (nový)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(2f)</w:t>
            </w:r>
            <w:r w:rsidRPr="0048473E">
              <w:tab/>
            </w:r>
            <w:r w:rsidRPr="0048473E">
              <w:rPr>
                <w:b/>
                <w:i/>
              </w:rPr>
              <w:t>Přetrvává vícenásobná diskriminace na základě pohlaví</w:t>
            </w:r>
            <w:r w:rsidR="0048473E" w:rsidRPr="0048473E">
              <w:rPr>
                <w:b/>
                <w:i/>
              </w:rPr>
              <w:t xml:space="preserve"> a </w:t>
            </w:r>
            <w:r w:rsidRPr="0048473E">
              <w:rPr>
                <w:b/>
                <w:i/>
              </w:rPr>
              <w:t>zdravotního postižení, která nabývá různých podob,</w:t>
            </w:r>
            <w:r w:rsidR="0048473E" w:rsidRPr="0048473E">
              <w:rPr>
                <w:b/>
                <w:i/>
              </w:rPr>
              <w:t xml:space="preserve"> a </w:t>
            </w:r>
            <w:r w:rsidRPr="0048473E">
              <w:rPr>
                <w:b/>
                <w:i/>
              </w:rPr>
              <w:t>její projevy vedou</w:t>
            </w:r>
            <w:r w:rsidR="0048473E" w:rsidRPr="0048473E">
              <w:rPr>
                <w:b/>
                <w:i/>
              </w:rPr>
              <w:t xml:space="preserve"> k </w:t>
            </w:r>
            <w:r w:rsidRPr="0048473E">
              <w:rPr>
                <w:b/>
                <w:i/>
              </w:rPr>
              <w:t>sociálnímu vyloučení (např. nižší sebevědomí, hospodářská závislost, sociální izolace), vyloučení ze vzdělávacího systému (např. vysoká míra negramotnosti, nižší dosažené vzdělání, zejména</w:t>
            </w:r>
            <w:r w:rsidR="0048473E" w:rsidRPr="0048473E">
              <w:rPr>
                <w:b/>
                <w:i/>
              </w:rPr>
              <w:t xml:space="preserve"> u </w:t>
            </w:r>
            <w:r w:rsidRPr="0048473E">
              <w:rPr>
                <w:b/>
                <w:i/>
              </w:rPr>
              <w:t>žen)</w:t>
            </w:r>
            <w:r w:rsidR="0048473E" w:rsidRPr="0048473E">
              <w:rPr>
                <w:b/>
                <w:i/>
              </w:rPr>
              <w:t xml:space="preserve"> a </w:t>
            </w:r>
            <w:r w:rsidRPr="0048473E">
              <w:rPr>
                <w:b/>
                <w:i/>
              </w:rPr>
              <w:t>vyloučení</w:t>
            </w:r>
            <w:r w:rsidR="0048473E" w:rsidRPr="0048473E">
              <w:rPr>
                <w:b/>
                <w:i/>
              </w:rPr>
              <w:t xml:space="preserve"> z </w:t>
            </w:r>
            <w:r w:rsidRPr="0048473E">
              <w:rPr>
                <w:b/>
                <w:i/>
              </w:rPr>
              <w:t>trhu práce (nižší účast na trhu práce, tendence vykonávat málo placenou, dočasnou či nejistou práci), což osobám se zdravotním postižením, jejich rodinám</w:t>
            </w:r>
            <w:r w:rsidR="0048473E" w:rsidRPr="0048473E">
              <w:rPr>
                <w:b/>
                <w:i/>
              </w:rPr>
              <w:t xml:space="preserve"> a </w:t>
            </w:r>
            <w:r w:rsidRPr="0048473E">
              <w:rPr>
                <w:b/>
                <w:i/>
              </w:rPr>
              <w:t>pečovatelům způsobuje další stres</w:t>
            </w:r>
            <w:r w:rsidR="0048473E" w:rsidRPr="0048473E">
              <w:rPr>
                <w:b/>
                <w:i/>
              </w:rPr>
              <w:t xml:space="preserve"> a </w:t>
            </w:r>
            <w:r w:rsidRPr="0048473E">
              <w:rPr>
                <w:b/>
                <w:i/>
              </w:rPr>
              <w:t>psychickou zátěž.</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10</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2 g (nový)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600C3B">
            <w:pPr>
              <w:pStyle w:val="Normal6"/>
              <w:rPr>
                <w:szCs w:val="24"/>
              </w:rPr>
            </w:pPr>
            <w:r w:rsidRPr="0048473E">
              <w:rPr>
                <w:b/>
                <w:i/>
              </w:rPr>
              <w:t>(2g)</w:t>
            </w:r>
            <w:r w:rsidRPr="0048473E">
              <w:tab/>
            </w:r>
            <w:r w:rsidRPr="0048473E">
              <w:rPr>
                <w:b/>
                <w:i/>
              </w:rPr>
              <w:t>I přesto, že existuje mnoho mezinárodních úmluv</w:t>
            </w:r>
            <w:r w:rsidR="0048473E" w:rsidRPr="0048473E">
              <w:rPr>
                <w:b/>
                <w:i/>
              </w:rPr>
              <w:t xml:space="preserve"> a </w:t>
            </w:r>
            <w:r w:rsidRPr="0048473E">
              <w:rPr>
                <w:b/>
                <w:i/>
              </w:rPr>
              <w:t xml:space="preserve">ustanovení evropských právních předpisů, </w:t>
            </w:r>
            <w:r w:rsidR="00600C3B" w:rsidRPr="0048473E">
              <w:rPr>
                <w:b/>
                <w:i/>
              </w:rPr>
              <w:t xml:space="preserve">nemohou </w:t>
            </w:r>
            <w:r w:rsidRPr="0048473E">
              <w:rPr>
                <w:b/>
                <w:i/>
              </w:rPr>
              <w:t xml:space="preserve">osoby se zdravotním postižením stále </w:t>
            </w:r>
            <w:r w:rsidR="0048473E" w:rsidRPr="0048473E">
              <w:rPr>
                <w:b/>
                <w:i/>
              </w:rPr>
              <w:t>v </w:t>
            </w:r>
            <w:r w:rsidRPr="0048473E">
              <w:rPr>
                <w:b/>
                <w:i/>
              </w:rPr>
              <w:t>plné míře požívat toho, co tyto úmluvy</w:t>
            </w:r>
            <w:r w:rsidR="0048473E" w:rsidRPr="0048473E">
              <w:rPr>
                <w:b/>
                <w:i/>
              </w:rPr>
              <w:t xml:space="preserve"> a </w:t>
            </w:r>
            <w:r w:rsidRPr="0048473E">
              <w:rPr>
                <w:b/>
                <w:i/>
              </w:rPr>
              <w:t>předpisy stanovují,</w:t>
            </w:r>
            <w:r w:rsidR="0048473E" w:rsidRPr="0048473E">
              <w:rPr>
                <w:b/>
                <w:i/>
              </w:rPr>
              <w:t xml:space="preserve"> a </w:t>
            </w:r>
            <w:r w:rsidRPr="0048473E">
              <w:rPr>
                <w:b/>
                <w:i/>
              </w:rPr>
              <w:t>sociální práva osob se zdravotním postižením nejsou zcela respektována, jelikož nemají např. spravedlivé</w:t>
            </w:r>
            <w:r w:rsidR="0048473E" w:rsidRPr="0048473E">
              <w:rPr>
                <w:b/>
                <w:i/>
              </w:rPr>
              <w:t xml:space="preserve"> a </w:t>
            </w:r>
            <w:r w:rsidRPr="0048473E">
              <w:rPr>
                <w:b/>
                <w:i/>
              </w:rPr>
              <w:t>rovné možnosti podílet se na politickém, společenském</w:t>
            </w:r>
            <w:r w:rsidR="0048473E" w:rsidRPr="0048473E">
              <w:rPr>
                <w:b/>
                <w:i/>
              </w:rPr>
              <w:t xml:space="preserve"> a </w:t>
            </w:r>
            <w:r w:rsidRPr="0048473E">
              <w:rPr>
                <w:b/>
                <w:i/>
              </w:rPr>
              <w:t>hospodářském životě. Ženy</w:t>
            </w:r>
            <w:r w:rsidR="0048473E" w:rsidRPr="0048473E">
              <w:rPr>
                <w:b/>
                <w:i/>
              </w:rPr>
              <w:t xml:space="preserve"> a </w:t>
            </w:r>
            <w:r w:rsidRPr="0048473E">
              <w:rPr>
                <w:b/>
                <w:i/>
              </w:rPr>
              <w:t>dívky se zdravotním postižením zůstávají na okraji rozhodovacího procesu, pokroku</w:t>
            </w:r>
            <w:r w:rsidR="0048473E" w:rsidRPr="0048473E">
              <w:rPr>
                <w:b/>
                <w:i/>
              </w:rPr>
              <w:t xml:space="preserve"> a </w:t>
            </w:r>
            <w:r w:rsidRPr="0048473E">
              <w:rPr>
                <w:b/>
                <w:i/>
              </w:rPr>
              <w:t>rovnosti žen</w:t>
            </w:r>
            <w:r w:rsidR="0048473E" w:rsidRPr="0048473E">
              <w:rPr>
                <w:b/>
                <w:i/>
              </w:rPr>
              <w:t xml:space="preserve"> a </w:t>
            </w:r>
            <w:r w:rsidRPr="0048473E">
              <w:rPr>
                <w:b/>
                <w:i/>
              </w:rPr>
              <w:t>mužů.</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11</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2 h (nový)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(2h) Měla by být zajištěna všeobecná dostupnost, design pro všechny</w:t>
            </w:r>
            <w:r w:rsidR="0048473E" w:rsidRPr="0048473E">
              <w:rPr>
                <w:b/>
                <w:i/>
              </w:rPr>
              <w:t xml:space="preserve"> a </w:t>
            </w:r>
            <w:r w:rsidRPr="0048473E">
              <w:rPr>
                <w:b/>
                <w:i/>
              </w:rPr>
              <w:t>uplatňování hlediska rovnosti žen</w:t>
            </w:r>
            <w:r w:rsidR="0048473E" w:rsidRPr="0048473E">
              <w:rPr>
                <w:b/>
                <w:i/>
              </w:rPr>
              <w:t xml:space="preserve"> a </w:t>
            </w:r>
            <w:r w:rsidRPr="0048473E">
              <w:rPr>
                <w:b/>
                <w:i/>
              </w:rPr>
              <w:t>mužů, pokud jde</w:t>
            </w:r>
            <w:r w:rsidR="0048473E" w:rsidRPr="0048473E">
              <w:rPr>
                <w:b/>
                <w:i/>
              </w:rPr>
              <w:t xml:space="preserve"> o </w:t>
            </w:r>
            <w:r w:rsidRPr="0048473E">
              <w:rPr>
                <w:b/>
                <w:i/>
              </w:rPr>
              <w:t>výrobky, nástroje, zařízení</w:t>
            </w:r>
            <w:r w:rsidR="0048473E" w:rsidRPr="0048473E">
              <w:rPr>
                <w:b/>
                <w:i/>
              </w:rPr>
              <w:t xml:space="preserve"> a </w:t>
            </w:r>
            <w:r w:rsidRPr="0048473E">
              <w:rPr>
                <w:b/>
                <w:i/>
              </w:rPr>
              <w:t>služby, aby je mohli běžně využívat muži, chlapci, ženy</w:t>
            </w:r>
            <w:r w:rsidR="0048473E" w:rsidRPr="0048473E">
              <w:rPr>
                <w:b/>
                <w:i/>
              </w:rPr>
              <w:t xml:space="preserve"> a </w:t>
            </w:r>
            <w:r w:rsidRPr="0048473E">
              <w:rPr>
                <w:b/>
                <w:i/>
              </w:rPr>
              <w:t>dívky se zdravotním postižením.</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12</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3</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(3)</w:t>
            </w:r>
            <w:r w:rsidRPr="0048473E">
              <w:tab/>
              <w:t>Rozdíly mezi právními</w:t>
            </w:r>
            <w:r w:rsidR="0048473E" w:rsidRPr="0048473E">
              <w:t xml:space="preserve"> a </w:t>
            </w:r>
            <w:r w:rsidRPr="0048473E">
              <w:t>správními předpisy, které přijaly členské státy</w:t>
            </w:r>
            <w:r w:rsidR="0048473E" w:rsidRPr="0048473E">
              <w:t xml:space="preserve"> v </w:t>
            </w:r>
            <w:r w:rsidRPr="0048473E">
              <w:t>otázce přístupnosti výrobků</w:t>
            </w:r>
            <w:r w:rsidR="0048473E" w:rsidRPr="0048473E">
              <w:t xml:space="preserve"> a </w:t>
            </w:r>
            <w:r w:rsidRPr="0048473E">
              <w:t>služeb pro osoby</w:t>
            </w:r>
            <w:r w:rsidR="0048473E" w:rsidRPr="0048473E">
              <w:t xml:space="preserve"> s </w:t>
            </w:r>
            <w:r w:rsidRPr="0048473E">
              <w:rPr>
                <w:b/>
                <w:i/>
              </w:rPr>
              <w:t>funkčním omezením včetně osob se zdravotním postižením</w:t>
            </w:r>
            <w:r w:rsidRPr="0048473E">
              <w:t>, vytvářejí překážky volného pohybu těchto výrobků</w:t>
            </w:r>
            <w:r w:rsidR="0048473E" w:rsidRPr="0048473E">
              <w:t xml:space="preserve"> a </w:t>
            </w:r>
            <w:r w:rsidRPr="0048473E">
              <w:t>služeb</w:t>
            </w:r>
            <w:r w:rsidR="0048473E" w:rsidRPr="0048473E">
              <w:t xml:space="preserve"> a </w:t>
            </w:r>
            <w:r w:rsidRPr="0048473E">
              <w:t>narušují účinnou hospodářskou soutěž na vnitřním trhu. Obzvláště jsou těmito překážkami dotčeny hospodářské subjekty, zejména malé</w:t>
            </w:r>
            <w:r w:rsidR="0048473E" w:rsidRPr="0048473E">
              <w:t xml:space="preserve"> a </w:t>
            </w:r>
            <w:r w:rsidRPr="0048473E">
              <w:t>střední podniky.</w:t>
            </w:r>
          </w:p>
        </w:tc>
        <w:tc>
          <w:tcPr>
            <w:tcW w:w="4876" w:type="dxa"/>
            <w:hideMark/>
          </w:tcPr>
          <w:p w:rsidR="00F23F92" w:rsidRPr="0048473E" w:rsidRDefault="00F23F92" w:rsidP="00F23F92">
            <w:pPr>
              <w:pStyle w:val="Normal6"/>
              <w:rPr>
                <w:szCs w:val="24"/>
              </w:rPr>
            </w:pPr>
            <w:r w:rsidRPr="0048473E">
              <w:t>(3)</w:t>
            </w:r>
            <w:r w:rsidRPr="0048473E">
              <w:tab/>
              <w:t>Rozdíly mezi právními</w:t>
            </w:r>
            <w:r w:rsidR="0048473E" w:rsidRPr="0048473E">
              <w:t xml:space="preserve"> a </w:t>
            </w:r>
            <w:r w:rsidRPr="0048473E">
              <w:t>správními předpisy, které přijaly členské státy</w:t>
            </w:r>
            <w:r w:rsidR="0048473E" w:rsidRPr="0048473E">
              <w:t xml:space="preserve"> v </w:t>
            </w:r>
            <w:r w:rsidRPr="0048473E">
              <w:t>otázce přístupnosti výrobků</w:t>
            </w:r>
            <w:r w:rsidR="0048473E" w:rsidRPr="0048473E">
              <w:t xml:space="preserve"> a </w:t>
            </w:r>
            <w:r w:rsidRPr="0048473E">
              <w:t xml:space="preserve">služeb pro osoby </w:t>
            </w:r>
            <w:r w:rsidRPr="0048473E">
              <w:rPr>
                <w:b/>
                <w:i/>
              </w:rPr>
              <w:t>se zdravotním postižením, osoby</w:t>
            </w:r>
            <w:r w:rsidR="0048473E" w:rsidRPr="0048473E">
              <w:rPr>
                <w:b/>
                <w:i/>
              </w:rPr>
              <w:t xml:space="preserve"> s </w:t>
            </w:r>
            <w:r w:rsidRPr="0048473E">
              <w:rPr>
                <w:b/>
                <w:i/>
              </w:rPr>
              <w:t>omezením souvisejícím</w:t>
            </w:r>
            <w:r w:rsidR="0048473E" w:rsidRPr="0048473E">
              <w:rPr>
                <w:b/>
                <w:i/>
              </w:rPr>
              <w:t xml:space="preserve"> s </w:t>
            </w:r>
            <w:r w:rsidRPr="0048473E">
              <w:rPr>
                <w:b/>
                <w:i/>
              </w:rPr>
              <w:t>věkem nebo</w:t>
            </w:r>
            <w:r w:rsidR="0048473E" w:rsidRPr="0048473E">
              <w:rPr>
                <w:b/>
                <w:i/>
              </w:rPr>
              <w:t xml:space="preserve"> s </w:t>
            </w:r>
            <w:r w:rsidRPr="0048473E">
              <w:rPr>
                <w:b/>
                <w:i/>
              </w:rPr>
              <w:t>jiným omezením</w:t>
            </w:r>
            <w:r w:rsidRPr="0048473E">
              <w:t>, vytvářejí překážky volného pohybu těchto výrobků</w:t>
            </w:r>
            <w:r w:rsidR="0048473E" w:rsidRPr="0048473E">
              <w:t xml:space="preserve"> a </w:t>
            </w:r>
            <w:r w:rsidRPr="0048473E">
              <w:t>služeb</w:t>
            </w:r>
            <w:r w:rsidR="0048473E" w:rsidRPr="0048473E">
              <w:t xml:space="preserve"> a </w:t>
            </w:r>
            <w:r w:rsidRPr="0048473E">
              <w:t>narušují účinnou hospodářskou soutěž na vnitřním trhu. Obzvláště jsou těmito překážkami dotčeny hospodářské subjekty, zejména malé</w:t>
            </w:r>
            <w:r w:rsidR="0048473E" w:rsidRPr="0048473E">
              <w:t xml:space="preserve"> a </w:t>
            </w:r>
            <w:r w:rsidRPr="0048473E">
              <w:t>střední podniky.</w:t>
            </w:r>
          </w:p>
        </w:tc>
      </w:tr>
    </w:tbl>
    <w:p w:rsidR="00F23F92" w:rsidRPr="0048473E" w:rsidRDefault="00F23F92" w:rsidP="00F23F92">
      <w:pPr>
        <w:rPr>
          <w:rStyle w:val="HideTWBExt"/>
          <w:noProof w:val="0"/>
          <w:vanish w:val="0"/>
        </w:rPr>
      </w:pPr>
    </w:p>
    <w:p w:rsidR="00F23F92" w:rsidRPr="0048473E" w:rsidRDefault="00F23F92" w:rsidP="00F23F92">
      <w:r w:rsidRPr="0048473E">
        <w:rPr>
          <w:i/>
        </w:rPr>
        <w:t>Tento pozměňovací návrh se vztahuje na celý text</w:t>
      </w:r>
      <w:r w:rsidR="0048473E" w:rsidRPr="0048473E">
        <w:rPr>
          <w:i/>
        </w:rPr>
        <w:t xml:space="preserve"> a </w:t>
      </w:r>
      <w:r w:rsidRPr="0048473E">
        <w:rPr>
          <w:i/>
        </w:rPr>
        <w:t>vyžádá si odpovídající změny</w:t>
      </w:r>
      <w:r w:rsidR="0048473E" w:rsidRPr="0048473E">
        <w:rPr>
          <w:i/>
        </w:rPr>
        <w:t xml:space="preserve"> v </w:t>
      </w:r>
      <w:r w:rsidRPr="0048473E">
        <w:rPr>
          <w:i/>
        </w:rPr>
        <w:t>celém textu.</w:t>
      </w:r>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13</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Bod odůvodnění 4</w:t>
      </w:r>
      <w:r w:rsidRPr="0048473E">
        <w:rPr>
          <w:rStyle w:val="HideTWBExt"/>
          <w:b w:val="0"/>
          <w:noProof w:val="0"/>
        </w:rPr>
        <w:t>&lt;/Article&gt;</w:t>
      </w:r>
    </w:p>
    <w:p w:rsidR="00F23F92" w:rsidRPr="0048473E" w:rsidRDefault="00F23F92" w:rsidP="00F23F92"/>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(4)</w:t>
            </w:r>
            <w:r w:rsidRPr="0048473E">
              <w:tab/>
              <w:t>Rozdíly ve vnitrostátních požadavcích na přístupnost odrazují zejména individuální odborníky, malé</w:t>
            </w:r>
            <w:r w:rsidR="0048473E" w:rsidRPr="0048473E">
              <w:t xml:space="preserve"> a </w:t>
            </w:r>
            <w:r w:rsidRPr="0048473E">
              <w:t>střední podniky</w:t>
            </w:r>
            <w:r w:rsidR="0048473E" w:rsidRPr="0048473E">
              <w:t xml:space="preserve"> a </w:t>
            </w:r>
            <w:r w:rsidRPr="0048473E">
              <w:t>mikropodniky od podnikání mimo jejich vlastní domácí trhy. Vnitrostátní, či dokonce regionální nebo místní požadavky na přístupnost, které členské státy zavedly, se</w:t>
            </w:r>
            <w:r w:rsidR="0048473E" w:rsidRPr="0048473E">
              <w:t xml:space="preserve"> v </w:t>
            </w:r>
            <w:r w:rsidRPr="0048473E">
              <w:t>současné době liší co do rozsahu</w:t>
            </w:r>
            <w:r w:rsidR="0048473E" w:rsidRPr="0048473E">
              <w:t xml:space="preserve"> i </w:t>
            </w:r>
            <w:r w:rsidRPr="0048473E">
              <w:t>míry podrobnosti. Tyto rozdíly mají nepříznivý vliv na konkurenceschopnost</w:t>
            </w:r>
            <w:r w:rsidR="0048473E" w:rsidRPr="0048473E">
              <w:t xml:space="preserve"> a </w:t>
            </w:r>
            <w:r w:rsidRPr="0048473E">
              <w:t>růst,</w:t>
            </w:r>
            <w:r w:rsidR="0048473E" w:rsidRPr="0048473E">
              <w:t xml:space="preserve"> a </w:t>
            </w:r>
            <w:r w:rsidRPr="0048473E">
              <w:t>to kvůli dodatečným nákladům vzniklým při vývoji</w:t>
            </w:r>
            <w:r w:rsidR="0048473E" w:rsidRPr="0048473E">
              <w:t xml:space="preserve"> a </w:t>
            </w:r>
            <w:r w:rsidRPr="0048473E">
              <w:t>uvádění přístupných výrobků</w:t>
            </w:r>
            <w:r w:rsidR="0048473E" w:rsidRPr="0048473E">
              <w:t xml:space="preserve"> a </w:t>
            </w:r>
            <w:r w:rsidRPr="0048473E">
              <w:t>služeb na jednotlivé vnitrostátní trhy.</w:t>
            </w:r>
          </w:p>
        </w:tc>
        <w:tc>
          <w:tcPr>
            <w:tcW w:w="4876" w:type="dxa"/>
            <w:hideMark/>
          </w:tcPr>
          <w:p w:rsidR="00F23F92" w:rsidRPr="0048473E" w:rsidRDefault="00F23F92" w:rsidP="00F23F92">
            <w:pPr>
              <w:pStyle w:val="Normal6"/>
              <w:rPr>
                <w:szCs w:val="24"/>
              </w:rPr>
            </w:pPr>
            <w:r w:rsidRPr="0048473E">
              <w:t>(4)</w:t>
            </w:r>
            <w:r w:rsidRPr="0048473E">
              <w:tab/>
              <w:t>Rozdíly ve vnitrostátních požadavcích na přístupnost odrazují zejména individuální odborníky, malé</w:t>
            </w:r>
            <w:r w:rsidR="0048473E" w:rsidRPr="0048473E">
              <w:t xml:space="preserve"> a </w:t>
            </w:r>
            <w:r w:rsidRPr="0048473E">
              <w:t>střední podniky</w:t>
            </w:r>
            <w:r w:rsidR="0048473E" w:rsidRPr="0048473E">
              <w:t xml:space="preserve"> a </w:t>
            </w:r>
            <w:r w:rsidRPr="0048473E">
              <w:t>mikropodniky od podnikání mimo jejich vlastní domácí trhy. Vnitrostátní, či dokonce regionální nebo místní požadavky na přístupnost, které členské státy zavedly, se</w:t>
            </w:r>
            <w:r w:rsidR="0048473E" w:rsidRPr="0048473E">
              <w:t xml:space="preserve"> v </w:t>
            </w:r>
            <w:r w:rsidRPr="0048473E">
              <w:t>současné době liší co do rozsahu</w:t>
            </w:r>
            <w:r w:rsidR="0048473E" w:rsidRPr="0048473E">
              <w:t xml:space="preserve"> i </w:t>
            </w:r>
            <w:r w:rsidRPr="0048473E">
              <w:t>míry podrobnosti. Tyto rozdíly mají nepříznivý vliv na konkurenceschopnost</w:t>
            </w:r>
            <w:r w:rsidR="0048473E" w:rsidRPr="0048473E">
              <w:t xml:space="preserve"> a </w:t>
            </w:r>
            <w:r w:rsidRPr="0048473E">
              <w:t>růst</w:t>
            </w:r>
            <w:r w:rsidR="0048473E" w:rsidRPr="0048473E">
              <w:rPr>
                <w:b/>
                <w:i/>
              </w:rPr>
              <w:t xml:space="preserve"> a </w:t>
            </w:r>
            <w:r w:rsidRPr="0048473E">
              <w:rPr>
                <w:b/>
                <w:i/>
              </w:rPr>
              <w:t>rovněž na účast spotřebitelů</w:t>
            </w:r>
            <w:r w:rsidRPr="0048473E">
              <w:t>,</w:t>
            </w:r>
            <w:r w:rsidR="0048473E" w:rsidRPr="0048473E">
              <w:t xml:space="preserve"> a </w:t>
            </w:r>
            <w:r w:rsidRPr="0048473E">
              <w:t>to kvůli dodatečným nákladům vzniklým při vývoji</w:t>
            </w:r>
            <w:r w:rsidR="0048473E" w:rsidRPr="0048473E">
              <w:t xml:space="preserve"> a </w:t>
            </w:r>
            <w:r w:rsidRPr="0048473E">
              <w:t>uvádění přístupných výrobků</w:t>
            </w:r>
            <w:r w:rsidR="0048473E" w:rsidRPr="0048473E">
              <w:t xml:space="preserve"> a </w:t>
            </w:r>
            <w:r w:rsidRPr="0048473E">
              <w:t xml:space="preserve">služeb na jednotlivé vnitrostátní trhy. </w:t>
            </w:r>
            <w:r w:rsidRPr="0048473E">
              <w:rPr>
                <w:b/>
                <w:i/>
              </w:rPr>
              <w:t>Vnitrostátní orgány, výrobci</w:t>
            </w:r>
            <w:r w:rsidR="0048473E" w:rsidRPr="0048473E">
              <w:rPr>
                <w:b/>
                <w:i/>
              </w:rPr>
              <w:t xml:space="preserve"> a </w:t>
            </w:r>
            <w:r w:rsidRPr="0048473E">
              <w:rPr>
                <w:b/>
                <w:i/>
              </w:rPr>
              <w:t>poskytovatelé služeb se rovněž potýkají</w:t>
            </w:r>
            <w:r w:rsidR="0048473E" w:rsidRPr="0048473E">
              <w:rPr>
                <w:b/>
                <w:i/>
              </w:rPr>
              <w:t xml:space="preserve"> s </w:t>
            </w:r>
            <w:r w:rsidRPr="0048473E">
              <w:rPr>
                <w:b/>
                <w:i/>
              </w:rPr>
              <w:t>nejasnostmi týkajícími se požadavků na přístupnost možných přeshraničních služeb</w:t>
            </w:r>
            <w:r w:rsidR="0048473E" w:rsidRPr="0048473E">
              <w:rPr>
                <w:b/>
                <w:i/>
              </w:rPr>
              <w:t xml:space="preserve"> a </w:t>
            </w:r>
            <w:r w:rsidRPr="0048473E">
              <w:rPr>
                <w:b/>
                <w:i/>
              </w:rPr>
              <w:t>použitelného politického rámce upravujícího přístupnost.</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14</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4</w:t>
      </w:r>
      <w:r w:rsidR="0048473E" w:rsidRPr="0048473E">
        <w:t xml:space="preserve"> a </w:t>
      </w:r>
      <w:r w:rsidRPr="0048473E">
        <w:t>(nový)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(4a)</w:t>
            </w:r>
            <w:r w:rsidRPr="0048473E">
              <w:tab/>
            </w:r>
            <w:r w:rsidRPr="0048473E">
              <w:rPr>
                <w:b/>
                <w:i/>
              </w:rPr>
              <w:t>Malé</w:t>
            </w:r>
            <w:r w:rsidR="0048473E" w:rsidRPr="0048473E">
              <w:rPr>
                <w:b/>
                <w:i/>
              </w:rPr>
              <w:t xml:space="preserve"> a </w:t>
            </w:r>
            <w:r w:rsidRPr="0048473E">
              <w:rPr>
                <w:b/>
                <w:i/>
              </w:rPr>
              <w:t>střední podniky</w:t>
            </w:r>
            <w:r w:rsidR="0048473E" w:rsidRPr="0048473E">
              <w:rPr>
                <w:b/>
                <w:i/>
              </w:rPr>
              <w:t xml:space="preserve"> a </w:t>
            </w:r>
            <w:r w:rsidRPr="0048473E">
              <w:rPr>
                <w:b/>
                <w:i/>
              </w:rPr>
              <w:t>mikropodniky vytváří</w:t>
            </w:r>
            <w:r w:rsidR="0048473E" w:rsidRPr="0048473E">
              <w:rPr>
                <w:b/>
                <w:i/>
              </w:rPr>
              <w:t xml:space="preserve"> v </w:t>
            </w:r>
            <w:r w:rsidRPr="0048473E">
              <w:rPr>
                <w:b/>
                <w:i/>
              </w:rPr>
              <w:t>Unii většinu pracovních míst,</w:t>
            </w:r>
            <w:r w:rsidR="0048473E" w:rsidRPr="0048473E">
              <w:rPr>
                <w:b/>
                <w:i/>
              </w:rPr>
              <w:t xml:space="preserve"> a </w:t>
            </w:r>
            <w:r w:rsidRPr="0048473E">
              <w:rPr>
                <w:b/>
                <w:i/>
              </w:rPr>
              <w:t>to</w:t>
            </w:r>
            <w:r w:rsidR="0048473E" w:rsidRPr="0048473E">
              <w:rPr>
                <w:b/>
                <w:i/>
              </w:rPr>
              <w:t xml:space="preserve"> i v </w:t>
            </w:r>
            <w:r w:rsidRPr="0048473E">
              <w:rPr>
                <w:b/>
                <w:i/>
              </w:rPr>
              <w:t>případě, že se potýkají</w:t>
            </w:r>
            <w:r w:rsidR="0048473E" w:rsidRPr="0048473E">
              <w:rPr>
                <w:b/>
                <w:i/>
              </w:rPr>
              <w:t xml:space="preserve"> s </w:t>
            </w:r>
            <w:r w:rsidRPr="0048473E">
              <w:rPr>
                <w:b/>
                <w:i/>
              </w:rPr>
              <w:t>brzdami</w:t>
            </w:r>
            <w:r w:rsidR="0048473E" w:rsidRPr="0048473E">
              <w:rPr>
                <w:b/>
                <w:i/>
              </w:rPr>
              <w:t xml:space="preserve"> a </w:t>
            </w:r>
            <w:r w:rsidRPr="0048473E">
              <w:rPr>
                <w:b/>
                <w:i/>
              </w:rPr>
              <w:t>překážkami při vývoji svých produktů</w:t>
            </w:r>
            <w:r w:rsidR="0048473E" w:rsidRPr="0048473E">
              <w:rPr>
                <w:b/>
                <w:i/>
              </w:rPr>
              <w:t xml:space="preserve"> a </w:t>
            </w:r>
            <w:r w:rsidRPr="0048473E">
              <w:rPr>
                <w:b/>
                <w:i/>
              </w:rPr>
              <w:t>služeb,</w:t>
            </w:r>
            <w:r w:rsidR="0048473E" w:rsidRPr="0048473E">
              <w:rPr>
                <w:b/>
                <w:i/>
              </w:rPr>
              <w:t xml:space="preserve"> a </w:t>
            </w:r>
            <w:r w:rsidRPr="0048473E">
              <w:rPr>
                <w:b/>
                <w:i/>
              </w:rPr>
              <w:t>to zejména</w:t>
            </w:r>
            <w:r w:rsidR="0048473E" w:rsidRPr="0048473E">
              <w:rPr>
                <w:b/>
                <w:i/>
              </w:rPr>
              <w:t xml:space="preserve"> v </w:t>
            </w:r>
            <w:r w:rsidRPr="0048473E">
              <w:rPr>
                <w:b/>
                <w:i/>
              </w:rPr>
              <w:t>přeshraničním kontextu. Členské státy by proto měly malým</w:t>
            </w:r>
            <w:r w:rsidR="0048473E" w:rsidRPr="0048473E">
              <w:rPr>
                <w:b/>
                <w:i/>
              </w:rPr>
              <w:t xml:space="preserve"> a </w:t>
            </w:r>
            <w:r w:rsidRPr="0048473E">
              <w:rPr>
                <w:b/>
                <w:i/>
              </w:rPr>
              <w:t>středním podnikům</w:t>
            </w:r>
            <w:r w:rsidR="0048473E" w:rsidRPr="0048473E">
              <w:rPr>
                <w:b/>
                <w:i/>
              </w:rPr>
              <w:t xml:space="preserve"> a </w:t>
            </w:r>
            <w:r w:rsidRPr="0048473E">
              <w:rPr>
                <w:b/>
                <w:i/>
              </w:rPr>
              <w:t>mikropodnikům usnadnit práci prostřednictvím harmonizace vnitrostátních právních předpisů týkajících se přístupnosti při zachování potřebných záruk.</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15</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Bod odůvodnění 5</w:t>
      </w:r>
      <w:r w:rsidRPr="0048473E">
        <w:rPr>
          <w:rStyle w:val="HideTWBExt"/>
          <w:b w:val="0"/>
          <w:noProof w:val="0"/>
        </w:rPr>
        <w:t>&lt;/Article&gt;</w:t>
      </w:r>
    </w:p>
    <w:p w:rsidR="00F23F92" w:rsidRPr="0048473E" w:rsidRDefault="00F23F92" w:rsidP="00F23F92"/>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(5)</w:t>
            </w:r>
            <w:r w:rsidRPr="0048473E">
              <w:tab/>
              <w:t>Spotřebitelé přístupných výrobků</w:t>
            </w:r>
            <w:r w:rsidR="0048473E" w:rsidRPr="0048473E">
              <w:t xml:space="preserve"> a </w:t>
            </w:r>
            <w:r w:rsidRPr="0048473E">
              <w:t>příjemci přístupných služeb se potýkají</w:t>
            </w:r>
            <w:r w:rsidR="0048473E" w:rsidRPr="0048473E">
              <w:t xml:space="preserve"> s </w:t>
            </w:r>
            <w:r w:rsidRPr="0048473E">
              <w:t>vysokými cenami, které jsou důsledkem omezené hospodářské soutěže mezi dodavateli. Roztříštěnost vnitrostátních předpisů snižuje potenciální přínos, který by přineslo sdílení zkušeností</w:t>
            </w:r>
            <w:r w:rsidR="0048473E" w:rsidRPr="0048473E">
              <w:t xml:space="preserve"> s </w:t>
            </w:r>
            <w:r w:rsidRPr="0048473E">
              <w:t>reakcí na společenský</w:t>
            </w:r>
            <w:r w:rsidR="0048473E" w:rsidRPr="0048473E">
              <w:t xml:space="preserve"> a </w:t>
            </w:r>
            <w:r w:rsidRPr="0048473E">
              <w:t>technologický vývoj</w:t>
            </w:r>
            <w:r w:rsidR="0048473E" w:rsidRPr="0048473E">
              <w:t xml:space="preserve"> s </w:t>
            </w:r>
            <w:r w:rsidRPr="0048473E">
              <w:t>partnery na vnitrostátní</w:t>
            </w:r>
            <w:r w:rsidR="0048473E" w:rsidRPr="0048473E">
              <w:t xml:space="preserve"> a </w:t>
            </w:r>
            <w:r w:rsidRPr="0048473E">
              <w:t>mezinárodní úrovni.</w:t>
            </w:r>
          </w:p>
        </w:tc>
        <w:tc>
          <w:tcPr>
            <w:tcW w:w="4876" w:type="dxa"/>
            <w:hideMark/>
          </w:tcPr>
          <w:p w:rsidR="00F23F92" w:rsidRPr="0048473E" w:rsidRDefault="00F23F92" w:rsidP="00F23F92">
            <w:pPr>
              <w:pStyle w:val="Normal6"/>
              <w:rPr>
                <w:szCs w:val="24"/>
              </w:rPr>
            </w:pPr>
            <w:r w:rsidRPr="0048473E">
              <w:t>(5)</w:t>
            </w:r>
            <w:r w:rsidRPr="0048473E">
              <w:tab/>
              <w:t>Spotřebitelé přístupných výrobků</w:t>
            </w:r>
            <w:r w:rsidR="0048473E" w:rsidRPr="0048473E">
              <w:t xml:space="preserve"> a </w:t>
            </w:r>
            <w:r w:rsidRPr="0048473E">
              <w:t>příjemci přístupných služeb se potýkají</w:t>
            </w:r>
            <w:r w:rsidR="0048473E" w:rsidRPr="0048473E">
              <w:t xml:space="preserve"> s </w:t>
            </w:r>
            <w:r w:rsidRPr="0048473E">
              <w:t>vysokými cenami, které jsou důsledkem omezené hospodářské soutěže mezi dodavateli</w:t>
            </w:r>
            <w:r w:rsidR="0048473E" w:rsidRPr="0048473E">
              <w:rPr>
                <w:b/>
                <w:i/>
              </w:rPr>
              <w:t xml:space="preserve"> a </w:t>
            </w:r>
            <w:r w:rsidRPr="0048473E">
              <w:rPr>
                <w:b/>
                <w:i/>
              </w:rPr>
              <w:t>nedostatku společných minimálních pravidel pro přístupnost na vnitřním trhu, což vede</w:t>
            </w:r>
            <w:r w:rsidR="0048473E" w:rsidRPr="0048473E">
              <w:rPr>
                <w:b/>
                <w:i/>
              </w:rPr>
              <w:t xml:space="preserve"> k </w:t>
            </w:r>
            <w:r w:rsidRPr="0048473E">
              <w:rPr>
                <w:b/>
                <w:i/>
              </w:rPr>
              <w:t>omezení možnosti využívat těchto výrobků</w:t>
            </w:r>
            <w:r w:rsidR="0048473E" w:rsidRPr="0048473E">
              <w:rPr>
                <w:b/>
                <w:i/>
              </w:rPr>
              <w:t xml:space="preserve"> a </w:t>
            </w:r>
            <w:r w:rsidRPr="0048473E">
              <w:rPr>
                <w:b/>
                <w:i/>
              </w:rPr>
              <w:t>služeb, zejména pro osoby</w:t>
            </w:r>
            <w:r w:rsidR="0048473E" w:rsidRPr="0048473E">
              <w:rPr>
                <w:b/>
                <w:i/>
              </w:rPr>
              <w:t xml:space="preserve"> s </w:t>
            </w:r>
            <w:r w:rsidRPr="0048473E">
              <w:rPr>
                <w:b/>
                <w:i/>
              </w:rPr>
              <w:t>nižšími příjmy</w:t>
            </w:r>
            <w:r w:rsidR="0048473E" w:rsidRPr="0048473E">
              <w:rPr>
                <w:b/>
                <w:i/>
              </w:rPr>
              <w:t xml:space="preserve"> a </w:t>
            </w:r>
            <w:r w:rsidRPr="0048473E">
              <w:rPr>
                <w:b/>
                <w:i/>
              </w:rPr>
              <w:t>osoby vystavené vyššímu riziku chudoby</w:t>
            </w:r>
            <w:r w:rsidRPr="0048473E">
              <w:t>. Roztříštěnost vnitrostátních předpisů snižuje potenciální přínos, který by přineslo sdílení zkušeností</w:t>
            </w:r>
            <w:r w:rsidR="0048473E" w:rsidRPr="0048473E">
              <w:t xml:space="preserve"> s </w:t>
            </w:r>
            <w:r w:rsidRPr="0048473E">
              <w:t>reakcí na společenský</w:t>
            </w:r>
            <w:r w:rsidR="0048473E" w:rsidRPr="0048473E">
              <w:t xml:space="preserve"> a </w:t>
            </w:r>
            <w:r w:rsidRPr="0048473E">
              <w:t>technologický vývoj</w:t>
            </w:r>
            <w:r w:rsidR="0048473E" w:rsidRPr="0048473E">
              <w:t xml:space="preserve"> s </w:t>
            </w:r>
            <w:r w:rsidRPr="0048473E">
              <w:t>partnery na vnitrostátní</w:t>
            </w:r>
            <w:r w:rsidR="0048473E" w:rsidRPr="0048473E">
              <w:t xml:space="preserve"> a </w:t>
            </w:r>
            <w:r w:rsidRPr="0048473E">
              <w:t>mezinárodní úrovni.</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16</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Bod odůvodnění 6</w:t>
      </w:r>
      <w:r w:rsidRPr="0048473E">
        <w:rPr>
          <w:rStyle w:val="HideTWBExt"/>
          <w:b w:val="0"/>
          <w:noProof w:val="0"/>
        </w:rPr>
        <w:t>&lt;/Article&gt;</w:t>
      </w:r>
    </w:p>
    <w:p w:rsidR="00F23F92" w:rsidRPr="0048473E" w:rsidRDefault="00F23F92" w:rsidP="00F23F92"/>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(6)</w:t>
            </w:r>
            <w:r w:rsidRPr="0048473E">
              <w:tab/>
              <w:t>Sbližování vnitrostátních opatření na úrovni Unie je proto nezbytné pro řádné fungování vnitřního trhu, aby se ukončila roztříštěnost trhu</w:t>
            </w:r>
            <w:r w:rsidR="0048473E" w:rsidRPr="0048473E">
              <w:t xml:space="preserve"> s </w:t>
            </w:r>
            <w:r w:rsidRPr="0048473E">
              <w:t>přístupnými výrobky</w:t>
            </w:r>
            <w:r w:rsidR="0048473E" w:rsidRPr="0048473E">
              <w:t xml:space="preserve"> a </w:t>
            </w:r>
            <w:r w:rsidRPr="0048473E">
              <w:t>službami, aby se vytvořily úspory</w:t>
            </w:r>
            <w:r w:rsidR="0048473E" w:rsidRPr="0048473E">
              <w:t xml:space="preserve"> z </w:t>
            </w:r>
            <w:r w:rsidRPr="0048473E">
              <w:t>rozsahu, aby se usnadnil přeshraniční obchod</w:t>
            </w:r>
            <w:r w:rsidR="0048473E" w:rsidRPr="0048473E">
              <w:t xml:space="preserve"> a </w:t>
            </w:r>
            <w:r w:rsidRPr="0048473E">
              <w:t>mobilita, jakož</w:t>
            </w:r>
            <w:r w:rsidR="0048473E" w:rsidRPr="0048473E">
              <w:t xml:space="preserve"> i </w:t>
            </w:r>
            <w:r w:rsidRPr="0048473E">
              <w:t>aby se pomohlo hospodářským subjektům soustředit zdroje na inovace,</w:t>
            </w:r>
            <w:r w:rsidR="0048473E" w:rsidRPr="0048473E">
              <w:t xml:space="preserve"> a </w:t>
            </w:r>
            <w:r w:rsidRPr="0048473E">
              <w:t>nikoli na zajištění souladu</w:t>
            </w:r>
            <w:r w:rsidR="0048473E" w:rsidRPr="0048473E">
              <w:t xml:space="preserve"> s </w:t>
            </w:r>
            <w:r w:rsidRPr="0048473E">
              <w:t>roztříštěnými právními požadavky, které</w:t>
            </w:r>
            <w:r w:rsidR="0048473E" w:rsidRPr="0048473E">
              <w:t xml:space="preserve"> v </w:t>
            </w:r>
            <w:r w:rsidRPr="0048473E">
              <w:t>Unii panují,</w:t>
            </w:r>
            <w:r w:rsidR="0048473E" w:rsidRPr="0048473E">
              <w:t xml:space="preserve"> a k </w:t>
            </w:r>
            <w:r w:rsidRPr="0048473E">
              <w:t xml:space="preserve">zajištění volného pohybu osob se zdravotním postižením. </w:t>
            </w:r>
          </w:p>
        </w:tc>
        <w:tc>
          <w:tcPr>
            <w:tcW w:w="4876" w:type="dxa"/>
            <w:hideMark/>
          </w:tcPr>
          <w:p w:rsidR="00F23F92" w:rsidRPr="0048473E" w:rsidRDefault="00F23F92" w:rsidP="00F23F92">
            <w:pPr>
              <w:pStyle w:val="Normal6"/>
              <w:rPr>
                <w:szCs w:val="24"/>
              </w:rPr>
            </w:pPr>
            <w:r w:rsidRPr="0048473E">
              <w:t>(6)</w:t>
            </w:r>
            <w:r w:rsidRPr="0048473E">
              <w:tab/>
              <w:t>Sbližování vnitrostátních opatření na úrovni Unie je proto nezbytné pro řádné fungování vnitřního trhu, aby se ukončila roztříštěnost trhu</w:t>
            </w:r>
            <w:r w:rsidR="0048473E" w:rsidRPr="0048473E">
              <w:t xml:space="preserve"> s </w:t>
            </w:r>
            <w:r w:rsidRPr="0048473E">
              <w:t>přístupnými výrobky</w:t>
            </w:r>
            <w:r w:rsidR="0048473E" w:rsidRPr="0048473E">
              <w:t xml:space="preserve"> a </w:t>
            </w:r>
            <w:r w:rsidRPr="0048473E">
              <w:t xml:space="preserve">službami, aby se </w:t>
            </w:r>
            <w:r w:rsidRPr="0048473E">
              <w:rPr>
                <w:b/>
                <w:i/>
              </w:rPr>
              <w:t>přispělo</w:t>
            </w:r>
            <w:r w:rsidR="0048473E" w:rsidRPr="0048473E">
              <w:rPr>
                <w:b/>
                <w:i/>
              </w:rPr>
              <w:t xml:space="preserve"> k </w:t>
            </w:r>
            <w:r w:rsidRPr="0048473E">
              <w:rPr>
                <w:b/>
                <w:i/>
              </w:rPr>
              <w:t xml:space="preserve">vytvoření pracovních míst, aby se </w:t>
            </w:r>
            <w:r w:rsidRPr="0048473E">
              <w:t>vytvořily úspory</w:t>
            </w:r>
            <w:r w:rsidR="0048473E" w:rsidRPr="0048473E">
              <w:t xml:space="preserve"> z </w:t>
            </w:r>
            <w:r w:rsidRPr="0048473E">
              <w:t>rozsahu, aby se usnadnil přeshraniční obchod</w:t>
            </w:r>
            <w:r w:rsidR="0048473E" w:rsidRPr="0048473E">
              <w:t xml:space="preserve"> a </w:t>
            </w:r>
            <w:r w:rsidRPr="0048473E">
              <w:t xml:space="preserve">mobilita, </w:t>
            </w:r>
            <w:r w:rsidRPr="0048473E">
              <w:rPr>
                <w:b/>
                <w:i/>
              </w:rPr>
              <w:t>omezily přeshraniční překážky</w:t>
            </w:r>
            <w:r w:rsidR="0048473E" w:rsidRPr="0048473E">
              <w:rPr>
                <w:b/>
                <w:i/>
              </w:rPr>
              <w:t xml:space="preserve"> a </w:t>
            </w:r>
            <w:r w:rsidRPr="0048473E">
              <w:rPr>
                <w:b/>
                <w:i/>
              </w:rPr>
              <w:t xml:space="preserve">aby se těmto překážkám předcházelo, </w:t>
            </w:r>
            <w:r w:rsidRPr="0048473E">
              <w:t>jakož</w:t>
            </w:r>
            <w:r w:rsidR="0048473E" w:rsidRPr="0048473E">
              <w:t xml:space="preserve"> i </w:t>
            </w:r>
            <w:r w:rsidRPr="0048473E">
              <w:t>aby se pomohlo hospodářským subjektům soustředit zdroje na inovace</w:t>
            </w:r>
            <w:r w:rsidR="0048473E" w:rsidRPr="0048473E">
              <w:rPr>
                <w:b/>
                <w:i/>
              </w:rPr>
              <w:t xml:space="preserve"> a </w:t>
            </w:r>
            <w:r w:rsidRPr="0048473E">
              <w:rPr>
                <w:b/>
                <w:i/>
              </w:rPr>
              <w:t>jejich další hospodářský rozvoj</w:t>
            </w:r>
            <w:r w:rsidRPr="0048473E">
              <w:t>,</w:t>
            </w:r>
            <w:r w:rsidR="0048473E" w:rsidRPr="0048473E">
              <w:t xml:space="preserve"> a </w:t>
            </w:r>
            <w:r w:rsidRPr="0048473E">
              <w:t>nikoli na zajištění souladu</w:t>
            </w:r>
            <w:r w:rsidR="0048473E" w:rsidRPr="0048473E">
              <w:t xml:space="preserve"> s </w:t>
            </w:r>
            <w:r w:rsidRPr="0048473E">
              <w:t>roztříštěnými právními požadavky, které</w:t>
            </w:r>
            <w:r w:rsidR="0048473E" w:rsidRPr="0048473E">
              <w:t xml:space="preserve"> v </w:t>
            </w:r>
            <w:r w:rsidRPr="0048473E">
              <w:t>Unii panují,</w:t>
            </w:r>
            <w:r w:rsidR="0048473E" w:rsidRPr="0048473E">
              <w:t xml:space="preserve"> a k </w:t>
            </w:r>
            <w:r w:rsidRPr="0048473E">
              <w:t>zajištění volného pohybu osob se zdravotním postižením.</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17</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Bod odůvodnění 9</w:t>
      </w:r>
      <w:r w:rsidRPr="0048473E">
        <w:rPr>
          <w:rStyle w:val="HideTWBExt"/>
          <w:b w:val="0"/>
          <w:noProof w:val="0"/>
        </w:rPr>
        <w:t>&lt;/Article&gt;</w:t>
      </w:r>
    </w:p>
    <w:p w:rsidR="00F23F92" w:rsidRPr="0048473E" w:rsidRDefault="00F23F92" w:rsidP="00F23F92"/>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(9)</w:t>
            </w:r>
            <w:r w:rsidRPr="0048473E">
              <w:tab/>
              <w:t>Tato směrnice respektuje základní práva</w:t>
            </w:r>
            <w:r w:rsidR="0048473E" w:rsidRPr="0048473E">
              <w:t xml:space="preserve"> a </w:t>
            </w:r>
            <w:r w:rsidRPr="0048473E">
              <w:t xml:space="preserve">ctí zásady uznávané zejména Listinou základních práv Evropské unie. Jejím cílem je především zajistit, aby bylo plně respektováno právo osob se zdravotním postižením využívat opatření, jejichž cílem je zajistit jejich nezávislost, </w:t>
            </w:r>
            <w:r w:rsidRPr="0048473E">
              <w:rPr>
                <w:b/>
                <w:i/>
              </w:rPr>
              <w:t>sociální</w:t>
            </w:r>
            <w:r w:rsidR="0048473E" w:rsidRPr="0048473E">
              <w:t xml:space="preserve"> a </w:t>
            </w:r>
            <w:r w:rsidRPr="0048473E">
              <w:t>profesní začlenění</w:t>
            </w:r>
            <w:r w:rsidR="0048473E" w:rsidRPr="0048473E">
              <w:t xml:space="preserve"> a </w:t>
            </w:r>
            <w:r w:rsidRPr="0048473E">
              <w:t>jejich účast na životě společnosti,</w:t>
            </w:r>
            <w:r w:rsidR="0048473E" w:rsidRPr="0048473E">
              <w:t xml:space="preserve"> a </w:t>
            </w:r>
            <w:r w:rsidRPr="0048473E">
              <w:t xml:space="preserve">podpořit uplatňování </w:t>
            </w:r>
            <w:r w:rsidRPr="0048473E">
              <w:rPr>
                <w:b/>
                <w:i/>
              </w:rPr>
              <w:t>článku</w:t>
            </w:r>
            <w:r w:rsidRPr="0048473E">
              <w:t xml:space="preserve"> 26 Listiny základních práv Evropské unie.</w:t>
            </w:r>
          </w:p>
        </w:tc>
        <w:tc>
          <w:tcPr>
            <w:tcW w:w="4876" w:type="dxa"/>
          </w:tcPr>
          <w:p w:rsidR="00F23F92" w:rsidRPr="0048473E" w:rsidRDefault="00F23F92" w:rsidP="00F23F92">
            <w:pPr>
              <w:pStyle w:val="Normal6"/>
              <w:rPr>
                <w:szCs w:val="24"/>
              </w:rPr>
            </w:pPr>
            <w:r w:rsidRPr="0048473E">
              <w:t>(9)</w:t>
            </w:r>
            <w:r w:rsidRPr="0048473E">
              <w:tab/>
              <w:t>Tato směrnice respektuje základní práva</w:t>
            </w:r>
            <w:r w:rsidR="0048473E" w:rsidRPr="0048473E">
              <w:t xml:space="preserve"> a </w:t>
            </w:r>
            <w:r w:rsidRPr="0048473E">
              <w:t>ctí zásady uznávané zejména Listinou základních práv Evropské unie. Jejím cílem je především zajistit, aby bylo plně respektováno právo osob se zdravotním postižením</w:t>
            </w:r>
            <w:r w:rsidR="0048473E" w:rsidRPr="0048473E">
              <w:t xml:space="preserve"> a </w:t>
            </w:r>
            <w:r w:rsidRPr="0048473E">
              <w:rPr>
                <w:b/>
                <w:i/>
              </w:rPr>
              <w:t>osob</w:t>
            </w:r>
            <w:r w:rsidR="0048473E" w:rsidRPr="0048473E">
              <w:rPr>
                <w:b/>
                <w:i/>
              </w:rPr>
              <w:t xml:space="preserve"> s </w:t>
            </w:r>
            <w:r w:rsidRPr="0048473E">
              <w:rPr>
                <w:b/>
                <w:i/>
              </w:rPr>
              <w:t>omezením souvisejícím</w:t>
            </w:r>
            <w:r w:rsidR="0048473E" w:rsidRPr="0048473E">
              <w:rPr>
                <w:b/>
                <w:i/>
              </w:rPr>
              <w:t xml:space="preserve"> s </w:t>
            </w:r>
            <w:r w:rsidRPr="0048473E">
              <w:rPr>
                <w:b/>
                <w:i/>
              </w:rPr>
              <w:t>věkem nebo jiným omezením týkajícím se hlediska rovnosti žen</w:t>
            </w:r>
            <w:r w:rsidR="0048473E" w:rsidRPr="0048473E">
              <w:rPr>
                <w:b/>
                <w:i/>
              </w:rPr>
              <w:t xml:space="preserve"> a </w:t>
            </w:r>
            <w:r w:rsidRPr="0048473E">
              <w:rPr>
                <w:b/>
                <w:i/>
              </w:rPr>
              <w:t xml:space="preserve">mužů, aby mohly </w:t>
            </w:r>
            <w:r w:rsidRPr="0048473E">
              <w:t>využívat opatření, jejichž cílem je zajistit jejich nezávislost, profesní začlenění</w:t>
            </w:r>
            <w:r w:rsidR="0048473E" w:rsidRPr="0048473E">
              <w:t xml:space="preserve"> a </w:t>
            </w:r>
            <w:r w:rsidRPr="0048473E">
              <w:t>účast na životě společnosti,</w:t>
            </w:r>
            <w:r w:rsidR="0048473E" w:rsidRPr="0048473E">
              <w:t xml:space="preserve"> a </w:t>
            </w:r>
            <w:r w:rsidRPr="0048473E">
              <w:t xml:space="preserve">podpořit uplatňování </w:t>
            </w:r>
            <w:r w:rsidRPr="0048473E">
              <w:rPr>
                <w:b/>
                <w:i/>
              </w:rPr>
              <w:t>článků 25</w:t>
            </w:r>
            <w:r w:rsidR="0048473E" w:rsidRPr="0048473E">
              <w:rPr>
                <w:b/>
                <w:i/>
              </w:rPr>
              <w:t xml:space="preserve"> a </w:t>
            </w:r>
            <w:r w:rsidRPr="0048473E">
              <w:t>26 Listiny základních práv Evropské unie.</w:t>
            </w:r>
          </w:p>
        </w:tc>
      </w:tr>
      <w:tr w:rsidR="00F23F92" w:rsidRPr="0048473E" w:rsidTr="00F23F92">
        <w:trPr>
          <w:jc w:val="center"/>
        </w:trPr>
        <w:tc>
          <w:tcPr>
            <w:tcW w:w="4876" w:type="dxa"/>
          </w:tcPr>
          <w:p w:rsidR="00F23F92" w:rsidRPr="0048473E" w:rsidRDefault="00F23F92" w:rsidP="00F23F92">
            <w:pPr>
              <w:pStyle w:val="Normal6"/>
              <w:rPr>
                <w:i/>
                <w:iCs/>
              </w:rPr>
            </w:pPr>
          </w:p>
        </w:tc>
        <w:tc>
          <w:tcPr>
            <w:tcW w:w="4876" w:type="dxa"/>
          </w:tcPr>
          <w:p w:rsidR="00F23F92" w:rsidRPr="0048473E" w:rsidRDefault="00F23F92" w:rsidP="00F23F92">
            <w:pPr>
              <w:pStyle w:val="Normal6"/>
              <w:rPr>
                <w:i/>
                <w:iCs/>
              </w:rPr>
            </w:pPr>
            <w:r w:rsidRPr="0048473E">
              <w:rPr>
                <w:i/>
              </w:rPr>
              <w:t>(První část tohoto pozměňujícího návrhu (definice „osoby se zdravotním postižením“ se mění na „osoby se zdravotním postižením</w:t>
            </w:r>
            <w:r w:rsidR="0048473E" w:rsidRPr="0048473E">
              <w:rPr>
                <w:i/>
              </w:rPr>
              <w:t xml:space="preserve"> a </w:t>
            </w:r>
            <w:r w:rsidRPr="0048473E">
              <w:rPr>
                <w:i/>
              </w:rPr>
              <w:t>osoby</w:t>
            </w:r>
            <w:r w:rsidR="0048473E" w:rsidRPr="0048473E">
              <w:rPr>
                <w:i/>
              </w:rPr>
              <w:t xml:space="preserve"> s </w:t>
            </w:r>
            <w:r w:rsidRPr="0048473E">
              <w:rPr>
                <w:i/>
              </w:rPr>
              <w:t>omezením souvisejícím</w:t>
            </w:r>
            <w:r w:rsidR="0048473E" w:rsidRPr="0048473E">
              <w:rPr>
                <w:i/>
              </w:rPr>
              <w:t xml:space="preserve"> s </w:t>
            </w:r>
            <w:r w:rsidRPr="0048473E">
              <w:rPr>
                <w:i/>
              </w:rPr>
              <w:t>věkem nebo jiným omezením“) se vztahuje na celý text</w:t>
            </w:r>
            <w:r w:rsidR="0048473E" w:rsidRPr="0048473E">
              <w:rPr>
                <w:i/>
              </w:rPr>
              <w:t xml:space="preserve"> a </w:t>
            </w:r>
            <w:r w:rsidRPr="0048473E">
              <w:rPr>
                <w:i/>
              </w:rPr>
              <w:t>vyžádá si odpovídající změny</w:t>
            </w:r>
            <w:r w:rsidR="0048473E" w:rsidRPr="0048473E">
              <w:rPr>
                <w:i/>
              </w:rPr>
              <w:t xml:space="preserve"> v </w:t>
            </w:r>
            <w:r w:rsidRPr="0048473E">
              <w:rPr>
                <w:i/>
              </w:rPr>
              <w:t>celém textu.)</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18</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9</w:t>
      </w:r>
      <w:r w:rsidR="0048473E" w:rsidRPr="0048473E">
        <w:t xml:space="preserve"> a </w:t>
      </w:r>
      <w:r w:rsidRPr="0048473E">
        <w:t>(nový)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(9a)</w:t>
            </w:r>
            <w:r w:rsidRPr="0048473E">
              <w:tab/>
            </w:r>
            <w:r w:rsidRPr="0048473E">
              <w:rPr>
                <w:b/>
                <w:i/>
              </w:rPr>
              <w:t>Výskyt zdravotního postižení</w:t>
            </w:r>
            <w:r w:rsidR="0048473E" w:rsidRPr="0048473E">
              <w:rPr>
                <w:b/>
                <w:i/>
              </w:rPr>
              <w:t xml:space="preserve"> v </w:t>
            </w:r>
            <w:r w:rsidRPr="0048473E">
              <w:rPr>
                <w:b/>
                <w:i/>
              </w:rPr>
              <w:t>Evropské unii je</w:t>
            </w:r>
            <w:r w:rsidR="0048473E" w:rsidRPr="0048473E">
              <w:rPr>
                <w:b/>
                <w:i/>
              </w:rPr>
              <w:t xml:space="preserve"> u </w:t>
            </w:r>
            <w:r w:rsidRPr="0048473E">
              <w:rPr>
                <w:b/>
                <w:i/>
              </w:rPr>
              <w:t>žen vyšší než</w:t>
            </w:r>
            <w:r w:rsidR="0048473E" w:rsidRPr="0048473E">
              <w:rPr>
                <w:b/>
                <w:i/>
              </w:rPr>
              <w:t xml:space="preserve"> u </w:t>
            </w:r>
            <w:r w:rsidRPr="0048473E">
              <w:rPr>
                <w:b/>
                <w:i/>
              </w:rPr>
              <w:t>mužů; ženy se zdravotním postižením se potýkají</w:t>
            </w:r>
            <w:r w:rsidR="0048473E" w:rsidRPr="0048473E">
              <w:rPr>
                <w:b/>
                <w:i/>
              </w:rPr>
              <w:t xml:space="preserve"> s </w:t>
            </w:r>
            <w:r w:rsidRPr="0048473E">
              <w:rPr>
                <w:b/>
                <w:i/>
              </w:rPr>
              <w:t>vícenásobnou diskriminací, čelí značným překážkám při využívání svých základních práv</w:t>
            </w:r>
            <w:r w:rsidR="0048473E" w:rsidRPr="0048473E">
              <w:rPr>
                <w:b/>
                <w:i/>
              </w:rPr>
              <w:t xml:space="preserve"> a </w:t>
            </w:r>
            <w:r w:rsidRPr="0048473E">
              <w:rPr>
                <w:b/>
                <w:i/>
              </w:rPr>
              <w:t>svobod, jako je fyzické, emocionální, sexuální, hospodářské</w:t>
            </w:r>
            <w:r w:rsidR="0048473E" w:rsidRPr="0048473E">
              <w:rPr>
                <w:b/>
                <w:i/>
              </w:rPr>
              <w:t xml:space="preserve"> a </w:t>
            </w:r>
            <w:r w:rsidRPr="0048473E">
              <w:rPr>
                <w:b/>
                <w:i/>
              </w:rPr>
              <w:t>institucionální násilí, diskriminace</w:t>
            </w:r>
            <w:r w:rsidR="0048473E" w:rsidRPr="0048473E">
              <w:rPr>
                <w:b/>
                <w:i/>
              </w:rPr>
              <w:t xml:space="preserve"> v </w:t>
            </w:r>
            <w:r w:rsidRPr="0048473E">
              <w:rPr>
                <w:b/>
                <w:i/>
              </w:rPr>
              <w:t>přístupu ke vzdělávání</w:t>
            </w:r>
            <w:r w:rsidR="0048473E" w:rsidRPr="0048473E">
              <w:rPr>
                <w:b/>
                <w:i/>
              </w:rPr>
              <w:t xml:space="preserve"> a </w:t>
            </w:r>
            <w:r w:rsidRPr="0048473E">
              <w:rPr>
                <w:b/>
                <w:i/>
              </w:rPr>
              <w:t>zaměstnání, což může vést ke společenské izolaci</w:t>
            </w:r>
            <w:r w:rsidR="0048473E" w:rsidRPr="0048473E">
              <w:rPr>
                <w:b/>
                <w:i/>
              </w:rPr>
              <w:t xml:space="preserve"> a </w:t>
            </w:r>
            <w:r w:rsidRPr="0048473E">
              <w:rPr>
                <w:b/>
                <w:i/>
              </w:rPr>
              <w:t>psychickému traumatu; žen se zdravotní postižení neúměrně dotýká také proto, že pečují</w:t>
            </w:r>
            <w:r w:rsidR="0048473E" w:rsidRPr="0048473E">
              <w:rPr>
                <w:b/>
                <w:i/>
              </w:rPr>
              <w:t xml:space="preserve"> o </w:t>
            </w:r>
            <w:r w:rsidRPr="0048473E">
              <w:rPr>
                <w:b/>
                <w:i/>
              </w:rPr>
              <w:t>rodinné přísl</w:t>
            </w:r>
            <w:r w:rsidR="00600C3B">
              <w:rPr>
                <w:b/>
                <w:i/>
              </w:rPr>
              <w:t>ušníky se zdravotním postižením</w:t>
            </w:r>
            <w:r w:rsidR="0048473E" w:rsidRPr="0048473E">
              <w:rPr>
                <w:b/>
                <w:i/>
              </w:rPr>
              <w:t xml:space="preserve"> a </w:t>
            </w:r>
            <w:r w:rsidRPr="0048473E">
              <w:rPr>
                <w:b/>
                <w:i/>
              </w:rPr>
              <w:t>potýkají se</w:t>
            </w:r>
            <w:r w:rsidR="0048473E" w:rsidRPr="0048473E">
              <w:rPr>
                <w:b/>
                <w:i/>
              </w:rPr>
              <w:t xml:space="preserve"> s </w:t>
            </w:r>
            <w:r w:rsidRPr="0048473E">
              <w:rPr>
                <w:b/>
                <w:i/>
              </w:rPr>
              <w:t>přidruženou diskriminací častěji než muži; vzhledem</w:t>
            </w:r>
            <w:r w:rsidR="0048473E" w:rsidRPr="0048473E">
              <w:rPr>
                <w:b/>
                <w:i/>
              </w:rPr>
              <w:t xml:space="preserve"> k </w:t>
            </w:r>
            <w:r w:rsidRPr="0048473E">
              <w:rPr>
                <w:b/>
                <w:i/>
              </w:rPr>
              <w:t>tomu, že rovné zacházení</w:t>
            </w:r>
            <w:r w:rsidR="0048473E" w:rsidRPr="0048473E">
              <w:rPr>
                <w:b/>
                <w:i/>
              </w:rPr>
              <w:t xml:space="preserve"> a </w:t>
            </w:r>
            <w:r w:rsidRPr="0048473E">
              <w:rPr>
                <w:b/>
                <w:i/>
              </w:rPr>
              <w:t>pozitivní opatření</w:t>
            </w:r>
            <w:r w:rsidR="0048473E" w:rsidRPr="0048473E">
              <w:rPr>
                <w:b/>
                <w:i/>
              </w:rPr>
              <w:t xml:space="preserve"> a </w:t>
            </w:r>
            <w:r w:rsidRPr="0048473E">
              <w:rPr>
                <w:b/>
                <w:i/>
              </w:rPr>
              <w:t>politiky pro ženy se zdravotním postižením</w:t>
            </w:r>
            <w:r w:rsidR="0048473E" w:rsidRPr="0048473E">
              <w:rPr>
                <w:b/>
                <w:i/>
              </w:rPr>
              <w:t xml:space="preserve"> a </w:t>
            </w:r>
            <w:r w:rsidRPr="0048473E">
              <w:rPr>
                <w:b/>
                <w:i/>
              </w:rPr>
              <w:t>matky dětí se zdravotním postižením jsou základním lidským právem</w:t>
            </w:r>
            <w:r w:rsidR="0048473E" w:rsidRPr="0048473E">
              <w:rPr>
                <w:b/>
                <w:i/>
              </w:rPr>
              <w:t xml:space="preserve"> a </w:t>
            </w:r>
            <w:r w:rsidRPr="0048473E">
              <w:rPr>
                <w:b/>
                <w:i/>
              </w:rPr>
              <w:t>etickým závazkem.</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19</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Bod odůvodnění 10</w:t>
      </w:r>
      <w:r w:rsidRPr="0048473E">
        <w:rPr>
          <w:rStyle w:val="HideTWBExt"/>
          <w:b w:val="0"/>
          <w:noProof w:val="0"/>
        </w:rPr>
        <w:t>&lt;/Article&gt;</w:t>
      </w:r>
    </w:p>
    <w:p w:rsidR="00F23F92" w:rsidRPr="0048473E" w:rsidRDefault="00F23F92" w:rsidP="00F23F92"/>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(10)</w:t>
            </w:r>
            <w:r w:rsidRPr="0048473E">
              <w:tab/>
              <w:t>Hlavním cílem „Strategie pro jednotný digitální trh“ je zajistit udržitelný hospodářský</w:t>
            </w:r>
            <w:r w:rsidR="0048473E" w:rsidRPr="0048473E">
              <w:t xml:space="preserve"> a </w:t>
            </w:r>
            <w:r w:rsidRPr="0048473E">
              <w:t>sociální přínos propojeného jednotného digitálního trhu. Spotřebitelé</w:t>
            </w:r>
            <w:r w:rsidR="0048473E" w:rsidRPr="0048473E">
              <w:t xml:space="preserve"> v </w:t>
            </w:r>
            <w:r w:rsidRPr="0048473E">
              <w:t>Unii dosud nemohou plně využít cen</w:t>
            </w:r>
            <w:r w:rsidR="0048473E" w:rsidRPr="0048473E">
              <w:t xml:space="preserve"> a </w:t>
            </w:r>
            <w:r w:rsidRPr="0048473E">
              <w:t>možností výběru, které jednotný trh může nabídnout, neboť přeshraniční online transakce jsou stále velmi omezené. Roztříštěnost rovněž omezuje poptávku po přeshraničních transakcích</w:t>
            </w:r>
            <w:r w:rsidR="0048473E" w:rsidRPr="0048473E">
              <w:t xml:space="preserve"> v </w:t>
            </w:r>
            <w:r w:rsidRPr="0048473E">
              <w:t>elektronickém obchodu. Koordinovaná akce je také zapotřebí</w:t>
            </w:r>
            <w:r w:rsidR="0048473E" w:rsidRPr="0048473E">
              <w:t xml:space="preserve"> k </w:t>
            </w:r>
            <w:r w:rsidRPr="0048473E">
              <w:t>tomu, aby bylo možné zajistit, že nový elektronický obsah bude plně dostupný osobám</w:t>
            </w:r>
            <w:r w:rsidR="0048473E" w:rsidRPr="0048473E">
              <w:t xml:space="preserve"> s </w:t>
            </w:r>
            <w:r w:rsidRPr="0048473E">
              <w:t>postižením. Proto je nezbytné harmonizovat požadavky na přístupnost na jednotném digitálním trhu</w:t>
            </w:r>
            <w:r w:rsidR="0048473E" w:rsidRPr="0048473E">
              <w:t xml:space="preserve"> a </w:t>
            </w:r>
            <w:r w:rsidRPr="0048473E">
              <w:t xml:space="preserve">zajistit, aby jeho výhod mohli využívat všichni občané Unie, bez ohledu na jejich schopnosti. </w:t>
            </w:r>
          </w:p>
        </w:tc>
        <w:tc>
          <w:tcPr>
            <w:tcW w:w="4876" w:type="dxa"/>
            <w:hideMark/>
          </w:tcPr>
          <w:p w:rsidR="00F23F92" w:rsidRPr="0048473E" w:rsidRDefault="00F23F92" w:rsidP="00F23F92">
            <w:pPr>
              <w:pStyle w:val="Normal6"/>
              <w:rPr>
                <w:szCs w:val="24"/>
              </w:rPr>
            </w:pPr>
            <w:r w:rsidRPr="0048473E">
              <w:t>(10)</w:t>
            </w:r>
            <w:r w:rsidRPr="0048473E">
              <w:tab/>
              <w:t>Hlavním cílem „Strategie pro jednotný digitální trh“ je zajistit udržitelný hospodářský</w:t>
            </w:r>
            <w:r w:rsidR="0048473E" w:rsidRPr="0048473E">
              <w:t xml:space="preserve"> a </w:t>
            </w:r>
            <w:r w:rsidRPr="0048473E">
              <w:t>sociální přínos propojeného jednotného digitálního trhu</w:t>
            </w:r>
            <w:r w:rsidRPr="0048473E">
              <w:rPr>
                <w:b/>
                <w:i/>
              </w:rPr>
              <w:t>, usnadnit obchod</w:t>
            </w:r>
            <w:r w:rsidR="0048473E" w:rsidRPr="0048473E">
              <w:rPr>
                <w:b/>
                <w:i/>
              </w:rPr>
              <w:t xml:space="preserve"> a </w:t>
            </w:r>
            <w:r w:rsidRPr="0048473E">
              <w:rPr>
                <w:b/>
                <w:i/>
              </w:rPr>
              <w:t>podpořit zaměstnanost</w:t>
            </w:r>
            <w:r w:rsidR="0048473E" w:rsidRPr="0048473E">
              <w:rPr>
                <w:b/>
                <w:i/>
              </w:rPr>
              <w:t xml:space="preserve"> v </w:t>
            </w:r>
            <w:r w:rsidRPr="0048473E">
              <w:rPr>
                <w:b/>
                <w:i/>
              </w:rPr>
              <w:t>rámci Unie</w:t>
            </w:r>
            <w:r w:rsidRPr="0048473E">
              <w:t>. Spotřebitelé</w:t>
            </w:r>
            <w:r w:rsidR="0048473E" w:rsidRPr="0048473E">
              <w:t xml:space="preserve"> v </w:t>
            </w:r>
            <w:r w:rsidRPr="0048473E">
              <w:t>Unii dosud nemohou plně využít cen</w:t>
            </w:r>
            <w:r w:rsidR="0048473E" w:rsidRPr="0048473E">
              <w:t xml:space="preserve"> a </w:t>
            </w:r>
            <w:r w:rsidRPr="0048473E">
              <w:t>možností výběru, které jednotný trh může nabídnout, neboť přeshraniční online transakce jsou stále velmi omezené. Roztříštěnost rovněž omezuje poptávku po přeshraničních transakcích</w:t>
            </w:r>
            <w:r w:rsidR="0048473E" w:rsidRPr="0048473E">
              <w:t xml:space="preserve"> v </w:t>
            </w:r>
            <w:r w:rsidRPr="0048473E">
              <w:t>elektronickém obchodu. Koordinovaná akce je také zapotřebí</w:t>
            </w:r>
            <w:r w:rsidR="0048473E" w:rsidRPr="0048473E">
              <w:t xml:space="preserve"> k </w:t>
            </w:r>
            <w:r w:rsidRPr="0048473E">
              <w:t>tomu, aby bylo možné zajistit, že nový elektronický obsah bude plně dostupný osobám</w:t>
            </w:r>
            <w:r w:rsidR="0048473E" w:rsidRPr="0048473E">
              <w:t xml:space="preserve"> s </w:t>
            </w:r>
            <w:r w:rsidRPr="0048473E">
              <w:t>postižením</w:t>
            </w:r>
            <w:r w:rsidR="0048473E" w:rsidRPr="0048473E">
              <w:rPr>
                <w:b/>
                <w:i/>
              </w:rPr>
              <w:t xml:space="preserve"> a </w:t>
            </w:r>
            <w:r w:rsidRPr="0048473E">
              <w:rPr>
                <w:b/>
                <w:i/>
              </w:rPr>
              <w:t>osobám</w:t>
            </w:r>
            <w:r w:rsidR="0048473E" w:rsidRPr="0048473E">
              <w:rPr>
                <w:b/>
                <w:i/>
              </w:rPr>
              <w:t xml:space="preserve"> s </w:t>
            </w:r>
            <w:r w:rsidRPr="0048473E">
              <w:rPr>
                <w:b/>
                <w:i/>
              </w:rPr>
              <w:t>omezením souvisejícím</w:t>
            </w:r>
            <w:r w:rsidR="0048473E" w:rsidRPr="0048473E">
              <w:rPr>
                <w:b/>
                <w:i/>
              </w:rPr>
              <w:t xml:space="preserve"> s </w:t>
            </w:r>
            <w:r w:rsidRPr="0048473E">
              <w:rPr>
                <w:b/>
                <w:i/>
              </w:rPr>
              <w:t>věkem nebo jiným omezením</w:t>
            </w:r>
            <w:r w:rsidRPr="0048473E">
              <w:t>. Proto je nezbytné harmonizovat požadavky na přístupnost na jednotném digitálním trhu</w:t>
            </w:r>
            <w:r w:rsidR="0048473E" w:rsidRPr="0048473E">
              <w:t xml:space="preserve"> a </w:t>
            </w:r>
            <w:r w:rsidRPr="0048473E">
              <w:t>zajistit, aby jeho výhod mohli využívat všichni občané Unie, bez ohledu na jejich schopnosti.</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20</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Bod odůvodnění 12</w:t>
      </w:r>
      <w:r w:rsidR="0048473E" w:rsidRPr="0048473E">
        <w:t xml:space="preserve"> a </w:t>
      </w:r>
      <w:r w:rsidRPr="0048473E">
        <w:t>(nový)</w:t>
      </w:r>
      <w:r w:rsidRPr="0048473E">
        <w:rPr>
          <w:rStyle w:val="HideTWBExt"/>
          <w:b w:val="0"/>
          <w:noProof w:val="0"/>
        </w:rPr>
        <w:t>&lt;/Article&gt;</w:t>
      </w:r>
    </w:p>
    <w:p w:rsidR="00F23F92" w:rsidRPr="0048473E" w:rsidRDefault="00F23F92" w:rsidP="00F23F92"/>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(12a)</w:t>
            </w:r>
            <w:r w:rsidRPr="0048473E">
              <w:tab/>
            </w:r>
            <w:r w:rsidRPr="0048473E">
              <w:rPr>
                <w:b/>
                <w:i/>
              </w:rPr>
              <w:t>V článku 6 Úmluvy OSN</w:t>
            </w:r>
            <w:r w:rsidR="0048473E" w:rsidRPr="0048473E">
              <w:rPr>
                <w:b/>
                <w:i/>
              </w:rPr>
              <w:t xml:space="preserve"> o </w:t>
            </w:r>
            <w:r w:rsidRPr="0048473E">
              <w:rPr>
                <w:b/>
                <w:i/>
              </w:rPr>
              <w:t>právech osob se zdravotním postižením se vyžaduje, aby strany přijaly veškerá vhodná opatření</w:t>
            </w:r>
            <w:r w:rsidR="0048473E" w:rsidRPr="0048473E">
              <w:rPr>
                <w:b/>
                <w:i/>
              </w:rPr>
              <w:t xml:space="preserve"> k </w:t>
            </w:r>
            <w:r w:rsidRPr="0048473E">
              <w:rPr>
                <w:b/>
                <w:i/>
              </w:rPr>
              <w:t>zajištění plného rozvoje, pokroku</w:t>
            </w:r>
            <w:r w:rsidR="0048473E" w:rsidRPr="0048473E">
              <w:rPr>
                <w:b/>
                <w:i/>
              </w:rPr>
              <w:t xml:space="preserve"> a </w:t>
            </w:r>
            <w:r w:rsidRPr="0048473E">
              <w:rPr>
                <w:b/>
                <w:i/>
              </w:rPr>
              <w:t>posilování postavení žen, přičemž článek 9 uznává, že musí být přijata vhodná opatření pro zajištění skutečného přístupu dívek</w:t>
            </w:r>
            <w:r w:rsidR="0048473E" w:rsidRPr="0048473E">
              <w:rPr>
                <w:b/>
                <w:i/>
              </w:rPr>
              <w:t xml:space="preserve"> a </w:t>
            </w:r>
            <w:r w:rsidRPr="0048473E">
              <w:rPr>
                <w:b/>
                <w:i/>
              </w:rPr>
              <w:t>žen se zdravotním postižením</w:t>
            </w:r>
            <w:r w:rsidR="0048473E" w:rsidRPr="0048473E">
              <w:rPr>
                <w:b/>
                <w:i/>
              </w:rPr>
              <w:t xml:space="preserve"> k </w:t>
            </w:r>
            <w:r w:rsidRPr="0048473E">
              <w:rPr>
                <w:b/>
                <w:i/>
              </w:rPr>
              <w:t>hmotným životním podmínkám, dopravě, informacím</w:t>
            </w:r>
            <w:r w:rsidR="0048473E" w:rsidRPr="0048473E">
              <w:rPr>
                <w:b/>
                <w:i/>
              </w:rPr>
              <w:t xml:space="preserve"> a </w:t>
            </w:r>
            <w:r w:rsidRPr="0048473E">
              <w:rPr>
                <w:b/>
                <w:i/>
              </w:rPr>
              <w:t>komunikaci.</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21</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13</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(13)</w:t>
            </w:r>
            <w:r w:rsidRPr="0048473E">
              <w:tab/>
              <w:t>Vstupem úmluvy</w:t>
            </w:r>
            <w:r w:rsidR="0048473E" w:rsidRPr="0048473E">
              <w:t xml:space="preserve"> v </w:t>
            </w:r>
            <w:r w:rsidRPr="0048473E">
              <w:t>platnost</w:t>
            </w:r>
            <w:r w:rsidR="0048473E" w:rsidRPr="0048473E">
              <w:t xml:space="preserve"> v </w:t>
            </w:r>
            <w:r w:rsidRPr="0048473E">
              <w:t>právním řádu členských států vyvstává nutnost přijmout další vnitrostátní předpisy</w:t>
            </w:r>
            <w:r w:rsidR="0048473E" w:rsidRPr="0048473E">
              <w:t xml:space="preserve"> v </w:t>
            </w:r>
            <w:r w:rsidRPr="0048473E">
              <w:t>oblasti přístupnosti výrobků</w:t>
            </w:r>
            <w:r w:rsidR="0048473E" w:rsidRPr="0048473E">
              <w:t xml:space="preserve"> a </w:t>
            </w:r>
            <w:r w:rsidRPr="0048473E">
              <w:t xml:space="preserve">služeb, které by bez opatření na úrovni Unie dále </w:t>
            </w:r>
            <w:r w:rsidRPr="0048473E">
              <w:rPr>
                <w:b/>
                <w:i/>
              </w:rPr>
              <w:t>prohlubovaly</w:t>
            </w:r>
            <w:r w:rsidRPr="0048473E">
              <w:t xml:space="preserve"> rozdíly mezi vnitrostátními předpisy.</w:t>
            </w:r>
          </w:p>
        </w:tc>
        <w:tc>
          <w:tcPr>
            <w:tcW w:w="4876" w:type="dxa"/>
            <w:hideMark/>
          </w:tcPr>
          <w:p w:rsidR="00F23F92" w:rsidRPr="0048473E" w:rsidRDefault="00F23F92" w:rsidP="00BB53BB">
            <w:pPr>
              <w:pStyle w:val="Normal6"/>
              <w:rPr>
                <w:szCs w:val="24"/>
              </w:rPr>
            </w:pPr>
            <w:r w:rsidRPr="0048473E">
              <w:t>(13)</w:t>
            </w:r>
            <w:r w:rsidRPr="0048473E">
              <w:tab/>
              <w:t>Vstupem úmluvy</w:t>
            </w:r>
            <w:r w:rsidR="0048473E" w:rsidRPr="0048473E">
              <w:t xml:space="preserve"> v </w:t>
            </w:r>
            <w:r w:rsidRPr="0048473E">
              <w:t>platnost</w:t>
            </w:r>
            <w:r w:rsidR="0048473E" w:rsidRPr="0048473E">
              <w:t xml:space="preserve"> v </w:t>
            </w:r>
            <w:r w:rsidRPr="0048473E">
              <w:t>právním řádu členských států vyvstává nutnost přijmout další vnitrostátní předpisy</w:t>
            </w:r>
            <w:r w:rsidR="0048473E" w:rsidRPr="0048473E">
              <w:t xml:space="preserve"> v </w:t>
            </w:r>
            <w:r w:rsidRPr="0048473E">
              <w:t>oblasti přístupnosti</w:t>
            </w:r>
            <w:r w:rsidRPr="0048473E">
              <w:rPr>
                <w:b/>
                <w:i/>
              </w:rPr>
              <w:t>, designu pro všechny</w:t>
            </w:r>
            <w:r w:rsidR="0048473E" w:rsidRPr="0048473E">
              <w:rPr>
                <w:b/>
                <w:i/>
              </w:rPr>
              <w:t xml:space="preserve"> a </w:t>
            </w:r>
            <w:r w:rsidRPr="0048473E">
              <w:rPr>
                <w:b/>
                <w:i/>
              </w:rPr>
              <w:t>zastavěného prostředí.</w:t>
            </w:r>
            <w:r w:rsidR="0048473E" w:rsidRPr="0048473E">
              <w:rPr>
                <w:b/>
                <w:i/>
              </w:rPr>
              <w:t xml:space="preserve"> U </w:t>
            </w:r>
            <w:r w:rsidRPr="0048473E">
              <w:t>výrobků</w:t>
            </w:r>
            <w:r w:rsidRPr="0048473E">
              <w:rPr>
                <w:b/>
                <w:i/>
              </w:rPr>
              <w:t>, nástrojů, zařízení</w:t>
            </w:r>
            <w:r w:rsidR="0048473E" w:rsidRPr="0048473E">
              <w:t xml:space="preserve"> a </w:t>
            </w:r>
            <w:r w:rsidRPr="0048473E">
              <w:t>služeb</w:t>
            </w:r>
            <w:r w:rsidRPr="0048473E">
              <w:rPr>
                <w:b/>
                <w:i/>
              </w:rPr>
              <w:t xml:space="preserve"> musí být zajištěno hledisko rovnosti žen</w:t>
            </w:r>
            <w:r w:rsidR="0048473E" w:rsidRPr="0048473E">
              <w:rPr>
                <w:b/>
                <w:i/>
              </w:rPr>
              <w:t xml:space="preserve"> a </w:t>
            </w:r>
            <w:r w:rsidRPr="0048473E">
              <w:rPr>
                <w:b/>
                <w:i/>
              </w:rPr>
              <w:t>mužů, aby mohly být běžně využívány muži, chlapci, ženami</w:t>
            </w:r>
            <w:r w:rsidR="0048473E" w:rsidRPr="0048473E">
              <w:rPr>
                <w:b/>
                <w:i/>
              </w:rPr>
              <w:t xml:space="preserve"> a </w:t>
            </w:r>
            <w:r w:rsidRPr="0048473E">
              <w:rPr>
                <w:b/>
                <w:i/>
              </w:rPr>
              <w:t>dívkami se zdravotním postižením</w:t>
            </w:r>
            <w:r w:rsidRPr="0048473E">
              <w:t xml:space="preserve">, </w:t>
            </w:r>
            <w:r w:rsidR="00BB53BB" w:rsidRPr="00BB53BB">
              <w:rPr>
                <w:b/>
                <w:i/>
              </w:rPr>
              <w:t>kteří</w:t>
            </w:r>
            <w:r w:rsidRPr="0048473E">
              <w:t xml:space="preserve"> by bez opatření na úrovni Unie dále </w:t>
            </w:r>
            <w:r w:rsidRPr="0048473E">
              <w:rPr>
                <w:b/>
                <w:i/>
              </w:rPr>
              <w:t>trpěl</w:t>
            </w:r>
            <w:r w:rsidR="00BB53BB">
              <w:rPr>
                <w:b/>
                <w:i/>
              </w:rPr>
              <w:t>i</w:t>
            </w:r>
            <w:r w:rsidRPr="0048473E">
              <w:t xml:space="preserve"> rozdíly mezi vnitrostátními předpisy.</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22</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15</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(15)</w:t>
            </w:r>
            <w:r w:rsidRPr="0048473E">
              <w:tab/>
              <w:t>Evropská strategie pro pomoc osobám se zdravotním postižením 2010–2020: Obnovený závazek pro bezbariérovou Evropu stanoví</w:t>
            </w:r>
            <w:r w:rsidR="0048473E" w:rsidRPr="0048473E">
              <w:t xml:space="preserve"> v </w:t>
            </w:r>
            <w:r w:rsidRPr="0048473E">
              <w:t>souladu</w:t>
            </w:r>
            <w:r w:rsidR="0048473E" w:rsidRPr="0048473E">
              <w:t xml:space="preserve"> s </w:t>
            </w:r>
            <w:r w:rsidRPr="0048473E">
              <w:t>úmluvou přístupnost jako jednu</w:t>
            </w:r>
            <w:r w:rsidR="0048473E" w:rsidRPr="0048473E">
              <w:t xml:space="preserve"> z </w:t>
            </w:r>
            <w:r w:rsidRPr="0048473E">
              <w:t>osmi oblastí, kde je potřeba podniknout kroky,</w:t>
            </w:r>
            <w:r w:rsidR="0048473E" w:rsidRPr="0048473E">
              <w:t xml:space="preserve"> a </w:t>
            </w:r>
            <w:r w:rsidRPr="0048473E">
              <w:t>klade si za cíl zajistit přístupnost výrobků</w:t>
            </w:r>
            <w:r w:rsidR="0048473E" w:rsidRPr="0048473E">
              <w:t xml:space="preserve"> a </w:t>
            </w:r>
            <w:r w:rsidRPr="0048473E">
              <w:t>služeb.</w:t>
            </w:r>
          </w:p>
        </w:tc>
        <w:tc>
          <w:tcPr>
            <w:tcW w:w="4876" w:type="dxa"/>
            <w:hideMark/>
          </w:tcPr>
          <w:p w:rsidR="00F23F92" w:rsidRPr="0048473E" w:rsidRDefault="00F23F92" w:rsidP="00F23F92">
            <w:pPr>
              <w:pStyle w:val="Normal6"/>
              <w:rPr>
                <w:szCs w:val="24"/>
              </w:rPr>
            </w:pPr>
            <w:r w:rsidRPr="0048473E">
              <w:t>(15)</w:t>
            </w:r>
            <w:r w:rsidRPr="0048473E">
              <w:tab/>
              <w:t>Evropská strategie pro pomoc osobám se zdravotním postižením 2010–2020: Obnovený závazek pro bezbariérovou Evropu stanoví</w:t>
            </w:r>
            <w:r w:rsidR="0048473E" w:rsidRPr="0048473E">
              <w:t xml:space="preserve"> v </w:t>
            </w:r>
            <w:r w:rsidRPr="0048473E">
              <w:t>souladu</w:t>
            </w:r>
            <w:r w:rsidR="0048473E" w:rsidRPr="0048473E">
              <w:t xml:space="preserve"> s </w:t>
            </w:r>
            <w:r w:rsidRPr="0048473E">
              <w:t>úmluvou přístupnost jako jednu</w:t>
            </w:r>
            <w:r w:rsidR="0048473E" w:rsidRPr="0048473E">
              <w:t xml:space="preserve"> z </w:t>
            </w:r>
            <w:r w:rsidRPr="0048473E">
              <w:t>osmi oblastí, kde je potřeba podniknout kroky,</w:t>
            </w:r>
            <w:r w:rsidR="0048473E" w:rsidRPr="0048473E">
              <w:t xml:space="preserve"> a </w:t>
            </w:r>
            <w:r w:rsidRPr="0048473E">
              <w:rPr>
                <w:b/>
                <w:i/>
              </w:rPr>
              <w:t>jako základní předpoklad pro účast ve společnosti</w:t>
            </w:r>
            <w:r w:rsidR="0048473E" w:rsidRPr="0048473E">
              <w:rPr>
                <w:b/>
                <w:i/>
              </w:rPr>
              <w:t xml:space="preserve"> a </w:t>
            </w:r>
            <w:r w:rsidRPr="0048473E">
              <w:t>klade si za cíl zajistit přístupnost výrobků</w:t>
            </w:r>
            <w:r w:rsidR="0048473E" w:rsidRPr="0048473E">
              <w:t xml:space="preserve"> a </w:t>
            </w:r>
            <w:r w:rsidRPr="0048473E">
              <w:t>služeb.</w:t>
            </w:r>
          </w:p>
        </w:tc>
      </w:tr>
      <w:tr w:rsidR="00F23F92" w:rsidRPr="0048473E" w:rsidTr="00F23F92">
        <w:trPr>
          <w:jc w:val="center"/>
        </w:trPr>
        <w:tc>
          <w:tcPr>
            <w:tcW w:w="4876" w:type="dxa"/>
            <w:hideMark/>
          </w:tcPr>
          <w:p w:rsidR="00F23F92" w:rsidRPr="0048473E" w:rsidRDefault="00F23F92" w:rsidP="00F23F92">
            <w:pPr>
              <w:pStyle w:val="Normal6"/>
            </w:pPr>
            <w:r w:rsidRPr="0048473E">
              <w:t>__________________</w:t>
            </w:r>
          </w:p>
        </w:tc>
        <w:tc>
          <w:tcPr>
            <w:tcW w:w="4876" w:type="dxa"/>
            <w:hideMark/>
          </w:tcPr>
          <w:p w:rsidR="00F23F92" w:rsidRPr="0048473E" w:rsidRDefault="00F23F92" w:rsidP="00F23F92">
            <w:pPr>
              <w:pStyle w:val="Normal6"/>
            </w:pPr>
            <w:r w:rsidRPr="0048473E">
              <w:t>__________________</w:t>
            </w:r>
          </w:p>
        </w:tc>
      </w:tr>
      <w:tr w:rsidR="00F23F92" w:rsidRPr="0048473E" w:rsidTr="00F23F92">
        <w:trPr>
          <w:jc w:val="center"/>
        </w:trPr>
        <w:tc>
          <w:tcPr>
            <w:tcW w:w="4876" w:type="dxa"/>
            <w:hideMark/>
          </w:tcPr>
          <w:p w:rsidR="00F23F92" w:rsidRPr="0048473E" w:rsidRDefault="00F23F92" w:rsidP="00F23F92">
            <w:pPr>
              <w:pStyle w:val="Normal6"/>
            </w:pPr>
            <w:r w:rsidRPr="0048473E">
              <w:rPr>
                <w:vertAlign w:val="superscript"/>
              </w:rPr>
              <w:t>33</w:t>
            </w:r>
            <w:r w:rsidRPr="0048473E">
              <w:t xml:space="preserve"> COM(2010) 636.</w:t>
            </w:r>
          </w:p>
        </w:tc>
        <w:tc>
          <w:tcPr>
            <w:tcW w:w="4876" w:type="dxa"/>
            <w:hideMark/>
          </w:tcPr>
          <w:p w:rsidR="00F23F92" w:rsidRPr="0048473E" w:rsidRDefault="00F23F92" w:rsidP="00F23F92">
            <w:pPr>
              <w:pStyle w:val="Normal6"/>
              <w:rPr>
                <w:szCs w:val="24"/>
              </w:rPr>
            </w:pPr>
            <w:r w:rsidRPr="0048473E">
              <w:rPr>
                <w:vertAlign w:val="superscript"/>
              </w:rPr>
              <w:t>33</w:t>
            </w:r>
            <w:r w:rsidRPr="0048473E">
              <w:t xml:space="preserve"> COM(2010) 636.</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23</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18</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(18)</w:t>
            </w:r>
            <w:r w:rsidRPr="0048473E">
              <w:tab/>
            </w:r>
            <w:r w:rsidRPr="0048473E">
              <w:rPr>
                <w:b/>
                <w:i/>
              </w:rPr>
              <w:t>Je nezbytné zavést požadavky</w:t>
            </w:r>
            <w:r w:rsidRPr="0048473E">
              <w:t xml:space="preserve"> na </w:t>
            </w:r>
            <w:r w:rsidRPr="0048473E">
              <w:rPr>
                <w:b/>
                <w:i/>
              </w:rPr>
              <w:t>přístupnost takovým způsobem</w:t>
            </w:r>
            <w:r w:rsidRPr="0048473E">
              <w:t xml:space="preserve">, </w:t>
            </w:r>
            <w:r w:rsidRPr="0048473E">
              <w:rPr>
                <w:b/>
                <w:i/>
              </w:rPr>
              <w:t>aby představovaly pro hospodářské subjekty</w:t>
            </w:r>
            <w:r w:rsidR="0048473E" w:rsidRPr="0048473E">
              <w:rPr>
                <w:b/>
                <w:i/>
              </w:rPr>
              <w:t xml:space="preserve"> a </w:t>
            </w:r>
            <w:r w:rsidRPr="0048473E">
              <w:rPr>
                <w:b/>
                <w:i/>
              </w:rPr>
              <w:t>členské státy co nejmenší zátěž</w:t>
            </w:r>
            <w:r w:rsidRPr="0048473E">
              <w:t>,</w:t>
            </w:r>
            <w:r w:rsidR="0048473E" w:rsidRPr="0048473E">
              <w:t xml:space="preserve"> a </w:t>
            </w:r>
            <w:r w:rsidRPr="0048473E">
              <w:rPr>
                <w:b/>
                <w:i/>
              </w:rPr>
              <w:t>to zejména tím, že se do oblasti působnosti zahrnou pouze výrobky</w:t>
            </w:r>
            <w:r w:rsidR="0048473E" w:rsidRPr="0048473E">
              <w:rPr>
                <w:b/>
                <w:i/>
              </w:rPr>
              <w:t xml:space="preserve"> a </w:t>
            </w:r>
            <w:r w:rsidRPr="0048473E">
              <w:rPr>
                <w:b/>
                <w:i/>
              </w:rPr>
              <w:t>služby, které byly pečlivě vybrány</w:t>
            </w:r>
            <w:r w:rsidRPr="0048473E">
              <w:t>.</w:t>
            </w:r>
          </w:p>
        </w:tc>
        <w:tc>
          <w:tcPr>
            <w:tcW w:w="4876" w:type="dxa"/>
            <w:hideMark/>
          </w:tcPr>
          <w:p w:rsidR="00F23F92" w:rsidRPr="0048473E" w:rsidRDefault="00F23F92" w:rsidP="00F23F92">
            <w:pPr>
              <w:pStyle w:val="Normal6"/>
              <w:rPr>
                <w:szCs w:val="24"/>
              </w:rPr>
            </w:pPr>
            <w:r w:rsidRPr="0048473E">
              <w:t>(18)</w:t>
            </w:r>
            <w:r w:rsidRPr="0048473E">
              <w:tab/>
            </w:r>
            <w:r w:rsidRPr="0048473E">
              <w:rPr>
                <w:b/>
                <w:i/>
              </w:rPr>
              <w:t>Požadavky stanovené touto směrnicí musí zajistit všem plnou účast na vnitřním trhu</w:t>
            </w:r>
            <w:r w:rsidR="0048473E" w:rsidRPr="0048473E">
              <w:rPr>
                <w:b/>
                <w:i/>
              </w:rPr>
              <w:t xml:space="preserve"> a </w:t>
            </w:r>
            <w:r w:rsidRPr="0048473E">
              <w:rPr>
                <w:b/>
                <w:i/>
              </w:rPr>
              <w:t>snažit se snižovat překážky, jimž čelí osoby se zdravotním postižením,</w:t>
            </w:r>
            <w:r w:rsidR="0048473E" w:rsidRPr="0048473E">
              <w:rPr>
                <w:b/>
                <w:i/>
              </w:rPr>
              <w:t xml:space="preserve"> s </w:t>
            </w:r>
            <w:r w:rsidRPr="0048473E">
              <w:rPr>
                <w:b/>
                <w:i/>
              </w:rPr>
              <w:t>cílem zaručit dobře fungující vnitřní trh, spravedlivé životní podmínky</w:t>
            </w:r>
            <w:r w:rsidR="0048473E" w:rsidRPr="0048473E">
              <w:rPr>
                <w:b/>
                <w:i/>
              </w:rPr>
              <w:t xml:space="preserve"> a </w:t>
            </w:r>
            <w:r w:rsidRPr="0048473E">
              <w:rPr>
                <w:b/>
                <w:i/>
              </w:rPr>
              <w:t>přístupnou společnost</w:t>
            </w:r>
            <w:r w:rsidR="0048473E" w:rsidRPr="0048473E">
              <w:rPr>
                <w:b/>
                <w:i/>
              </w:rPr>
              <w:t xml:space="preserve"> v </w:t>
            </w:r>
            <w:r w:rsidRPr="0048473E">
              <w:rPr>
                <w:b/>
                <w:i/>
              </w:rPr>
              <w:t>celé Evropské unii. Zvýšení účasti na vnitřním trhu pro všechny umožní hospodářským subjektům hledat nové obchodní příležitosti</w:t>
            </w:r>
            <w:r w:rsidRPr="0048473E">
              <w:t>.</w:t>
            </w:r>
          </w:p>
        </w:tc>
      </w:tr>
    </w:tbl>
    <w:p w:rsidR="00F23F92" w:rsidRPr="0048473E" w:rsidRDefault="00F23F92" w:rsidP="00F23F92">
      <w:pPr>
        <w:rPr>
          <w:szCs w:val="20"/>
        </w:rPr>
      </w:pPr>
      <w:r w:rsidRPr="0048473E">
        <w:rPr>
          <w:rStyle w:val="HideTWBExt"/>
          <w:noProof w:val="0"/>
        </w:rPr>
        <w:t>&lt;/Amend&gt;</w:t>
      </w:r>
    </w:p>
    <w:p w:rsidR="00F23F92" w:rsidRPr="0048473E" w:rsidRDefault="00F23F92" w:rsidP="00F23F92">
      <w:pPr>
        <w:rPr>
          <w:szCs w:val="20"/>
        </w:rPr>
      </w:pPr>
    </w:p>
    <w:p w:rsidR="00F23F92" w:rsidRPr="0048473E" w:rsidRDefault="00F23F92" w:rsidP="00F23F92"/>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24</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21</w:t>
      </w:r>
      <w:r w:rsidR="0048473E" w:rsidRPr="0048473E">
        <w:t xml:space="preserve"> a </w:t>
      </w:r>
      <w:r w:rsidRPr="0048473E">
        <w:t>(nový)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(21a)</w:t>
            </w:r>
            <w:r w:rsidRPr="0048473E">
              <w:tab/>
            </w:r>
            <w:r w:rsidRPr="0048473E">
              <w:rPr>
                <w:b/>
                <w:i/>
              </w:rPr>
              <w:t>Zahrnutí rozměru rovnosti žen</w:t>
            </w:r>
            <w:r w:rsidR="0048473E" w:rsidRPr="0048473E">
              <w:rPr>
                <w:b/>
                <w:i/>
              </w:rPr>
              <w:t xml:space="preserve"> a </w:t>
            </w:r>
            <w:r w:rsidRPr="0048473E">
              <w:rPr>
                <w:b/>
                <w:i/>
              </w:rPr>
              <w:t>mužů do návrhu směrnice</w:t>
            </w:r>
            <w:r w:rsidR="0048473E" w:rsidRPr="0048473E">
              <w:rPr>
                <w:b/>
                <w:i/>
              </w:rPr>
              <w:t xml:space="preserve"> o </w:t>
            </w:r>
            <w:r w:rsidRPr="0048473E">
              <w:rPr>
                <w:b/>
                <w:i/>
              </w:rPr>
              <w:t>sbližování právních</w:t>
            </w:r>
            <w:r w:rsidR="0048473E" w:rsidRPr="0048473E">
              <w:rPr>
                <w:b/>
                <w:i/>
              </w:rPr>
              <w:t xml:space="preserve"> a </w:t>
            </w:r>
            <w:r w:rsidRPr="0048473E">
              <w:rPr>
                <w:b/>
                <w:i/>
              </w:rPr>
              <w:t>správních předpisů členských států týkajících se požadavků na přístupnost</w:t>
            </w:r>
            <w:r w:rsidR="0048473E" w:rsidRPr="0048473E">
              <w:rPr>
                <w:b/>
                <w:i/>
              </w:rPr>
              <w:t xml:space="preserve"> u </w:t>
            </w:r>
            <w:r w:rsidRPr="0048473E">
              <w:rPr>
                <w:b/>
                <w:i/>
              </w:rPr>
              <w:t>výrobků</w:t>
            </w:r>
            <w:r w:rsidR="0048473E" w:rsidRPr="0048473E">
              <w:rPr>
                <w:b/>
                <w:i/>
              </w:rPr>
              <w:t xml:space="preserve"> a </w:t>
            </w:r>
            <w:r w:rsidRPr="0048473E">
              <w:rPr>
                <w:b/>
                <w:i/>
              </w:rPr>
              <w:t>služeb přispěje</w:t>
            </w:r>
            <w:r w:rsidR="0048473E" w:rsidRPr="0048473E">
              <w:rPr>
                <w:b/>
                <w:i/>
              </w:rPr>
              <w:t xml:space="preserve"> k </w:t>
            </w:r>
            <w:r w:rsidRPr="0048473E">
              <w:rPr>
                <w:b/>
                <w:i/>
              </w:rPr>
              <w:t>integrovanému přístupu</w:t>
            </w:r>
            <w:r w:rsidR="0048473E" w:rsidRPr="0048473E">
              <w:rPr>
                <w:b/>
                <w:i/>
              </w:rPr>
              <w:t xml:space="preserve"> s </w:t>
            </w:r>
            <w:r w:rsidRPr="0048473E">
              <w:rPr>
                <w:b/>
                <w:i/>
              </w:rPr>
              <w:t>cílem odstranit další diskriminaci zdravotně postižených žen, matek</w:t>
            </w:r>
            <w:r w:rsidR="0048473E" w:rsidRPr="0048473E">
              <w:rPr>
                <w:b/>
                <w:i/>
              </w:rPr>
              <w:t xml:space="preserve"> s </w:t>
            </w:r>
            <w:r w:rsidRPr="0048473E">
              <w:rPr>
                <w:b/>
                <w:i/>
              </w:rPr>
              <w:t>kočárky</w:t>
            </w:r>
            <w:r w:rsidR="0048473E" w:rsidRPr="0048473E">
              <w:rPr>
                <w:b/>
                <w:i/>
              </w:rPr>
              <w:t xml:space="preserve"> a </w:t>
            </w:r>
            <w:r w:rsidRPr="0048473E">
              <w:rPr>
                <w:b/>
                <w:i/>
              </w:rPr>
              <w:t>žen, které pečují</w:t>
            </w:r>
            <w:r w:rsidR="0048473E" w:rsidRPr="0048473E">
              <w:rPr>
                <w:b/>
                <w:i/>
              </w:rPr>
              <w:t xml:space="preserve"> o </w:t>
            </w:r>
            <w:r w:rsidRPr="0048473E">
              <w:rPr>
                <w:b/>
                <w:i/>
              </w:rPr>
              <w:t>závislé osoby.</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25</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25</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(25)</w:t>
            </w:r>
            <w:r w:rsidRPr="0048473E">
              <w:tab/>
              <w:t>Přístupnosti by mělo být dosaženo odstraněním překážek</w:t>
            </w:r>
            <w:r w:rsidR="0048473E" w:rsidRPr="0048473E">
              <w:t xml:space="preserve"> a </w:t>
            </w:r>
            <w:r w:rsidRPr="0048473E">
              <w:t>předcházením jejich vzniku</w:t>
            </w:r>
            <w:r w:rsidRPr="0048473E">
              <w:rPr>
                <w:b/>
                <w:i/>
              </w:rPr>
              <w:t>, pokud možno prostřednictvím</w:t>
            </w:r>
            <w:r w:rsidRPr="0048473E">
              <w:t xml:space="preserve"> konceptu „univerzální design“ či „design pro všechny“. Přístupnost by neměla vylučovat poskytování přiměřených úprav, požaduje-li tak vnitrostátní právo nebo právo Unie.</w:t>
            </w:r>
          </w:p>
        </w:tc>
        <w:tc>
          <w:tcPr>
            <w:tcW w:w="4876" w:type="dxa"/>
            <w:hideMark/>
          </w:tcPr>
          <w:p w:rsidR="00F23F92" w:rsidRPr="0048473E" w:rsidRDefault="00F23F92" w:rsidP="00F23F92">
            <w:pPr>
              <w:pStyle w:val="Normal6"/>
              <w:rPr>
                <w:szCs w:val="24"/>
              </w:rPr>
            </w:pPr>
            <w:r w:rsidRPr="0048473E">
              <w:t>(25)</w:t>
            </w:r>
            <w:r w:rsidRPr="0048473E">
              <w:tab/>
              <w:t>Přístupnosti by mělo být dosaženo odstraněním překážek</w:t>
            </w:r>
            <w:r w:rsidR="0048473E" w:rsidRPr="0048473E">
              <w:t xml:space="preserve"> a </w:t>
            </w:r>
            <w:r w:rsidRPr="0048473E">
              <w:t>předcházením jejich vzniku</w:t>
            </w:r>
            <w:r w:rsidRPr="0048473E">
              <w:rPr>
                <w:b/>
                <w:i/>
              </w:rPr>
              <w:t xml:space="preserve"> prostřednictvím uplatňování</w:t>
            </w:r>
            <w:r w:rsidRPr="0048473E">
              <w:t xml:space="preserve"> konceptu „univerzální design“ či „design pro všechny“. Přístupnost by neměla vylučovat poskytování přiměřených úprav, požaduje-li tak vnitrostátní právo nebo právo Unie.</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26</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30</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(30)</w:t>
            </w:r>
            <w:r w:rsidRPr="0048473E">
              <w:tab/>
              <w:t>Výrobce může díky svým podrobným znalostem procesu navrhování</w:t>
            </w:r>
            <w:r w:rsidR="0048473E" w:rsidRPr="0048473E">
              <w:t xml:space="preserve"> a </w:t>
            </w:r>
            <w:r w:rsidRPr="0048473E">
              <w:t>výroby nejlépe provést celkový postup posouzení shody. Povinnosti týkající se posuzování shody by měl převzít výrobce.</w:t>
            </w:r>
          </w:p>
        </w:tc>
        <w:tc>
          <w:tcPr>
            <w:tcW w:w="4876" w:type="dxa"/>
            <w:hideMark/>
          </w:tcPr>
          <w:p w:rsidR="00F23F92" w:rsidRPr="0048473E" w:rsidRDefault="00F23F92" w:rsidP="00F23F92">
            <w:pPr>
              <w:pStyle w:val="Normal6"/>
              <w:rPr>
                <w:szCs w:val="24"/>
              </w:rPr>
            </w:pPr>
            <w:r w:rsidRPr="0048473E">
              <w:t>(30)</w:t>
            </w:r>
            <w:r w:rsidRPr="0048473E">
              <w:tab/>
              <w:t>Výrobce může díky svým podrobným znalostem procesu navrhování</w:t>
            </w:r>
            <w:r w:rsidR="0048473E" w:rsidRPr="0048473E">
              <w:t xml:space="preserve"> a </w:t>
            </w:r>
            <w:r w:rsidRPr="0048473E">
              <w:t xml:space="preserve">výroby nejlépe provést celkový postup posouzení shody. Povinnosti týkající se posuzování shody by měl převzít výrobce. </w:t>
            </w:r>
            <w:r w:rsidRPr="0048473E">
              <w:rPr>
                <w:b/>
                <w:i/>
              </w:rPr>
              <w:t>Spotřebitelé, organizace</w:t>
            </w:r>
            <w:r w:rsidR="0048473E" w:rsidRPr="0048473E">
              <w:rPr>
                <w:b/>
                <w:i/>
              </w:rPr>
              <w:t xml:space="preserve"> a </w:t>
            </w:r>
            <w:r w:rsidRPr="0048473E">
              <w:rPr>
                <w:b/>
                <w:i/>
              </w:rPr>
              <w:t>související veřejné agentury by však měli mít možnost oznámit jakékoliv porušení předpisů</w:t>
            </w:r>
            <w:r w:rsidR="0048473E" w:rsidRPr="0048473E">
              <w:rPr>
                <w:b/>
                <w:i/>
              </w:rPr>
              <w:t xml:space="preserve"> v </w:t>
            </w:r>
            <w:r w:rsidRPr="0048473E">
              <w:rPr>
                <w:b/>
                <w:i/>
              </w:rPr>
              <w:t>souvislosti</w:t>
            </w:r>
            <w:r w:rsidR="0048473E" w:rsidRPr="0048473E">
              <w:rPr>
                <w:b/>
                <w:i/>
              </w:rPr>
              <w:t xml:space="preserve"> s </w:t>
            </w:r>
            <w:r w:rsidRPr="0048473E">
              <w:rPr>
                <w:b/>
                <w:i/>
              </w:rPr>
              <w:t>požadavky na hospodářské subjekty stanovenými</w:t>
            </w:r>
            <w:r w:rsidR="0048473E" w:rsidRPr="0048473E">
              <w:rPr>
                <w:b/>
                <w:i/>
              </w:rPr>
              <w:t xml:space="preserve"> v </w:t>
            </w:r>
            <w:r w:rsidRPr="0048473E">
              <w:rPr>
                <w:b/>
                <w:i/>
              </w:rPr>
              <w:t>této směrnici,</w:t>
            </w:r>
            <w:r w:rsidR="0048473E" w:rsidRPr="0048473E">
              <w:rPr>
                <w:b/>
                <w:i/>
              </w:rPr>
              <w:t xml:space="preserve"> a </w:t>
            </w:r>
            <w:r w:rsidRPr="0048473E">
              <w:rPr>
                <w:b/>
                <w:i/>
              </w:rPr>
              <w:t>to zejména</w:t>
            </w:r>
            <w:r w:rsidR="0048473E" w:rsidRPr="0048473E">
              <w:rPr>
                <w:b/>
                <w:i/>
              </w:rPr>
              <w:t xml:space="preserve"> v </w:t>
            </w:r>
            <w:r w:rsidRPr="0048473E">
              <w:rPr>
                <w:b/>
                <w:i/>
              </w:rPr>
              <w:t>případě, že poskytované výrobky nebo služby mají negat</w:t>
            </w:r>
            <w:r w:rsidR="00D005E1">
              <w:rPr>
                <w:b/>
                <w:i/>
              </w:rPr>
              <w:t xml:space="preserve">ivní dopad na životní podmínky </w:t>
            </w:r>
            <w:r w:rsidRPr="0048473E">
              <w:rPr>
                <w:b/>
                <w:i/>
              </w:rPr>
              <w:t>nebo schopnost osob se zdravotním postižením podílet se na vnitřním trhu nebo porušují zásadu rovnosti žen</w:t>
            </w:r>
            <w:r w:rsidR="0048473E" w:rsidRPr="0048473E">
              <w:rPr>
                <w:b/>
                <w:i/>
              </w:rPr>
              <w:t xml:space="preserve"> a </w:t>
            </w:r>
            <w:r w:rsidRPr="0048473E">
              <w:rPr>
                <w:b/>
                <w:i/>
              </w:rPr>
              <w:t>mužů.</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27</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39</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(39)</w:t>
            </w:r>
            <w:r w:rsidRPr="0048473E">
              <w:tab/>
              <w:t>Aby se usnadnilo posuzování shody</w:t>
            </w:r>
            <w:r w:rsidR="0048473E" w:rsidRPr="0048473E">
              <w:t xml:space="preserve"> s </w:t>
            </w:r>
            <w:r w:rsidRPr="0048473E">
              <w:t>použitelnými požadavky, je nezbytné stanovit předpoklad shody pro výrobky</w:t>
            </w:r>
            <w:r w:rsidR="0048473E" w:rsidRPr="0048473E">
              <w:t xml:space="preserve"> a </w:t>
            </w:r>
            <w:r w:rsidRPr="0048473E">
              <w:t>služby, které jsou ve shodě</w:t>
            </w:r>
            <w:r w:rsidR="0048473E" w:rsidRPr="0048473E">
              <w:t xml:space="preserve"> s </w:t>
            </w:r>
            <w:r w:rsidRPr="0048473E">
              <w:t>dobrovolnými harmonizovanými normami přijatými</w:t>
            </w:r>
            <w:r w:rsidR="0048473E" w:rsidRPr="0048473E">
              <w:t xml:space="preserve"> v </w:t>
            </w:r>
            <w:r w:rsidRPr="0048473E">
              <w:t>souladu</w:t>
            </w:r>
            <w:r w:rsidR="0048473E" w:rsidRPr="0048473E">
              <w:t xml:space="preserve"> s </w:t>
            </w:r>
            <w:r w:rsidRPr="0048473E">
              <w:t>nařízením Evropského parlamentu</w:t>
            </w:r>
            <w:r w:rsidR="0048473E" w:rsidRPr="0048473E">
              <w:t xml:space="preserve"> a </w:t>
            </w:r>
            <w:r w:rsidRPr="0048473E">
              <w:t>Rady (EU) č. 1025/</w:t>
            </w:r>
            <w:r w:rsidRPr="0048473E">
              <w:rPr>
                <w:b/>
                <w:i/>
              </w:rPr>
              <w:t>2012</w:t>
            </w:r>
            <w:r w:rsidRPr="0048473E">
              <w:rPr>
                <w:b/>
                <w:i/>
                <w:vertAlign w:val="superscript"/>
              </w:rPr>
              <w:t>39</w:t>
            </w:r>
            <w:r w:rsidRPr="0048473E">
              <w:t xml:space="preserve"> za účelem stanovení podrobných technických specifikací těchto požadavků. Komise již evropským normalizačním organizacím podala řadu žádostí</w:t>
            </w:r>
            <w:r w:rsidR="0048473E" w:rsidRPr="0048473E">
              <w:t xml:space="preserve"> o </w:t>
            </w:r>
            <w:r w:rsidRPr="0048473E">
              <w:t>normalizaci</w:t>
            </w:r>
            <w:r w:rsidR="0048473E" w:rsidRPr="0048473E">
              <w:t xml:space="preserve"> v </w:t>
            </w:r>
            <w:r w:rsidRPr="0048473E">
              <w:t>oblasti přístupnosti, které by byly relevantní pro přípravu harmonizovaných norem.</w:t>
            </w:r>
          </w:p>
        </w:tc>
        <w:tc>
          <w:tcPr>
            <w:tcW w:w="4876" w:type="dxa"/>
            <w:hideMark/>
          </w:tcPr>
          <w:p w:rsidR="00F23F92" w:rsidRPr="0048473E" w:rsidRDefault="00F23F92" w:rsidP="00F23F92">
            <w:pPr>
              <w:pStyle w:val="Normal6"/>
              <w:rPr>
                <w:szCs w:val="24"/>
              </w:rPr>
            </w:pPr>
            <w:r w:rsidRPr="0048473E">
              <w:t>(39)</w:t>
            </w:r>
            <w:r w:rsidRPr="0048473E">
              <w:tab/>
              <w:t>Aby se usnadnilo posuzování shody</w:t>
            </w:r>
            <w:r w:rsidR="0048473E" w:rsidRPr="0048473E">
              <w:t xml:space="preserve"> s </w:t>
            </w:r>
            <w:r w:rsidRPr="0048473E">
              <w:t>použitelnými požadavky</w:t>
            </w:r>
            <w:r w:rsidRPr="0048473E">
              <w:rPr>
                <w:b/>
                <w:i/>
              </w:rPr>
              <w:t xml:space="preserve"> na přístupnost</w:t>
            </w:r>
            <w:r w:rsidRPr="0048473E">
              <w:t>, je nezbytné stanovit předpoklad shody pro výrobky</w:t>
            </w:r>
            <w:r w:rsidR="0048473E" w:rsidRPr="0048473E">
              <w:t xml:space="preserve"> a </w:t>
            </w:r>
            <w:r w:rsidRPr="0048473E">
              <w:t>služby, které jsou ve shodě</w:t>
            </w:r>
            <w:r w:rsidR="0048473E" w:rsidRPr="0048473E">
              <w:t xml:space="preserve"> s </w:t>
            </w:r>
            <w:r w:rsidRPr="0048473E">
              <w:t>dobrovolnými harmonizovanými normami přijatými</w:t>
            </w:r>
            <w:r w:rsidR="0048473E" w:rsidRPr="0048473E">
              <w:t xml:space="preserve"> v </w:t>
            </w:r>
            <w:r w:rsidRPr="0048473E">
              <w:t>souladu</w:t>
            </w:r>
            <w:r w:rsidR="0048473E" w:rsidRPr="0048473E">
              <w:t xml:space="preserve"> s </w:t>
            </w:r>
            <w:r w:rsidRPr="0048473E">
              <w:t>nařízením Evropského parlamentu</w:t>
            </w:r>
            <w:r w:rsidR="0048473E" w:rsidRPr="0048473E">
              <w:t xml:space="preserve"> a </w:t>
            </w:r>
            <w:r w:rsidRPr="0048473E">
              <w:t>Rady (EU) č. 1025/2012</w:t>
            </w:r>
            <w:r w:rsidRPr="0048473E">
              <w:rPr>
                <w:vertAlign w:val="superscript"/>
              </w:rPr>
              <w:t>39</w:t>
            </w:r>
            <w:r w:rsidRPr="0048473E">
              <w:t xml:space="preserve"> za účelem stanovení podrobných technických specifikací těchto požadavků. Komise již evropským normalizačním organizacím podala řadu žádostí</w:t>
            </w:r>
            <w:r w:rsidR="0048473E" w:rsidRPr="0048473E">
              <w:t xml:space="preserve"> o </w:t>
            </w:r>
            <w:r w:rsidRPr="0048473E">
              <w:t>normalizaci</w:t>
            </w:r>
            <w:r w:rsidR="0048473E" w:rsidRPr="0048473E">
              <w:t xml:space="preserve"> v </w:t>
            </w:r>
            <w:r w:rsidRPr="0048473E">
              <w:t>oblasti přístupnosti, které by byly relevantní pro přípravu harmonizovaných norem.</w:t>
            </w:r>
          </w:p>
        </w:tc>
      </w:tr>
      <w:tr w:rsidR="00F23F92" w:rsidRPr="0048473E" w:rsidTr="00F23F92">
        <w:trPr>
          <w:jc w:val="center"/>
        </w:trPr>
        <w:tc>
          <w:tcPr>
            <w:tcW w:w="4876" w:type="dxa"/>
            <w:hideMark/>
          </w:tcPr>
          <w:p w:rsidR="00F23F92" w:rsidRPr="0048473E" w:rsidRDefault="00F23F92" w:rsidP="00F23F92">
            <w:pPr>
              <w:pStyle w:val="Normal6"/>
            </w:pPr>
            <w:r w:rsidRPr="0048473E">
              <w:t>__________________</w:t>
            </w:r>
          </w:p>
        </w:tc>
        <w:tc>
          <w:tcPr>
            <w:tcW w:w="4876" w:type="dxa"/>
            <w:hideMark/>
          </w:tcPr>
          <w:p w:rsidR="00F23F92" w:rsidRPr="0048473E" w:rsidRDefault="00F23F92" w:rsidP="00F23F92">
            <w:pPr>
              <w:pStyle w:val="Normal6"/>
            </w:pPr>
            <w:r w:rsidRPr="0048473E">
              <w:t>__________________</w:t>
            </w:r>
          </w:p>
        </w:tc>
      </w:tr>
      <w:tr w:rsidR="00F23F92" w:rsidRPr="0048473E" w:rsidTr="00F23F92">
        <w:trPr>
          <w:jc w:val="center"/>
        </w:trPr>
        <w:tc>
          <w:tcPr>
            <w:tcW w:w="4876" w:type="dxa"/>
            <w:hideMark/>
          </w:tcPr>
          <w:p w:rsidR="00F23F92" w:rsidRPr="0048473E" w:rsidRDefault="00F23F92" w:rsidP="00F23F92">
            <w:pPr>
              <w:pStyle w:val="Normal6"/>
            </w:pPr>
            <w:r w:rsidRPr="0048473E">
              <w:rPr>
                <w:vertAlign w:val="superscript"/>
              </w:rPr>
              <w:t xml:space="preserve">39 </w:t>
            </w:r>
            <w:r w:rsidRPr="0048473E">
              <w:t>Nařízení Evropského parlamentu</w:t>
            </w:r>
            <w:r w:rsidR="0048473E" w:rsidRPr="0048473E">
              <w:t xml:space="preserve"> a </w:t>
            </w:r>
            <w:r w:rsidRPr="0048473E">
              <w:t>Rady (EU) č. 1025/2012 ze dne 25. října 2012</w:t>
            </w:r>
            <w:r w:rsidR="0048473E" w:rsidRPr="0048473E">
              <w:t xml:space="preserve"> o </w:t>
            </w:r>
            <w:r w:rsidRPr="0048473E">
              <w:t>evropské normalizaci, změně směrnic Rady 89/686/EHS</w:t>
            </w:r>
            <w:r w:rsidR="0048473E" w:rsidRPr="0048473E">
              <w:t xml:space="preserve"> a </w:t>
            </w:r>
            <w:r w:rsidRPr="0048473E">
              <w:t>93/15/EHS</w:t>
            </w:r>
            <w:r w:rsidR="0048473E" w:rsidRPr="0048473E">
              <w:t xml:space="preserve"> a </w:t>
            </w:r>
            <w:r w:rsidRPr="0048473E">
              <w:t>směrnic Evropského parlamentu</w:t>
            </w:r>
            <w:r w:rsidR="0048473E" w:rsidRPr="0048473E">
              <w:t xml:space="preserve"> a </w:t>
            </w:r>
            <w:r w:rsidRPr="0048473E">
              <w:t>Rady 94/9/ES, 94/25/ES, 95/16/ES, 97/23/ES, 98/34/ES, 2004/22/ES, 2007/23/ES, 2009/23/ES</w:t>
            </w:r>
            <w:r w:rsidR="0048473E" w:rsidRPr="0048473E">
              <w:t xml:space="preserve"> a </w:t>
            </w:r>
            <w:r w:rsidRPr="0048473E">
              <w:t>2009/105/ES,</w:t>
            </w:r>
            <w:r w:rsidR="0048473E" w:rsidRPr="0048473E">
              <w:t xml:space="preserve"> a </w:t>
            </w:r>
            <w:r w:rsidRPr="0048473E">
              <w:t>kterým se ruší rozhodnutí Rady 87/95/EHS</w:t>
            </w:r>
            <w:r w:rsidR="0048473E" w:rsidRPr="0048473E">
              <w:t xml:space="preserve"> a </w:t>
            </w:r>
            <w:r w:rsidRPr="0048473E">
              <w:t>rozhodnutí Evropského parlamentu</w:t>
            </w:r>
            <w:r w:rsidR="0048473E" w:rsidRPr="0048473E">
              <w:t xml:space="preserve"> a </w:t>
            </w:r>
            <w:r w:rsidRPr="0048473E">
              <w:t>Rady č. 1673/2006/ES (Úř. věst. L 316, 14.11.2012, s. 12).</w:t>
            </w:r>
          </w:p>
        </w:tc>
        <w:tc>
          <w:tcPr>
            <w:tcW w:w="4876" w:type="dxa"/>
            <w:hideMark/>
          </w:tcPr>
          <w:p w:rsidR="00F23F92" w:rsidRPr="0048473E" w:rsidRDefault="00F23F92" w:rsidP="00F23F92">
            <w:pPr>
              <w:pStyle w:val="Normal6"/>
              <w:rPr>
                <w:szCs w:val="24"/>
              </w:rPr>
            </w:pPr>
            <w:r w:rsidRPr="0048473E">
              <w:rPr>
                <w:vertAlign w:val="superscript"/>
              </w:rPr>
              <w:t xml:space="preserve">39 </w:t>
            </w:r>
            <w:r w:rsidRPr="0048473E">
              <w:t>Nařízení Evropského parlamentu</w:t>
            </w:r>
            <w:r w:rsidR="0048473E" w:rsidRPr="0048473E">
              <w:t xml:space="preserve"> a </w:t>
            </w:r>
            <w:r w:rsidRPr="0048473E">
              <w:t>Rady (EU) č. 1025/2012 ze dne 25. října 2012</w:t>
            </w:r>
            <w:r w:rsidR="0048473E" w:rsidRPr="0048473E">
              <w:t xml:space="preserve"> o </w:t>
            </w:r>
            <w:r w:rsidRPr="0048473E">
              <w:t>evropské normalizaci, změně směrnic Rady 89/686/EHS</w:t>
            </w:r>
            <w:r w:rsidR="0048473E" w:rsidRPr="0048473E">
              <w:t xml:space="preserve"> a </w:t>
            </w:r>
            <w:r w:rsidRPr="0048473E">
              <w:t>93/15/EHS</w:t>
            </w:r>
            <w:r w:rsidR="0048473E" w:rsidRPr="0048473E">
              <w:t xml:space="preserve"> a </w:t>
            </w:r>
            <w:r w:rsidRPr="0048473E">
              <w:t>směrnic Evropského parlamentu</w:t>
            </w:r>
            <w:r w:rsidR="0048473E" w:rsidRPr="0048473E">
              <w:t xml:space="preserve"> a </w:t>
            </w:r>
            <w:r w:rsidRPr="0048473E">
              <w:t>Rady 94/9/ES, 94/25/ES, 95/16/ES, 97/23/ES, 98/34/ES, 2004/22/ES, 2007/23/ES, 2009/23/ES</w:t>
            </w:r>
            <w:r w:rsidR="0048473E" w:rsidRPr="0048473E">
              <w:t xml:space="preserve"> a </w:t>
            </w:r>
            <w:r w:rsidRPr="0048473E">
              <w:t>2009/105/ES,</w:t>
            </w:r>
            <w:r w:rsidR="0048473E" w:rsidRPr="0048473E">
              <w:t xml:space="preserve"> a </w:t>
            </w:r>
            <w:r w:rsidRPr="0048473E">
              <w:t>kterým se ruší rozhodnutí Rady 87/95/EHS</w:t>
            </w:r>
            <w:r w:rsidR="0048473E" w:rsidRPr="0048473E">
              <w:t xml:space="preserve"> a </w:t>
            </w:r>
            <w:r w:rsidRPr="0048473E">
              <w:t>rozhodnutí Evropského parlamentu</w:t>
            </w:r>
            <w:r w:rsidR="0048473E" w:rsidRPr="0048473E">
              <w:t xml:space="preserve"> a </w:t>
            </w:r>
            <w:r w:rsidRPr="0048473E">
              <w:t>Rady č. 1673/2006/ES (Úř. věst. L 316, 14.11.2012, s. 12).</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28</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41</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(41)</w:t>
            </w:r>
            <w:r w:rsidRPr="0048473E">
              <w:tab/>
              <w:t>V zájmu zajištění účinného přístupu</w:t>
            </w:r>
            <w:r w:rsidR="0048473E" w:rsidRPr="0048473E">
              <w:t xml:space="preserve"> k </w:t>
            </w:r>
            <w:r w:rsidRPr="0048473E">
              <w:t>informacím pro účely dozoru nad trhem by měly být informace, které se požadují</w:t>
            </w:r>
            <w:r w:rsidR="0048473E" w:rsidRPr="0048473E">
              <w:t xml:space="preserve"> k </w:t>
            </w:r>
            <w:r w:rsidRPr="0048473E">
              <w:t>prokázání souladu se všemi použitelnými akty Unie, dostupné</w:t>
            </w:r>
            <w:r w:rsidR="0048473E" w:rsidRPr="0048473E">
              <w:t xml:space="preserve"> v </w:t>
            </w:r>
            <w:r w:rsidRPr="0048473E">
              <w:t>jediném EU prohlášení</w:t>
            </w:r>
            <w:r w:rsidR="0048473E" w:rsidRPr="0048473E">
              <w:t xml:space="preserve"> o </w:t>
            </w:r>
            <w:r w:rsidRPr="0048473E">
              <w:t>shodě. Za účelem snížení své administrativní zátěže mohou hospodářské subjekty příslušná jednotlivá prohlášení</w:t>
            </w:r>
            <w:r w:rsidR="0048473E" w:rsidRPr="0048473E">
              <w:t xml:space="preserve"> o </w:t>
            </w:r>
            <w:r w:rsidRPr="0048473E">
              <w:t>shodě shrnout do jediného EU prohlášení</w:t>
            </w:r>
            <w:r w:rsidR="0048473E" w:rsidRPr="0048473E">
              <w:t xml:space="preserve"> o </w:t>
            </w:r>
            <w:r w:rsidRPr="0048473E">
              <w:t>shodě.</w:t>
            </w:r>
          </w:p>
        </w:tc>
        <w:tc>
          <w:tcPr>
            <w:tcW w:w="4876" w:type="dxa"/>
            <w:hideMark/>
          </w:tcPr>
          <w:p w:rsidR="00F23F92" w:rsidRPr="0048473E" w:rsidRDefault="00F23F92" w:rsidP="00F23F92">
            <w:pPr>
              <w:pStyle w:val="Normal6"/>
              <w:rPr>
                <w:szCs w:val="24"/>
              </w:rPr>
            </w:pPr>
            <w:r w:rsidRPr="0048473E">
              <w:t>(41)</w:t>
            </w:r>
            <w:r w:rsidRPr="0048473E">
              <w:tab/>
              <w:t>V zájmu zajištění účinného přístupu</w:t>
            </w:r>
            <w:r w:rsidR="0048473E" w:rsidRPr="0048473E">
              <w:t xml:space="preserve"> k </w:t>
            </w:r>
            <w:r w:rsidRPr="0048473E">
              <w:t>informacím pro účely dozoru nad trhem by měly být informace, které se požadují</w:t>
            </w:r>
            <w:r w:rsidR="0048473E" w:rsidRPr="0048473E">
              <w:t xml:space="preserve"> k </w:t>
            </w:r>
            <w:r w:rsidRPr="0048473E">
              <w:t>prokázání souladu se všemi použitelnými akty Unie, dostupné</w:t>
            </w:r>
            <w:r w:rsidR="0048473E" w:rsidRPr="0048473E">
              <w:t xml:space="preserve"> v </w:t>
            </w:r>
            <w:r w:rsidRPr="0048473E">
              <w:t>jediném EU prohlášení</w:t>
            </w:r>
            <w:r w:rsidR="0048473E" w:rsidRPr="0048473E">
              <w:t xml:space="preserve"> o </w:t>
            </w:r>
            <w:r w:rsidRPr="0048473E">
              <w:t>shodě</w:t>
            </w:r>
            <w:r w:rsidRPr="0048473E">
              <w:rPr>
                <w:b/>
                <w:i/>
              </w:rPr>
              <w:t>,</w:t>
            </w:r>
            <w:r w:rsidR="0048473E" w:rsidRPr="0048473E">
              <w:rPr>
                <w:b/>
                <w:i/>
              </w:rPr>
              <w:t xml:space="preserve"> a </w:t>
            </w:r>
            <w:r w:rsidRPr="0048473E">
              <w:rPr>
                <w:b/>
                <w:i/>
              </w:rPr>
              <w:t>to tak, že se usnadní volný přístup</w:t>
            </w:r>
            <w:r w:rsidR="0048473E" w:rsidRPr="0048473E">
              <w:rPr>
                <w:b/>
                <w:i/>
              </w:rPr>
              <w:t xml:space="preserve"> k </w:t>
            </w:r>
            <w:r w:rsidRPr="0048473E">
              <w:rPr>
                <w:b/>
                <w:i/>
              </w:rPr>
              <w:t>informacím,</w:t>
            </w:r>
            <w:r w:rsidR="0048473E" w:rsidRPr="0048473E">
              <w:rPr>
                <w:b/>
                <w:i/>
              </w:rPr>
              <w:t xml:space="preserve"> a </w:t>
            </w:r>
            <w:r w:rsidRPr="0048473E">
              <w:rPr>
                <w:b/>
                <w:i/>
              </w:rPr>
              <w:t>zejména</w:t>
            </w:r>
            <w:r w:rsidR="0048473E" w:rsidRPr="0048473E">
              <w:rPr>
                <w:b/>
                <w:i/>
              </w:rPr>
              <w:t xml:space="preserve"> k </w:t>
            </w:r>
            <w:r w:rsidRPr="0048473E">
              <w:rPr>
                <w:b/>
                <w:i/>
              </w:rPr>
              <w:t>know-how členských států</w:t>
            </w:r>
            <w:r w:rsidRPr="0048473E">
              <w:t>. Za účelem snížení své administrativní zátěže mohou hospodářské subjekty příslušná jednotlivá prohlášení</w:t>
            </w:r>
            <w:r w:rsidR="0048473E" w:rsidRPr="0048473E">
              <w:t xml:space="preserve"> o </w:t>
            </w:r>
            <w:r w:rsidRPr="0048473E">
              <w:t>shodě shrnout do jediného EU prohlášení</w:t>
            </w:r>
            <w:r w:rsidR="0048473E" w:rsidRPr="0048473E">
              <w:t xml:space="preserve"> o </w:t>
            </w:r>
            <w:r w:rsidRPr="0048473E">
              <w:t>shodě.</w:t>
            </w:r>
          </w:p>
        </w:tc>
      </w:tr>
    </w:tbl>
    <w:p w:rsidR="00F23F92" w:rsidRPr="0048473E" w:rsidRDefault="00F23F92" w:rsidP="00F23F92">
      <w:pPr>
        <w:rPr>
          <w:szCs w:val="20"/>
        </w:rPr>
      </w:pPr>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29</w:t>
      </w:r>
      <w:r w:rsidRPr="0048473E">
        <w:rPr>
          <w:rStyle w:val="HideTWBExt"/>
          <w:b w:val="0"/>
          <w:noProof w:val="0"/>
        </w:rPr>
        <w:t>&lt;/NumAm&gt;</w:t>
      </w:r>
    </w:p>
    <w:p w:rsidR="00F23F92" w:rsidRPr="0048473E" w:rsidRDefault="00F23F92" w:rsidP="00F23F92">
      <w:pPr>
        <w:pStyle w:val="NormalBold12b"/>
        <w:keepNext/>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Bod odůvodnění 42</w:t>
      </w:r>
      <w:r w:rsidR="0048473E" w:rsidRPr="0048473E">
        <w:t xml:space="preserve"> a </w:t>
      </w:r>
      <w:r w:rsidRPr="0048473E">
        <w:t>(nový)</w:t>
      </w:r>
      <w:r w:rsidRPr="0048473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tcPr>
          <w:p w:rsidR="00F23F92" w:rsidRPr="0048473E" w:rsidRDefault="00F23F92" w:rsidP="00F23F92">
            <w:pPr>
              <w:pStyle w:val="ColumnHeading"/>
              <w:keepNext/>
            </w:pPr>
            <w:r w:rsidRPr="0048473E">
              <w:t>Znění navržené Komisí</w:t>
            </w:r>
          </w:p>
        </w:tc>
        <w:tc>
          <w:tcPr>
            <w:tcW w:w="4876" w:type="dxa"/>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tcPr>
          <w:p w:rsidR="00F23F92" w:rsidRPr="0048473E" w:rsidRDefault="00F23F92" w:rsidP="00F23F92">
            <w:pPr>
              <w:pStyle w:val="Normal6"/>
              <w:rPr>
                <w:b/>
                <w:bCs/>
                <w:i/>
                <w:iCs/>
              </w:rPr>
            </w:pPr>
            <w:r w:rsidRPr="0048473E">
              <w:rPr>
                <w:b/>
                <w:i/>
              </w:rPr>
              <w:t>(42a)</w:t>
            </w:r>
            <w:r w:rsidRPr="0048473E">
              <w:tab/>
            </w:r>
            <w:r w:rsidRPr="0048473E">
              <w:rPr>
                <w:b/>
                <w:i/>
              </w:rPr>
              <w:t>Při provádění dozoru nad trhem</w:t>
            </w:r>
            <w:r w:rsidR="0048473E" w:rsidRPr="0048473E">
              <w:rPr>
                <w:b/>
                <w:i/>
              </w:rPr>
              <w:t xml:space="preserve"> s </w:t>
            </w:r>
            <w:r w:rsidRPr="0048473E">
              <w:rPr>
                <w:b/>
                <w:i/>
              </w:rPr>
              <w:t>výrobky by měly orgány dozoru nad trhem provést přezkum posouzení ve spolupráci</w:t>
            </w:r>
            <w:r w:rsidR="0048473E" w:rsidRPr="0048473E">
              <w:rPr>
                <w:b/>
                <w:i/>
              </w:rPr>
              <w:t xml:space="preserve"> s </w:t>
            </w:r>
            <w:r w:rsidRPr="0048473E">
              <w:rPr>
                <w:b/>
                <w:i/>
              </w:rPr>
              <w:t>osobami se zdravotním postižením</w:t>
            </w:r>
            <w:r w:rsidR="0048473E" w:rsidRPr="0048473E">
              <w:rPr>
                <w:b/>
                <w:i/>
              </w:rPr>
              <w:t xml:space="preserve"> a </w:t>
            </w:r>
            <w:r w:rsidRPr="0048473E">
              <w:rPr>
                <w:b/>
                <w:i/>
              </w:rPr>
              <w:t xml:space="preserve">jejich organizacemi. </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30</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45</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(45)</w:t>
            </w:r>
            <w:r w:rsidRPr="0048473E">
              <w:tab/>
              <w:t>V souladu</w:t>
            </w:r>
            <w:r w:rsidR="0048473E" w:rsidRPr="0048473E">
              <w:t xml:space="preserve"> s </w:t>
            </w:r>
            <w:r w:rsidRPr="0048473E">
              <w:t>nařízením (ES) č. 765/2008 výrobce umístěním označení CE na výrobek prohlašuje, že je výrobek ve shodě se všemi příslušnými požadavky na přístupnost</w:t>
            </w:r>
            <w:r w:rsidR="0048473E" w:rsidRPr="0048473E">
              <w:t xml:space="preserve"> a </w:t>
            </w:r>
            <w:r w:rsidRPr="0048473E">
              <w:t>že za něj nese plnou odpovědnost.</w:t>
            </w:r>
          </w:p>
        </w:tc>
        <w:tc>
          <w:tcPr>
            <w:tcW w:w="4876" w:type="dxa"/>
            <w:hideMark/>
          </w:tcPr>
          <w:p w:rsidR="00F23F92" w:rsidRPr="0048473E" w:rsidRDefault="00F23F92" w:rsidP="00F23F92">
            <w:pPr>
              <w:pStyle w:val="Normal6"/>
              <w:rPr>
                <w:szCs w:val="24"/>
              </w:rPr>
            </w:pPr>
            <w:r w:rsidRPr="0048473E">
              <w:t>(45)</w:t>
            </w:r>
            <w:r w:rsidRPr="0048473E">
              <w:tab/>
              <w:t>V souladu</w:t>
            </w:r>
            <w:r w:rsidR="0048473E" w:rsidRPr="0048473E">
              <w:t xml:space="preserve"> s </w:t>
            </w:r>
            <w:r w:rsidRPr="0048473E">
              <w:t>nařízením (ES) č. 765/2008 výrobce umístěním označení CE na výrobek</w:t>
            </w:r>
            <w:r w:rsidR="0048473E" w:rsidRPr="0048473E">
              <w:t xml:space="preserve"> a </w:t>
            </w:r>
            <w:r w:rsidRPr="0048473E">
              <w:rPr>
                <w:b/>
                <w:i/>
              </w:rPr>
              <w:t>připojením doplňkových informací</w:t>
            </w:r>
            <w:r w:rsidR="0048473E" w:rsidRPr="0048473E">
              <w:rPr>
                <w:b/>
                <w:i/>
              </w:rPr>
              <w:t xml:space="preserve"> o </w:t>
            </w:r>
            <w:r w:rsidRPr="0048473E">
              <w:rPr>
                <w:b/>
                <w:i/>
              </w:rPr>
              <w:t>výrobcích</w:t>
            </w:r>
            <w:r w:rsidR="0048473E" w:rsidRPr="0048473E">
              <w:rPr>
                <w:b/>
                <w:i/>
              </w:rPr>
              <w:t xml:space="preserve"> a </w:t>
            </w:r>
            <w:r w:rsidRPr="0048473E">
              <w:rPr>
                <w:b/>
                <w:i/>
              </w:rPr>
              <w:t xml:space="preserve">službách, které splňují požadavky na přístupnost, </w:t>
            </w:r>
            <w:r w:rsidRPr="0048473E">
              <w:t>prohlašuje, že je výrobek ve shodě se všemi příslušnými požadavky na přístupnost</w:t>
            </w:r>
            <w:r w:rsidR="0048473E" w:rsidRPr="0048473E">
              <w:t xml:space="preserve"> a </w:t>
            </w:r>
            <w:r w:rsidRPr="0048473E">
              <w:t>že za něj nese plnou odpovědnost.</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31</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45</w:t>
      </w:r>
      <w:r w:rsidR="0048473E" w:rsidRPr="0048473E">
        <w:t xml:space="preserve"> a </w:t>
      </w:r>
      <w:r w:rsidRPr="0048473E">
        <w:t>(nový)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(45a)</w:t>
            </w:r>
            <w:r w:rsidRPr="0048473E">
              <w:tab/>
            </w:r>
            <w:r w:rsidRPr="0048473E">
              <w:rPr>
                <w:b/>
                <w:i/>
              </w:rPr>
              <w:t>Právo osob se zdravotním postižením</w:t>
            </w:r>
            <w:r w:rsidR="0048473E" w:rsidRPr="0048473E">
              <w:rPr>
                <w:b/>
                <w:i/>
              </w:rPr>
              <w:t xml:space="preserve"> a </w:t>
            </w:r>
            <w:r w:rsidRPr="0048473E">
              <w:rPr>
                <w:b/>
                <w:i/>
              </w:rPr>
              <w:t>starších osob podílet se na společenském</w:t>
            </w:r>
            <w:r w:rsidR="0048473E" w:rsidRPr="0048473E">
              <w:rPr>
                <w:b/>
                <w:i/>
              </w:rPr>
              <w:t xml:space="preserve"> a </w:t>
            </w:r>
            <w:r w:rsidRPr="0048473E">
              <w:rPr>
                <w:b/>
                <w:i/>
              </w:rPr>
              <w:t>kulturním životě Unie</w:t>
            </w:r>
            <w:r w:rsidR="0048473E" w:rsidRPr="0048473E">
              <w:rPr>
                <w:b/>
                <w:i/>
              </w:rPr>
              <w:t xml:space="preserve"> a </w:t>
            </w:r>
            <w:r w:rsidRPr="0048473E">
              <w:rPr>
                <w:b/>
                <w:i/>
              </w:rPr>
              <w:t>začlenit se do něj je spjato</w:t>
            </w:r>
            <w:r w:rsidR="0048473E" w:rsidRPr="0048473E">
              <w:rPr>
                <w:b/>
                <w:i/>
              </w:rPr>
              <w:t xml:space="preserve"> s </w:t>
            </w:r>
            <w:r w:rsidRPr="0048473E">
              <w:rPr>
                <w:b/>
                <w:i/>
              </w:rPr>
              <w:t>poskytováním dostupných audiovizuálních mediálních služeb. Členské státy by proto měly přijmout vhodná</w:t>
            </w:r>
            <w:r w:rsidR="0048473E" w:rsidRPr="0048473E">
              <w:rPr>
                <w:b/>
                <w:i/>
              </w:rPr>
              <w:t xml:space="preserve"> a </w:t>
            </w:r>
            <w:r w:rsidRPr="0048473E">
              <w:rPr>
                <w:b/>
                <w:i/>
              </w:rPr>
              <w:t>přiměřená opatření, která zajistí, aby poskytovatelé mediálních služeb</w:t>
            </w:r>
            <w:r w:rsidR="0048473E" w:rsidRPr="0048473E">
              <w:rPr>
                <w:b/>
                <w:i/>
              </w:rPr>
              <w:t xml:space="preserve"> v </w:t>
            </w:r>
            <w:r w:rsidRPr="0048473E">
              <w:rPr>
                <w:b/>
                <w:i/>
              </w:rPr>
              <w:t>rámci svých jurisdikcí aktivně usilovali</w:t>
            </w:r>
            <w:r w:rsidR="0048473E" w:rsidRPr="0048473E">
              <w:rPr>
                <w:b/>
                <w:i/>
              </w:rPr>
              <w:t xml:space="preserve"> o </w:t>
            </w:r>
            <w:r w:rsidRPr="0048473E">
              <w:rPr>
                <w:b/>
                <w:i/>
              </w:rPr>
              <w:t>zpřístupnění obsahu osobám se zrakovým nebo sluchovým postižením,</w:t>
            </w:r>
            <w:r w:rsidR="0048473E" w:rsidRPr="0048473E">
              <w:rPr>
                <w:b/>
                <w:i/>
              </w:rPr>
              <w:t xml:space="preserve"> a </w:t>
            </w:r>
            <w:r w:rsidRPr="0048473E">
              <w:rPr>
                <w:b/>
                <w:i/>
              </w:rPr>
              <w:t>to do roku 2022.</w:t>
            </w:r>
          </w:p>
        </w:tc>
      </w:tr>
    </w:tbl>
    <w:p w:rsidR="00F23F92" w:rsidRPr="0048473E" w:rsidRDefault="00F23F92" w:rsidP="00F23F92">
      <w:pPr>
        <w:rPr>
          <w:szCs w:val="20"/>
        </w:rPr>
      </w:pPr>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32</w:t>
      </w:r>
      <w:r w:rsidRPr="0048473E">
        <w:rPr>
          <w:rStyle w:val="HideTWBExt"/>
          <w:b w:val="0"/>
          <w:noProof w:val="0"/>
        </w:rPr>
        <w:t>&lt;/NumAm&gt;</w:t>
      </w:r>
    </w:p>
    <w:p w:rsidR="00F23F92" w:rsidRPr="0048473E" w:rsidRDefault="00F23F92" w:rsidP="00F23F92">
      <w:pPr>
        <w:pStyle w:val="NormalBold12b"/>
        <w:keepNext/>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Bod odůvodnění 48</w:t>
      </w:r>
      <w:r w:rsidRPr="0048473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tcPr>
          <w:p w:rsidR="00F23F92" w:rsidRPr="0048473E" w:rsidRDefault="00F23F92" w:rsidP="00F23F92">
            <w:pPr>
              <w:pStyle w:val="ColumnHeading"/>
              <w:keepNext/>
            </w:pPr>
            <w:r w:rsidRPr="0048473E">
              <w:t>Znění navržené Komisí</w:t>
            </w:r>
          </w:p>
        </w:tc>
        <w:tc>
          <w:tcPr>
            <w:tcW w:w="4876" w:type="dxa"/>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rPr>
                <w:szCs w:val="24"/>
              </w:rPr>
            </w:pPr>
            <w:r w:rsidRPr="0048473E">
              <w:t>(48)</w:t>
            </w:r>
            <w:r w:rsidRPr="0048473E">
              <w:tab/>
              <w:t>Očekává se, že členské státy zajistí, aby orgány dozoru nad trhem kontrolovaly soulad hospodářských subjektů</w:t>
            </w:r>
            <w:r w:rsidR="0048473E" w:rsidRPr="0048473E">
              <w:t xml:space="preserve"> s </w:t>
            </w:r>
            <w:r w:rsidRPr="0048473E">
              <w:t>kritérii uvedenými</w:t>
            </w:r>
            <w:r w:rsidR="0048473E" w:rsidRPr="0048473E">
              <w:t xml:space="preserve"> v </w:t>
            </w:r>
            <w:r w:rsidRPr="0048473E">
              <w:t>čl. 12 odst. 3 podle kapitoly V.</w:t>
            </w:r>
          </w:p>
        </w:tc>
        <w:tc>
          <w:tcPr>
            <w:tcW w:w="4876" w:type="dxa"/>
          </w:tcPr>
          <w:p w:rsidR="00F23F92" w:rsidRPr="0048473E" w:rsidRDefault="00F23F92" w:rsidP="00F23F92">
            <w:pPr>
              <w:pStyle w:val="Normal6"/>
              <w:rPr>
                <w:szCs w:val="24"/>
              </w:rPr>
            </w:pPr>
            <w:r w:rsidRPr="0048473E">
              <w:t>(48)</w:t>
            </w:r>
            <w:r w:rsidRPr="0048473E">
              <w:tab/>
              <w:t>Očekává se, že členské státy zajistí, aby orgány dozoru nad trhem kontrolovaly soulad hospodářských subjektů</w:t>
            </w:r>
            <w:r w:rsidR="0048473E" w:rsidRPr="0048473E">
              <w:t xml:space="preserve"> s </w:t>
            </w:r>
            <w:r w:rsidRPr="0048473E">
              <w:t>kritérii uvedenými</w:t>
            </w:r>
            <w:r w:rsidR="0048473E" w:rsidRPr="0048473E">
              <w:t xml:space="preserve"> v </w:t>
            </w:r>
            <w:r w:rsidRPr="0048473E">
              <w:t>čl. 12 odst. 3 podle kapitoly</w:t>
            </w:r>
            <w:r w:rsidR="0048473E" w:rsidRPr="0048473E">
              <w:t xml:space="preserve"> V </w:t>
            </w:r>
            <w:r w:rsidR="0048473E" w:rsidRPr="0048473E">
              <w:rPr>
                <w:b/>
                <w:i/>
              </w:rPr>
              <w:t>a </w:t>
            </w:r>
            <w:r w:rsidRPr="0048473E">
              <w:rPr>
                <w:b/>
                <w:i/>
              </w:rPr>
              <w:t>pořádaly pravidelné konzultace</w:t>
            </w:r>
            <w:r w:rsidR="0048473E" w:rsidRPr="0048473E">
              <w:rPr>
                <w:b/>
                <w:i/>
              </w:rPr>
              <w:t xml:space="preserve"> s </w:t>
            </w:r>
            <w:r w:rsidRPr="0048473E">
              <w:rPr>
                <w:b/>
                <w:i/>
              </w:rPr>
              <w:t>organizacemi zastupujícími osoby se zdravotním postižením</w:t>
            </w:r>
            <w:r w:rsidRPr="0048473E">
              <w:t>.</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33</w:t>
      </w:r>
      <w:r w:rsidRPr="0048473E">
        <w:rPr>
          <w:rStyle w:val="HideTWBExt"/>
          <w:b w:val="0"/>
          <w:noProof w:val="0"/>
        </w:rPr>
        <w:t>&lt;/NumAm&gt;</w:t>
      </w:r>
    </w:p>
    <w:p w:rsidR="00F23F92" w:rsidRPr="0048473E" w:rsidRDefault="00F23F92" w:rsidP="00F23F92">
      <w:pPr>
        <w:pStyle w:val="NormalBold12b"/>
        <w:keepNext/>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Bod odůvodnění 48</w:t>
      </w:r>
      <w:r w:rsidR="0048473E" w:rsidRPr="0048473E">
        <w:t xml:space="preserve"> a </w:t>
      </w:r>
      <w:r w:rsidRPr="0048473E">
        <w:t>(nový)</w:t>
      </w:r>
      <w:r w:rsidRPr="0048473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tcPr>
          <w:p w:rsidR="00F23F92" w:rsidRPr="0048473E" w:rsidRDefault="00F23F92" w:rsidP="00F23F92">
            <w:pPr>
              <w:pStyle w:val="ColumnHeading"/>
              <w:keepNext/>
            </w:pPr>
            <w:r w:rsidRPr="0048473E">
              <w:t>Znění navržené Komisí</w:t>
            </w:r>
          </w:p>
        </w:tc>
        <w:tc>
          <w:tcPr>
            <w:tcW w:w="4876" w:type="dxa"/>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tcPr>
          <w:p w:rsidR="00F23F92" w:rsidRPr="0048473E" w:rsidRDefault="00F23F92" w:rsidP="00F23F92">
            <w:pPr>
              <w:pStyle w:val="Normal6"/>
              <w:rPr>
                <w:b/>
                <w:bCs/>
                <w:i/>
                <w:iCs/>
              </w:rPr>
            </w:pPr>
            <w:r w:rsidRPr="0048473E">
              <w:rPr>
                <w:b/>
                <w:i/>
              </w:rPr>
              <w:t>(48a)</w:t>
            </w:r>
            <w:r w:rsidRPr="0048473E">
              <w:tab/>
            </w:r>
            <w:r w:rsidRPr="0048473E">
              <w:rPr>
                <w:b/>
                <w:i/>
              </w:rPr>
              <w:t>Národní databáze obsahující veškeré příslušné informace</w:t>
            </w:r>
            <w:r w:rsidR="0048473E" w:rsidRPr="0048473E">
              <w:rPr>
                <w:b/>
                <w:i/>
              </w:rPr>
              <w:t xml:space="preserve"> o </w:t>
            </w:r>
            <w:r w:rsidRPr="0048473E">
              <w:rPr>
                <w:b/>
                <w:i/>
              </w:rPr>
              <w:t>míře přístupnosti daného produktu</w:t>
            </w:r>
            <w:r w:rsidR="0048473E" w:rsidRPr="0048473E">
              <w:rPr>
                <w:b/>
                <w:i/>
              </w:rPr>
              <w:t xml:space="preserve"> a </w:t>
            </w:r>
            <w:r w:rsidRPr="0048473E">
              <w:rPr>
                <w:b/>
                <w:i/>
              </w:rPr>
              <w:t>služeb uvedené</w:t>
            </w:r>
            <w:r w:rsidR="0048473E" w:rsidRPr="0048473E">
              <w:rPr>
                <w:b/>
                <w:i/>
              </w:rPr>
              <w:t xml:space="preserve"> v </w:t>
            </w:r>
            <w:r w:rsidRPr="0048473E">
              <w:rPr>
                <w:b/>
                <w:i/>
              </w:rPr>
              <w:t>čl. 1 odst. 1</w:t>
            </w:r>
            <w:r w:rsidR="0048473E" w:rsidRPr="0048473E">
              <w:rPr>
                <w:b/>
                <w:i/>
              </w:rPr>
              <w:t xml:space="preserve"> a </w:t>
            </w:r>
            <w:r w:rsidRPr="0048473E">
              <w:rPr>
                <w:b/>
                <w:i/>
              </w:rPr>
              <w:t>2 by umožnily, aby dohled nad trhem účinněji zahrnoval osoby</w:t>
            </w:r>
            <w:r w:rsidR="0048473E" w:rsidRPr="0048473E">
              <w:rPr>
                <w:b/>
                <w:i/>
              </w:rPr>
              <w:t xml:space="preserve"> s </w:t>
            </w:r>
            <w:r w:rsidRPr="0048473E">
              <w:rPr>
                <w:b/>
                <w:i/>
              </w:rPr>
              <w:t>funkčními omezeními, včetně osob se zdravotním postižením,</w:t>
            </w:r>
            <w:r w:rsidR="0048473E" w:rsidRPr="0048473E">
              <w:rPr>
                <w:b/>
                <w:i/>
              </w:rPr>
              <w:t xml:space="preserve"> a </w:t>
            </w:r>
            <w:r w:rsidRPr="0048473E">
              <w:rPr>
                <w:b/>
                <w:i/>
              </w:rPr>
              <w:t>jejich organizace.</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34</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50</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(50)</w:t>
            </w:r>
            <w:r w:rsidRPr="0048473E">
              <w:tab/>
              <w:t>Měl by být zaveden ochranný postup, který by se uplatňoval pouze</w:t>
            </w:r>
            <w:r w:rsidR="0048473E" w:rsidRPr="0048473E">
              <w:t xml:space="preserve"> v </w:t>
            </w:r>
            <w:r w:rsidRPr="0048473E">
              <w:t>případě, že se členské státy neshodnou ohledně opatření přijatých členským státem,</w:t>
            </w:r>
            <w:r w:rsidR="0048473E" w:rsidRPr="0048473E">
              <w:t xml:space="preserve"> a </w:t>
            </w:r>
            <w:r w:rsidRPr="0048473E">
              <w:rPr>
                <w:b/>
                <w:i/>
              </w:rPr>
              <w:t xml:space="preserve">na </w:t>
            </w:r>
            <w:r w:rsidRPr="0048473E">
              <w:t xml:space="preserve">jehož </w:t>
            </w:r>
            <w:r w:rsidRPr="0048473E">
              <w:rPr>
                <w:b/>
                <w:i/>
              </w:rPr>
              <w:t>základě</w:t>
            </w:r>
            <w:r w:rsidRPr="0048473E">
              <w:t xml:space="preserve"> by byly zúčastněné strany informovány</w:t>
            </w:r>
            <w:r w:rsidR="0048473E" w:rsidRPr="0048473E">
              <w:t xml:space="preserve"> o </w:t>
            </w:r>
            <w:r w:rsidRPr="0048473E">
              <w:t>plánovaných opatřeních, pokud jde</w:t>
            </w:r>
            <w:r w:rsidR="0048473E" w:rsidRPr="0048473E">
              <w:t xml:space="preserve"> o </w:t>
            </w:r>
            <w:r w:rsidRPr="0048473E">
              <w:t>výrobky nesplňující požadavky na přístupnost podle této směrnice. Tento postup by měl orgánům dozoru nad trhem umožnit, aby ve spolupráci</w:t>
            </w:r>
            <w:r w:rsidR="0048473E" w:rsidRPr="0048473E">
              <w:t xml:space="preserve"> s </w:t>
            </w:r>
            <w:r w:rsidRPr="0048473E">
              <w:t>příslušnými hospodářskými subjekty začaly</w:t>
            </w:r>
            <w:r w:rsidR="0048473E" w:rsidRPr="0048473E">
              <w:t xml:space="preserve"> v </w:t>
            </w:r>
            <w:r w:rsidRPr="0048473E">
              <w:t>případě daných výrobků jednat co nejdříve.</w:t>
            </w:r>
          </w:p>
        </w:tc>
        <w:tc>
          <w:tcPr>
            <w:tcW w:w="4876" w:type="dxa"/>
            <w:hideMark/>
          </w:tcPr>
          <w:p w:rsidR="00F23F92" w:rsidRPr="0048473E" w:rsidRDefault="00F23F92" w:rsidP="00F23F92">
            <w:pPr>
              <w:pStyle w:val="Normal6"/>
              <w:rPr>
                <w:szCs w:val="24"/>
              </w:rPr>
            </w:pPr>
            <w:r w:rsidRPr="0048473E">
              <w:t>(50)</w:t>
            </w:r>
            <w:r w:rsidRPr="0048473E">
              <w:tab/>
              <w:t>Měl by být zaveden ochranný postup, který by se uplatňoval pouze</w:t>
            </w:r>
            <w:r w:rsidR="0048473E" w:rsidRPr="0048473E">
              <w:t xml:space="preserve"> v </w:t>
            </w:r>
            <w:r w:rsidRPr="0048473E">
              <w:t>případě, že se členské státy neshodnou ohledně opatření přijatých členským státem,</w:t>
            </w:r>
            <w:r w:rsidR="0048473E" w:rsidRPr="0048473E">
              <w:t xml:space="preserve"> a </w:t>
            </w:r>
            <w:r w:rsidRPr="0048473E">
              <w:t xml:space="preserve">jehož </w:t>
            </w:r>
            <w:r w:rsidRPr="0048473E">
              <w:rPr>
                <w:b/>
                <w:i/>
              </w:rPr>
              <w:t>prostřednictvím</w:t>
            </w:r>
            <w:r w:rsidRPr="0048473E">
              <w:t xml:space="preserve"> by byly zúčastněné strany informovány</w:t>
            </w:r>
            <w:r w:rsidR="0048473E" w:rsidRPr="0048473E">
              <w:t xml:space="preserve"> o </w:t>
            </w:r>
            <w:r w:rsidRPr="0048473E">
              <w:t>plánovaných opatřeních, pokud jde</w:t>
            </w:r>
            <w:r w:rsidR="0048473E" w:rsidRPr="0048473E">
              <w:t xml:space="preserve"> o </w:t>
            </w:r>
            <w:r w:rsidRPr="0048473E">
              <w:t>výrobky nesplňující požadavky na přístupnost podle této směrnice. Tento postup by měl orgánům dozoru nad trhem umožnit, aby ve spolupráci</w:t>
            </w:r>
            <w:r w:rsidR="0048473E" w:rsidRPr="0048473E">
              <w:t xml:space="preserve"> s </w:t>
            </w:r>
            <w:r w:rsidRPr="0048473E">
              <w:rPr>
                <w:b/>
                <w:i/>
              </w:rPr>
              <w:t>organizacemi zastupujícími osoby se zdravotním postižením, organizacemi působícími</w:t>
            </w:r>
            <w:r w:rsidR="0048473E" w:rsidRPr="0048473E">
              <w:rPr>
                <w:b/>
                <w:i/>
              </w:rPr>
              <w:t xml:space="preserve"> v </w:t>
            </w:r>
            <w:r w:rsidRPr="0048473E">
              <w:rPr>
                <w:b/>
                <w:i/>
              </w:rPr>
              <w:t>oblasti rovnosti žen</w:t>
            </w:r>
            <w:r w:rsidR="0048473E" w:rsidRPr="0048473E">
              <w:rPr>
                <w:b/>
                <w:i/>
              </w:rPr>
              <w:t xml:space="preserve"> a </w:t>
            </w:r>
            <w:r w:rsidRPr="0048473E">
              <w:rPr>
                <w:b/>
                <w:i/>
              </w:rPr>
              <w:t>mužů</w:t>
            </w:r>
            <w:r w:rsidR="0048473E" w:rsidRPr="0048473E">
              <w:rPr>
                <w:b/>
                <w:i/>
              </w:rPr>
              <w:t xml:space="preserve"> a </w:t>
            </w:r>
            <w:r w:rsidRPr="0048473E">
              <w:t>příslušnými hospodářskými subjekty začaly</w:t>
            </w:r>
            <w:r w:rsidR="0048473E" w:rsidRPr="0048473E">
              <w:t xml:space="preserve"> v </w:t>
            </w:r>
            <w:r w:rsidRPr="0048473E">
              <w:t>případě daných výrobků jednat co nejdříve.</w:t>
            </w:r>
          </w:p>
        </w:tc>
      </w:tr>
    </w:tbl>
    <w:p w:rsidR="00F23F92" w:rsidRPr="0048473E" w:rsidRDefault="00F23F92" w:rsidP="00F23F92">
      <w:pPr>
        <w:rPr>
          <w:szCs w:val="20"/>
        </w:rPr>
      </w:pPr>
      <w:r w:rsidRPr="0048473E">
        <w:rPr>
          <w:rStyle w:val="HideTWBExt"/>
          <w:noProof w:val="0"/>
        </w:rPr>
        <w:t>&lt;/Amend&gt;</w:t>
      </w:r>
    </w:p>
    <w:p w:rsidR="00F23F92" w:rsidRPr="0048473E" w:rsidRDefault="00F23F92" w:rsidP="00F23F92"/>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35</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Bod odůvodnění 54</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(54)</w:t>
            </w:r>
            <w:r w:rsidRPr="0048473E">
              <w:tab/>
              <w:t>Jelikož cíle této směrnice, kterým je odstranění překážek bránících volnému pohybu některých přístupných výrobků</w:t>
            </w:r>
            <w:r w:rsidR="0048473E" w:rsidRPr="0048473E">
              <w:t xml:space="preserve"> a </w:t>
            </w:r>
            <w:r w:rsidRPr="0048473E">
              <w:t>služeb ve snaze přispět</w:t>
            </w:r>
            <w:r w:rsidR="0048473E" w:rsidRPr="0048473E">
              <w:t xml:space="preserve"> k </w:t>
            </w:r>
            <w:r w:rsidRPr="0048473E">
              <w:t>řádnému fungování vnitřního trhu, nemůže být uspokojivě dosaženo na úrovni členských států, neboť to vyžaduje harmonizaci různých pravidel, která</w:t>
            </w:r>
            <w:r w:rsidR="0048473E" w:rsidRPr="0048473E">
              <w:t xml:space="preserve"> v </w:t>
            </w:r>
            <w:r w:rsidRPr="0048473E">
              <w:t>současné době</w:t>
            </w:r>
            <w:r w:rsidR="0048473E" w:rsidRPr="0048473E">
              <w:t xml:space="preserve"> v </w:t>
            </w:r>
            <w:r w:rsidRPr="0048473E">
              <w:t>rámci jejich právních systémů existují, ale lze jej</w:t>
            </w:r>
            <w:r w:rsidR="0048473E" w:rsidRPr="0048473E">
              <w:t xml:space="preserve"> z </w:t>
            </w:r>
            <w:r w:rsidRPr="0048473E">
              <w:t>důvodu nutnosti definovat společné požadavky na přístupnost</w:t>
            </w:r>
            <w:r w:rsidR="0048473E" w:rsidRPr="0048473E">
              <w:t xml:space="preserve"> a </w:t>
            </w:r>
            <w:r w:rsidRPr="0048473E">
              <w:t>pravidla pro fungování jednotného trhu lépe dosáhnout na úrovni Unie, může Unie přijmout opatření</w:t>
            </w:r>
            <w:r w:rsidR="0048473E" w:rsidRPr="0048473E">
              <w:t xml:space="preserve"> v </w:t>
            </w:r>
            <w:r w:rsidRPr="0048473E">
              <w:t>souladu se zásadou subsidiarity stanovenou</w:t>
            </w:r>
            <w:r w:rsidR="0048473E" w:rsidRPr="0048473E">
              <w:t xml:space="preserve"> v </w:t>
            </w:r>
            <w:r w:rsidRPr="0048473E">
              <w:t>článku 5 Smlouvy</w:t>
            </w:r>
            <w:r w:rsidR="0048473E" w:rsidRPr="0048473E">
              <w:t xml:space="preserve"> o </w:t>
            </w:r>
            <w:r w:rsidRPr="0048473E">
              <w:t>Evropské unii.</w:t>
            </w:r>
            <w:r w:rsidR="0048473E" w:rsidRPr="0048473E">
              <w:t xml:space="preserve"> V </w:t>
            </w:r>
            <w:r w:rsidRPr="0048473E">
              <w:t>souladu se zásadou proporcionality stanovenou</w:t>
            </w:r>
            <w:r w:rsidR="0048473E" w:rsidRPr="0048473E">
              <w:t xml:space="preserve"> v </w:t>
            </w:r>
            <w:r w:rsidRPr="0048473E">
              <w:t>uvedeném článku nepřekračuje tato směrnice rámec toho, co je nezbytné pro dosažení tohoto cíle,</w:t>
            </w:r>
          </w:p>
        </w:tc>
        <w:tc>
          <w:tcPr>
            <w:tcW w:w="4876" w:type="dxa"/>
            <w:hideMark/>
          </w:tcPr>
          <w:p w:rsidR="00F23F92" w:rsidRPr="0048473E" w:rsidRDefault="00F23F92" w:rsidP="00F23F92">
            <w:pPr>
              <w:pStyle w:val="Normal6"/>
              <w:rPr>
                <w:szCs w:val="24"/>
              </w:rPr>
            </w:pPr>
            <w:r w:rsidRPr="0048473E">
              <w:t>(54)</w:t>
            </w:r>
            <w:r w:rsidRPr="0048473E">
              <w:tab/>
              <w:t>Jelikož cíle této směrnice, kterým je odstranění překážek bránících volnému pohybu některých přístupných výrobků</w:t>
            </w:r>
            <w:r w:rsidR="0048473E" w:rsidRPr="0048473E">
              <w:t xml:space="preserve"> a </w:t>
            </w:r>
            <w:r w:rsidRPr="0048473E">
              <w:t>služeb ve snaze přispět</w:t>
            </w:r>
            <w:r w:rsidR="0048473E" w:rsidRPr="0048473E">
              <w:t xml:space="preserve"> k </w:t>
            </w:r>
            <w:r w:rsidRPr="0048473E">
              <w:t>řádnému fungování vnitřního trhu</w:t>
            </w:r>
            <w:r w:rsidR="0048473E" w:rsidRPr="0048473E">
              <w:rPr>
                <w:b/>
                <w:i/>
              </w:rPr>
              <w:t xml:space="preserve"> a </w:t>
            </w:r>
            <w:r w:rsidRPr="0048473E">
              <w:rPr>
                <w:b/>
                <w:i/>
              </w:rPr>
              <w:t>sloužit potřebám všech zákazníků</w:t>
            </w:r>
            <w:r w:rsidRPr="0048473E">
              <w:t>, nemůže být uspokojivě dosaženo na úrovni členských států, neboť to vyžaduje harmonizaci různých pravidel, která</w:t>
            </w:r>
            <w:r w:rsidR="0048473E" w:rsidRPr="0048473E">
              <w:t xml:space="preserve"> v </w:t>
            </w:r>
            <w:r w:rsidRPr="0048473E">
              <w:t>současné době</w:t>
            </w:r>
            <w:r w:rsidR="0048473E" w:rsidRPr="0048473E">
              <w:t xml:space="preserve"> v </w:t>
            </w:r>
            <w:r w:rsidRPr="0048473E">
              <w:t>rámci jejich právních systémů existují, ale lze jej</w:t>
            </w:r>
            <w:r w:rsidR="0048473E" w:rsidRPr="0048473E">
              <w:t xml:space="preserve"> z </w:t>
            </w:r>
            <w:r w:rsidRPr="0048473E">
              <w:t>důvodu nutnosti definovat společné požadavky na přístupnost</w:t>
            </w:r>
            <w:r w:rsidR="0048473E" w:rsidRPr="0048473E">
              <w:t xml:space="preserve"> a </w:t>
            </w:r>
            <w:r w:rsidRPr="0048473E">
              <w:t>pravidla pro fungování jednotného trhu lépe dosáhnout na úrovni Unie, může Unie přijmout opatření</w:t>
            </w:r>
            <w:r w:rsidR="0048473E" w:rsidRPr="0048473E">
              <w:t xml:space="preserve"> v </w:t>
            </w:r>
            <w:r w:rsidRPr="0048473E">
              <w:t>souladu se zásadou subsidiarity stanovenou</w:t>
            </w:r>
            <w:r w:rsidR="0048473E" w:rsidRPr="0048473E">
              <w:t xml:space="preserve"> v </w:t>
            </w:r>
            <w:r w:rsidRPr="0048473E">
              <w:t>článku 5 Smlouvy</w:t>
            </w:r>
            <w:r w:rsidR="0048473E" w:rsidRPr="0048473E">
              <w:t xml:space="preserve"> o </w:t>
            </w:r>
            <w:r w:rsidRPr="0048473E">
              <w:t>Evropské unii.</w:t>
            </w:r>
            <w:r w:rsidR="0048473E" w:rsidRPr="0048473E">
              <w:t xml:space="preserve"> V </w:t>
            </w:r>
            <w:r w:rsidRPr="0048473E">
              <w:t>souladu se zásadou proporcionality stanovenou</w:t>
            </w:r>
            <w:r w:rsidR="0048473E" w:rsidRPr="0048473E">
              <w:t xml:space="preserve"> v </w:t>
            </w:r>
            <w:r w:rsidRPr="0048473E">
              <w:t>uvedeném článku nepřekračuje tato směrnice rámec toho, co je nezbytné pro dosažení tohoto cíle,</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36</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1 – odst. 1 – písm. b – bod ii</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ii)</w:t>
            </w:r>
            <w:r w:rsidRPr="0048473E">
              <w:tab/>
              <w:t>stroje pro výdej lístků</w:t>
            </w:r>
            <w:r w:rsidR="0048473E" w:rsidRPr="0048473E">
              <w:t xml:space="preserve"> a </w:t>
            </w:r>
            <w:r w:rsidRPr="0048473E">
              <w:t>jízdenek,</w:t>
            </w:r>
          </w:p>
        </w:tc>
        <w:tc>
          <w:tcPr>
            <w:tcW w:w="4876" w:type="dxa"/>
            <w:hideMark/>
          </w:tcPr>
          <w:p w:rsidR="00F23F92" w:rsidRPr="0048473E" w:rsidRDefault="00F23F92" w:rsidP="00F23F92">
            <w:pPr>
              <w:pStyle w:val="Normal6"/>
              <w:rPr>
                <w:szCs w:val="24"/>
              </w:rPr>
            </w:pPr>
            <w:r w:rsidRPr="0048473E">
              <w:t>ii)</w:t>
            </w:r>
            <w:r w:rsidRPr="0048473E">
              <w:tab/>
              <w:t>stroje pro výdej lístků</w:t>
            </w:r>
            <w:r w:rsidR="0048473E" w:rsidRPr="0048473E">
              <w:t xml:space="preserve"> a </w:t>
            </w:r>
            <w:r w:rsidRPr="0048473E">
              <w:t>jízdenek,</w:t>
            </w:r>
            <w:r w:rsidRPr="0048473E">
              <w:rPr>
                <w:b/>
                <w:i/>
              </w:rPr>
              <w:t xml:space="preserve"> automaty na jídlo</w:t>
            </w:r>
            <w:r w:rsidR="0048473E" w:rsidRPr="0048473E">
              <w:rPr>
                <w:b/>
                <w:i/>
              </w:rPr>
              <w:t xml:space="preserve"> a </w:t>
            </w:r>
            <w:r w:rsidRPr="0048473E">
              <w:rPr>
                <w:b/>
                <w:i/>
              </w:rPr>
              <w:t>nápoje,</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37</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1 – odst. 1 – písm. d</w:t>
      </w:r>
      <w:r w:rsidR="0048473E" w:rsidRPr="0048473E">
        <w:t xml:space="preserve"> a </w:t>
      </w:r>
      <w:r w:rsidRPr="0048473E">
        <w:t>(nové)</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da)</w:t>
            </w:r>
            <w:r w:rsidRPr="0048473E">
              <w:tab/>
            </w:r>
            <w:r w:rsidRPr="0048473E">
              <w:rPr>
                <w:b/>
                <w:i/>
              </w:rPr>
              <w:t>domácí elektronické přístroje, včetně jejich obalů;</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38</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1 – odst. 2 – písm. e</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e)</w:t>
            </w:r>
            <w:r w:rsidRPr="0048473E">
              <w:tab/>
              <w:t>elektronické knihy;</w:t>
            </w:r>
          </w:p>
        </w:tc>
        <w:tc>
          <w:tcPr>
            <w:tcW w:w="4876" w:type="dxa"/>
            <w:hideMark/>
          </w:tcPr>
          <w:p w:rsidR="00F23F92" w:rsidRPr="0048473E" w:rsidRDefault="00F23F92" w:rsidP="00F23F92">
            <w:pPr>
              <w:pStyle w:val="Normal6"/>
              <w:rPr>
                <w:szCs w:val="24"/>
              </w:rPr>
            </w:pPr>
            <w:r w:rsidRPr="0048473E">
              <w:t>e)</w:t>
            </w:r>
            <w:r w:rsidRPr="0048473E">
              <w:tab/>
              <w:t>elektronické knihy</w:t>
            </w:r>
            <w:r w:rsidRPr="0048473E">
              <w:rPr>
                <w:b/>
                <w:i/>
              </w:rPr>
              <w:t>, digitální datový obsah na hmotném nosiči, on-line kurzy</w:t>
            </w:r>
            <w:r w:rsidR="0048473E" w:rsidRPr="0048473E">
              <w:rPr>
                <w:b/>
                <w:i/>
              </w:rPr>
              <w:t xml:space="preserve"> a </w:t>
            </w:r>
            <w:r w:rsidRPr="0048473E">
              <w:rPr>
                <w:b/>
                <w:i/>
              </w:rPr>
              <w:t>materiály týkající se vzdělávání</w:t>
            </w:r>
            <w:r w:rsidRPr="0048473E">
              <w:t>;</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39</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1 – odst. 2 - písm. f</w:t>
      </w:r>
      <w:r w:rsidR="0048473E" w:rsidRPr="0048473E">
        <w:t xml:space="preserve"> a </w:t>
      </w:r>
      <w:r w:rsidRPr="0048473E">
        <w:t>(nové)</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fa)</w:t>
            </w:r>
            <w:r w:rsidRPr="0048473E">
              <w:tab/>
            </w:r>
            <w:r w:rsidRPr="0048473E">
              <w:rPr>
                <w:b/>
                <w:i/>
              </w:rPr>
              <w:t>poštovní služby.</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40</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2 – odst. 1 – bod 1</w:t>
      </w:r>
      <w:r w:rsidR="0048473E" w:rsidRPr="0048473E">
        <w:t xml:space="preserve"> a </w:t>
      </w:r>
      <w:r w:rsidRPr="0048473E">
        <w:t>(nový)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(1a)</w:t>
            </w:r>
            <w:r w:rsidRPr="0048473E">
              <w:tab/>
            </w:r>
            <w:r w:rsidRPr="0048473E">
              <w:rPr>
                <w:b/>
                <w:i/>
              </w:rPr>
              <w:t>„přístupným formátem“ vhodné formáty pro různé typy zdravotního postižení, včetně používání znakových jazyků, Braillova písma</w:t>
            </w:r>
            <w:r w:rsidR="0048473E" w:rsidRPr="0048473E">
              <w:rPr>
                <w:b/>
                <w:i/>
              </w:rPr>
              <w:t xml:space="preserve"> a </w:t>
            </w:r>
            <w:r w:rsidRPr="0048473E">
              <w:rPr>
                <w:b/>
                <w:i/>
              </w:rPr>
              <w:t>augmentativní</w:t>
            </w:r>
            <w:r w:rsidR="0048473E" w:rsidRPr="0048473E">
              <w:rPr>
                <w:b/>
                <w:i/>
              </w:rPr>
              <w:t xml:space="preserve"> a </w:t>
            </w:r>
            <w:r w:rsidRPr="0048473E">
              <w:rPr>
                <w:b/>
                <w:i/>
              </w:rPr>
              <w:t>alternativní komunikace;</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41</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2 – odst. 1 – bod 21</w:t>
      </w:r>
      <w:r w:rsidR="0048473E" w:rsidRPr="0048473E">
        <w:t xml:space="preserve"> a </w:t>
      </w:r>
      <w:r w:rsidRPr="0048473E">
        <w:t>(nový)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(21a)</w:t>
            </w:r>
            <w:r w:rsidRPr="0048473E">
              <w:tab/>
            </w:r>
            <w:r w:rsidRPr="0048473E">
              <w:rPr>
                <w:b/>
                <w:i/>
              </w:rPr>
              <w:t>„službou pro usnadnění přístupu“ služba, jako je zvukový popis, titulky pro neslyšící</w:t>
            </w:r>
            <w:r w:rsidR="0048473E" w:rsidRPr="0048473E">
              <w:rPr>
                <w:b/>
                <w:i/>
              </w:rPr>
              <w:t xml:space="preserve"> a </w:t>
            </w:r>
            <w:r w:rsidRPr="0048473E">
              <w:rPr>
                <w:b/>
                <w:i/>
              </w:rPr>
              <w:t>nedoslýchavé</w:t>
            </w:r>
            <w:r w:rsidR="0048473E" w:rsidRPr="0048473E">
              <w:rPr>
                <w:b/>
                <w:i/>
              </w:rPr>
              <w:t xml:space="preserve"> a </w:t>
            </w:r>
            <w:r w:rsidRPr="0048473E">
              <w:rPr>
                <w:b/>
                <w:i/>
              </w:rPr>
              <w:t>znakový jazyk, která zlepšuje přístupnost audiovizuálního obsahu pro ženy</w:t>
            </w:r>
            <w:r w:rsidR="0048473E" w:rsidRPr="0048473E">
              <w:rPr>
                <w:b/>
                <w:i/>
              </w:rPr>
              <w:t xml:space="preserve"> i </w:t>
            </w:r>
            <w:r w:rsidRPr="0048473E">
              <w:rPr>
                <w:b/>
                <w:i/>
              </w:rPr>
              <w:t>muže se zdravotním postižením;</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42</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3 – odst. 3</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3.</w:t>
            </w:r>
            <w:r w:rsidRPr="0048473E">
              <w:tab/>
              <w:t>Tyto samoobslužné terminály: automatické bankovní stroje (bankomaty), stroje pro výdej lístků</w:t>
            </w:r>
            <w:r w:rsidR="0048473E" w:rsidRPr="0048473E">
              <w:t xml:space="preserve"> a </w:t>
            </w:r>
            <w:r w:rsidRPr="0048473E">
              <w:t>jízdenek</w:t>
            </w:r>
            <w:r w:rsidR="0048473E" w:rsidRPr="0048473E">
              <w:t xml:space="preserve"> a </w:t>
            </w:r>
            <w:r w:rsidRPr="0048473E">
              <w:t>odbavovací kiosky musí splňovat požadavky stanovené</w:t>
            </w:r>
            <w:r w:rsidR="0048473E" w:rsidRPr="0048473E">
              <w:t xml:space="preserve"> v </w:t>
            </w:r>
            <w:r w:rsidRPr="0048473E">
              <w:t>oddíle II přílohy I.</w:t>
            </w:r>
          </w:p>
        </w:tc>
        <w:tc>
          <w:tcPr>
            <w:tcW w:w="4876" w:type="dxa"/>
            <w:hideMark/>
          </w:tcPr>
          <w:p w:rsidR="00F23F92" w:rsidRPr="0048473E" w:rsidRDefault="00F23F92" w:rsidP="00F23F92">
            <w:pPr>
              <w:pStyle w:val="Normal6"/>
              <w:rPr>
                <w:szCs w:val="24"/>
              </w:rPr>
            </w:pPr>
            <w:r w:rsidRPr="0048473E">
              <w:t>3.</w:t>
            </w:r>
            <w:r w:rsidRPr="0048473E">
              <w:tab/>
              <w:t>Tyto samoobslužné terminály: automatické bankovní stroje (bankomaty), stroje pro výdej lístků</w:t>
            </w:r>
            <w:r w:rsidR="0048473E" w:rsidRPr="0048473E">
              <w:t xml:space="preserve"> a </w:t>
            </w:r>
            <w:r w:rsidRPr="0048473E">
              <w:t>jízdenek</w:t>
            </w:r>
            <w:r w:rsidRPr="0048473E">
              <w:rPr>
                <w:b/>
                <w:i/>
              </w:rPr>
              <w:t>, automaty na jídlo</w:t>
            </w:r>
            <w:r w:rsidR="0048473E" w:rsidRPr="0048473E">
              <w:rPr>
                <w:b/>
                <w:i/>
              </w:rPr>
              <w:t xml:space="preserve"> a </w:t>
            </w:r>
            <w:r w:rsidRPr="0048473E">
              <w:rPr>
                <w:b/>
                <w:i/>
              </w:rPr>
              <w:t>nápoje</w:t>
            </w:r>
            <w:r w:rsidR="0048473E" w:rsidRPr="0048473E">
              <w:t xml:space="preserve"> a </w:t>
            </w:r>
            <w:r w:rsidRPr="0048473E">
              <w:t>odbavovací kiosky musí splňovat požadavky stanovené</w:t>
            </w:r>
            <w:r w:rsidR="0048473E" w:rsidRPr="0048473E">
              <w:t xml:space="preserve"> v </w:t>
            </w:r>
            <w:r w:rsidRPr="0048473E">
              <w:t>oddíle II přílohy I.</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43</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3 – odst. 3</w:t>
      </w:r>
      <w:r w:rsidR="0048473E" w:rsidRPr="0048473E">
        <w:t xml:space="preserve"> a </w:t>
      </w:r>
      <w:r w:rsidRPr="0048473E">
        <w:t>(nový)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48473E">
            <w:pPr>
              <w:pStyle w:val="Normal6"/>
              <w:rPr>
                <w:szCs w:val="24"/>
              </w:rPr>
            </w:pPr>
            <w:r w:rsidRPr="0048473E">
              <w:rPr>
                <w:b/>
                <w:i/>
              </w:rPr>
              <w:t>3a.</w:t>
            </w:r>
            <w:r w:rsidRPr="0048473E">
              <w:tab/>
            </w:r>
            <w:r w:rsidRPr="0048473E">
              <w:rPr>
                <w:b/>
                <w:i/>
              </w:rPr>
              <w:t>Domácí elektronické přístroje, včetně obalu, musí být</w:t>
            </w:r>
            <w:r w:rsidR="0048473E" w:rsidRPr="0048473E">
              <w:rPr>
                <w:b/>
                <w:i/>
              </w:rPr>
              <w:t xml:space="preserve"> v </w:t>
            </w:r>
            <w:r w:rsidRPr="0048473E">
              <w:rPr>
                <w:b/>
                <w:i/>
              </w:rPr>
              <w:t>souladu</w:t>
            </w:r>
            <w:r w:rsidR="0048473E" w:rsidRPr="0048473E">
              <w:rPr>
                <w:b/>
                <w:i/>
              </w:rPr>
              <w:t xml:space="preserve"> s </w:t>
            </w:r>
            <w:r w:rsidRPr="0048473E">
              <w:rPr>
                <w:b/>
                <w:i/>
              </w:rPr>
              <w:t>požadavky stanovenými</w:t>
            </w:r>
            <w:r w:rsidR="0048473E" w:rsidRPr="0048473E">
              <w:rPr>
                <w:b/>
                <w:i/>
              </w:rPr>
              <w:t xml:space="preserve"> v </w:t>
            </w:r>
            <w:r w:rsidRPr="0048473E">
              <w:rPr>
                <w:b/>
                <w:i/>
              </w:rPr>
              <w:t xml:space="preserve">příloze </w:t>
            </w:r>
            <w:r w:rsidR="0048473E">
              <w:rPr>
                <w:b/>
                <w:i/>
              </w:rPr>
              <w:t>I</w:t>
            </w:r>
            <w:r w:rsidRPr="0048473E">
              <w:rPr>
                <w:b/>
                <w:i/>
              </w:rPr>
              <w:t xml:space="preserve"> oddílu X.</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44</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3 – odst. 4</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4.</w:t>
            </w:r>
            <w:r w:rsidRPr="0048473E">
              <w:tab/>
              <w:t>Telefonní služby, včetně služeb tísňového volání,</w:t>
            </w:r>
            <w:r w:rsidR="0048473E" w:rsidRPr="0048473E">
              <w:t xml:space="preserve"> a </w:t>
            </w:r>
            <w:r w:rsidRPr="0048473E">
              <w:t>související koncová zařízení</w:t>
            </w:r>
            <w:r w:rsidR="0048473E" w:rsidRPr="0048473E">
              <w:t xml:space="preserve"> s </w:t>
            </w:r>
            <w:r w:rsidRPr="0048473E">
              <w:t>pokročilým informačním potenciálem určená pro veřejnost musí splňovat požadavky stanovené</w:t>
            </w:r>
            <w:r w:rsidR="0048473E" w:rsidRPr="0048473E">
              <w:t xml:space="preserve"> v </w:t>
            </w:r>
            <w:r w:rsidRPr="0048473E">
              <w:t>oddíle III přílohy I.</w:t>
            </w:r>
          </w:p>
        </w:tc>
        <w:tc>
          <w:tcPr>
            <w:tcW w:w="4876" w:type="dxa"/>
            <w:hideMark/>
          </w:tcPr>
          <w:p w:rsidR="00F23F92" w:rsidRPr="0048473E" w:rsidRDefault="00F23F92" w:rsidP="00F23F92">
            <w:pPr>
              <w:pStyle w:val="Normal6"/>
              <w:rPr>
                <w:szCs w:val="24"/>
              </w:rPr>
            </w:pPr>
            <w:r w:rsidRPr="0048473E">
              <w:t>4.</w:t>
            </w:r>
            <w:r w:rsidRPr="0048473E">
              <w:tab/>
              <w:t>Telefonní služby, včetně služeb tísňového volání,</w:t>
            </w:r>
            <w:r w:rsidR="0048473E" w:rsidRPr="0048473E">
              <w:t xml:space="preserve"> a </w:t>
            </w:r>
            <w:r w:rsidRPr="0048473E">
              <w:t>související koncová zařízení</w:t>
            </w:r>
            <w:r w:rsidR="0048473E" w:rsidRPr="0048473E">
              <w:t xml:space="preserve"> s </w:t>
            </w:r>
            <w:r w:rsidRPr="0048473E">
              <w:t>pokročilým informačním potenciálem určená pro veřejnost musí splňovat požadavky stanovené</w:t>
            </w:r>
            <w:r w:rsidR="0048473E" w:rsidRPr="0048473E">
              <w:t xml:space="preserve"> v </w:t>
            </w:r>
            <w:r w:rsidRPr="0048473E">
              <w:t xml:space="preserve">oddíle III přílohy I. </w:t>
            </w:r>
            <w:r w:rsidRPr="0048473E">
              <w:rPr>
                <w:b/>
                <w:i/>
              </w:rPr>
              <w:t>Členské státy zajistí na celém svém území dostupnost alespoň jedné služby pro přenos textu</w:t>
            </w:r>
            <w:r w:rsidR="0048473E" w:rsidRPr="0048473E">
              <w:rPr>
                <w:b/>
                <w:i/>
              </w:rPr>
              <w:t xml:space="preserve"> a </w:t>
            </w:r>
            <w:r w:rsidRPr="0048473E">
              <w:rPr>
                <w:b/>
                <w:i/>
              </w:rPr>
              <w:t>jedné služby pro přenos videa</w:t>
            </w:r>
            <w:r w:rsidR="0048473E" w:rsidRPr="0048473E">
              <w:rPr>
                <w:b/>
                <w:i/>
              </w:rPr>
              <w:t xml:space="preserve"> a v </w:t>
            </w:r>
            <w:r w:rsidRPr="0048473E">
              <w:rPr>
                <w:b/>
                <w:i/>
              </w:rPr>
              <w:t>konzultaci</w:t>
            </w:r>
            <w:r w:rsidR="0048473E" w:rsidRPr="0048473E">
              <w:rPr>
                <w:b/>
                <w:i/>
              </w:rPr>
              <w:t xml:space="preserve"> s </w:t>
            </w:r>
            <w:r w:rsidRPr="0048473E">
              <w:rPr>
                <w:b/>
                <w:i/>
              </w:rPr>
              <w:t>organizacemi uživatelů, včetně organizací zastupujících osoby se zdravotním postižením, přitom neustále zajišťují, aby tyto přenosové služby byly interoperabilní</w:t>
            </w:r>
            <w:r w:rsidR="0048473E" w:rsidRPr="0048473E">
              <w:rPr>
                <w:b/>
                <w:i/>
              </w:rPr>
              <w:t xml:space="preserve"> s </w:t>
            </w:r>
            <w:r w:rsidRPr="0048473E">
              <w:rPr>
                <w:b/>
                <w:i/>
              </w:rPr>
              <w:t>telefonními službami.</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Členské státy rovněž zajistí dostupnost komunikace prostřednictvím zvuku, videa</w:t>
            </w:r>
            <w:r w:rsidR="0048473E" w:rsidRPr="0048473E">
              <w:rPr>
                <w:b/>
                <w:i/>
              </w:rPr>
              <w:t xml:space="preserve"> a </w:t>
            </w:r>
            <w:r w:rsidRPr="0048473E">
              <w:rPr>
                <w:b/>
                <w:i/>
              </w:rPr>
              <w:t>textu</w:t>
            </w:r>
            <w:r w:rsidR="0048473E" w:rsidRPr="0048473E">
              <w:rPr>
                <w:b/>
                <w:i/>
              </w:rPr>
              <w:t xml:space="preserve"> v </w:t>
            </w:r>
            <w:r w:rsidRPr="0048473E">
              <w:rPr>
                <w:b/>
                <w:i/>
              </w:rPr>
              <w:t>reálném čase („úplná konverzace“)</w:t>
            </w:r>
            <w:r w:rsidR="0048473E" w:rsidRPr="0048473E">
              <w:rPr>
                <w:b/>
                <w:i/>
              </w:rPr>
              <w:t xml:space="preserve"> s </w:t>
            </w:r>
            <w:r w:rsidRPr="0048473E">
              <w:rPr>
                <w:b/>
                <w:i/>
              </w:rPr>
              <w:t>celostátními, regionálními</w:t>
            </w:r>
            <w:r w:rsidR="0048473E" w:rsidRPr="0048473E">
              <w:rPr>
                <w:b/>
                <w:i/>
              </w:rPr>
              <w:t xml:space="preserve"> a </w:t>
            </w:r>
            <w:r w:rsidRPr="0048473E">
              <w:rPr>
                <w:b/>
                <w:i/>
              </w:rPr>
              <w:t>místními tísňovými službami, včetně tísňových linek (jako jsou ty, které nabízejí ochranu ženám, které se staly obětí násilí).</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45</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3 – odst. 5 – pododstavec 1</w:t>
      </w:r>
      <w:r w:rsidR="0048473E" w:rsidRPr="0048473E">
        <w:t xml:space="preserve"> a </w:t>
      </w:r>
      <w:r w:rsidRPr="0048473E">
        <w:t>(nový)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S cílem umožnit osobám</w:t>
            </w:r>
            <w:r w:rsidR="0048473E" w:rsidRPr="0048473E">
              <w:rPr>
                <w:b/>
                <w:i/>
              </w:rPr>
              <w:t xml:space="preserve"> s </w:t>
            </w:r>
            <w:r w:rsidRPr="0048473E">
              <w:rPr>
                <w:b/>
                <w:i/>
              </w:rPr>
              <w:t>funkčními omezeními, včetně osob se zdravotním postižením, využívání audiovizuálních mediálních služeb zajistí členské státy přístupnost těchto služeb</w:t>
            </w:r>
            <w:r w:rsidR="0048473E" w:rsidRPr="0048473E">
              <w:rPr>
                <w:b/>
                <w:i/>
              </w:rPr>
              <w:t xml:space="preserve"> i </w:t>
            </w:r>
            <w:r w:rsidRPr="0048473E">
              <w:rPr>
                <w:b/>
                <w:i/>
              </w:rPr>
              <w:t>ve znakové řeči, prostřednictvím titulků, zvukových přepisů</w:t>
            </w:r>
            <w:r w:rsidR="0048473E" w:rsidRPr="0048473E">
              <w:rPr>
                <w:b/>
                <w:i/>
              </w:rPr>
              <w:t xml:space="preserve"> a </w:t>
            </w:r>
            <w:r w:rsidRPr="0048473E">
              <w:rPr>
                <w:b/>
                <w:i/>
              </w:rPr>
              <w:t>srozumitelných pokynů</w:t>
            </w:r>
            <w:r w:rsidR="0048473E" w:rsidRPr="0048473E">
              <w:rPr>
                <w:b/>
                <w:i/>
              </w:rPr>
              <w:t xml:space="preserve"> k </w:t>
            </w:r>
            <w:r w:rsidRPr="0048473E">
              <w:rPr>
                <w:b/>
                <w:i/>
              </w:rPr>
              <w:t>orientaci</w:t>
            </w:r>
            <w:r w:rsidR="0048473E" w:rsidRPr="0048473E">
              <w:rPr>
                <w:b/>
                <w:i/>
              </w:rPr>
              <w:t xml:space="preserve"> v </w:t>
            </w:r>
            <w:r w:rsidRPr="0048473E">
              <w:rPr>
                <w:b/>
                <w:i/>
              </w:rPr>
              <w:t>nabídce se zvláštním důrazem na přístupnost audiovizuálních mediálních služeb určených dětem.</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46</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Čl. 3 – odst. 10</w:t>
      </w:r>
      <w:r w:rsidRPr="0048473E">
        <w:rPr>
          <w:rStyle w:val="HideTWBExt"/>
          <w:b w:val="0"/>
          <w:noProof w:val="0"/>
        </w:rPr>
        <w:t>&lt;/Article&gt;</w:t>
      </w:r>
    </w:p>
    <w:p w:rsidR="00F23F92" w:rsidRPr="0048473E" w:rsidRDefault="00F23F92" w:rsidP="00F23F92"/>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10.</w:t>
            </w:r>
            <w:r w:rsidRPr="0048473E">
              <w:tab/>
              <w:t xml:space="preserve">Členské státy </w:t>
            </w:r>
            <w:r w:rsidRPr="0048473E">
              <w:rPr>
                <w:b/>
                <w:i/>
              </w:rPr>
              <w:t>se mohou</w:t>
            </w:r>
            <w:r w:rsidR="0048473E" w:rsidRPr="0048473E">
              <w:rPr>
                <w:b/>
                <w:i/>
              </w:rPr>
              <w:t xml:space="preserve"> s </w:t>
            </w:r>
            <w:r w:rsidRPr="0048473E">
              <w:rPr>
                <w:b/>
                <w:i/>
              </w:rPr>
              <w:t>přihlédnutím</w:t>
            </w:r>
            <w:r w:rsidR="0048473E" w:rsidRPr="0048473E">
              <w:rPr>
                <w:b/>
                <w:i/>
              </w:rPr>
              <w:t xml:space="preserve"> k </w:t>
            </w:r>
            <w:r w:rsidRPr="0048473E">
              <w:rPr>
                <w:b/>
                <w:i/>
              </w:rPr>
              <w:t>vnitrostátním podmínkám rozhodnout</w:t>
            </w:r>
            <w:r w:rsidRPr="0048473E">
              <w:t xml:space="preserve">, </w:t>
            </w:r>
            <w:r w:rsidRPr="0048473E">
              <w:rPr>
                <w:b/>
                <w:i/>
              </w:rPr>
              <w:t>že</w:t>
            </w:r>
            <w:r w:rsidRPr="0048473E">
              <w:t xml:space="preserve"> zastavěné prostředí, které využívají uživatelé služeb přepravy cestujících, včetně prostředí spravovaného poskytovateli služeb</w:t>
            </w:r>
            <w:r w:rsidR="0048473E" w:rsidRPr="0048473E">
              <w:t xml:space="preserve"> a </w:t>
            </w:r>
            <w:r w:rsidRPr="0048473E">
              <w:t>provozovateli infrastruktury, jakož</w:t>
            </w:r>
            <w:r w:rsidR="0048473E" w:rsidRPr="0048473E">
              <w:t xml:space="preserve"> i </w:t>
            </w:r>
            <w:r w:rsidRPr="0048473E">
              <w:t>zastavěné prostředí, které využívají uživatelé bankovních služeb,</w:t>
            </w:r>
            <w:r w:rsidR="0048473E" w:rsidRPr="0048473E">
              <w:t xml:space="preserve"> a </w:t>
            </w:r>
            <w:r w:rsidRPr="0048473E">
              <w:t>klientská centra</w:t>
            </w:r>
            <w:r w:rsidR="0048473E" w:rsidRPr="0048473E">
              <w:t xml:space="preserve"> a </w:t>
            </w:r>
            <w:r w:rsidRPr="0048473E">
              <w:t xml:space="preserve">obchody provozované telefonními operátory </w:t>
            </w:r>
            <w:r w:rsidRPr="0048473E">
              <w:rPr>
                <w:b/>
                <w:i/>
              </w:rPr>
              <w:t>musí splňovat</w:t>
            </w:r>
            <w:r w:rsidRPr="0048473E">
              <w:t xml:space="preserve"> požadavky na přístupnost stanovené</w:t>
            </w:r>
            <w:r w:rsidR="0048473E" w:rsidRPr="0048473E">
              <w:t xml:space="preserve"> v </w:t>
            </w:r>
            <w:r w:rsidRPr="0048473E">
              <w:t>oddíle X přílohy I, aby osobám</w:t>
            </w:r>
            <w:r w:rsidR="0048473E" w:rsidRPr="0048473E">
              <w:t xml:space="preserve"> s </w:t>
            </w:r>
            <w:r w:rsidRPr="0048473E">
              <w:t>funkčním omezením, včetně osob se zdravotním postižením, využívání tohoto prostředí co nejvíce usnadnily.</w:t>
            </w:r>
          </w:p>
        </w:tc>
        <w:tc>
          <w:tcPr>
            <w:tcW w:w="4876" w:type="dxa"/>
            <w:hideMark/>
          </w:tcPr>
          <w:p w:rsidR="00F23F92" w:rsidRPr="0048473E" w:rsidRDefault="00F23F92" w:rsidP="00F23F92">
            <w:pPr>
              <w:pStyle w:val="Normal6"/>
              <w:rPr>
                <w:szCs w:val="24"/>
              </w:rPr>
            </w:pPr>
            <w:r w:rsidRPr="0048473E">
              <w:t>10.</w:t>
            </w:r>
            <w:r w:rsidRPr="0048473E">
              <w:tab/>
              <w:t xml:space="preserve">Členské státy </w:t>
            </w:r>
            <w:r w:rsidRPr="0048473E">
              <w:rPr>
                <w:b/>
                <w:i/>
              </w:rPr>
              <w:t>zajistí</w:t>
            </w:r>
            <w:r w:rsidRPr="0048473E">
              <w:t xml:space="preserve">, </w:t>
            </w:r>
            <w:r w:rsidRPr="0048473E">
              <w:rPr>
                <w:b/>
                <w:i/>
              </w:rPr>
              <w:t>aby</w:t>
            </w:r>
            <w:r w:rsidRPr="0048473E">
              <w:t xml:space="preserve"> zastavěné prostředí, které využívají uživatelé služeb přepravy cestujících</w:t>
            </w:r>
            <w:r w:rsidR="0048473E" w:rsidRPr="0048473E">
              <w:rPr>
                <w:b/>
                <w:i/>
              </w:rPr>
              <w:t xml:space="preserve"> a </w:t>
            </w:r>
            <w:r w:rsidRPr="0048473E">
              <w:rPr>
                <w:b/>
                <w:i/>
              </w:rPr>
              <w:t>služeb</w:t>
            </w:r>
            <w:r w:rsidRPr="0048473E">
              <w:t>, včetně prostředí spravovaného poskytovateli služeb</w:t>
            </w:r>
            <w:r w:rsidR="0048473E" w:rsidRPr="0048473E">
              <w:t xml:space="preserve"> a </w:t>
            </w:r>
            <w:r w:rsidRPr="0048473E">
              <w:t>provozovateli infrastruktury, jakož</w:t>
            </w:r>
            <w:r w:rsidR="0048473E" w:rsidRPr="0048473E">
              <w:t xml:space="preserve"> i </w:t>
            </w:r>
            <w:r w:rsidRPr="0048473E">
              <w:t>zastavěné prostředí, které využívají uživatelé bankovních</w:t>
            </w:r>
            <w:r w:rsidR="0048473E" w:rsidRPr="0048473E">
              <w:t xml:space="preserve"> a </w:t>
            </w:r>
            <w:r w:rsidRPr="0048473E">
              <w:rPr>
                <w:b/>
                <w:i/>
              </w:rPr>
              <w:t xml:space="preserve">poštovních </w:t>
            </w:r>
            <w:r w:rsidRPr="0048473E">
              <w:t>služeb,</w:t>
            </w:r>
            <w:r w:rsidR="0048473E" w:rsidRPr="0048473E">
              <w:t xml:space="preserve"> a </w:t>
            </w:r>
            <w:r w:rsidRPr="0048473E">
              <w:t>klientská centra</w:t>
            </w:r>
            <w:r w:rsidR="0048473E" w:rsidRPr="0048473E">
              <w:t xml:space="preserve"> a </w:t>
            </w:r>
            <w:r w:rsidRPr="0048473E">
              <w:t xml:space="preserve">obchody provozované telefonními operátory </w:t>
            </w:r>
            <w:r w:rsidRPr="0048473E">
              <w:rPr>
                <w:b/>
                <w:i/>
              </w:rPr>
              <w:t>splňovaly</w:t>
            </w:r>
            <w:r w:rsidRPr="0048473E">
              <w:t xml:space="preserve"> požadavky na přístupnost stanovené</w:t>
            </w:r>
            <w:r w:rsidR="0048473E" w:rsidRPr="0048473E">
              <w:t xml:space="preserve"> v </w:t>
            </w:r>
            <w:r w:rsidRPr="0048473E">
              <w:t>oddíle X přílohy I, aby osobám</w:t>
            </w:r>
            <w:r w:rsidR="0048473E" w:rsidRPr="0048473E">
              <w:t xml:space="preserve"> s </w:t>
            </w:r>
            <w:r w:rsidRPr="0048473E">
              <w:t>funkčním omezením, včetně osob se zdravotním postižením</w:t>
            </w:r>
            <w:r w:rsidR="0048473E" w:rsidRPr="0048473E">
              <w:rPr>
                <w:b/>
                <w:i/>
              </w:rPr>
              <w:t xml:space="preserve"> a </w:t>
            </w:r>
            <w:r w:rsidRPr="0048473E">
              <w:rPr>
                <w:b/>
                <w:i/>
              </w:rPr>
              <w:t>starších osob</w:t>
            </w:r>
            <w:r w:rsidRPr="0048473E">
              <w:t>, využívání tohoto prostředí co nejvíce usnadnily.</w:t>
            </w:r>
          </w:p>
        </w:tc>
      </w:tr>
    </w:tbl>
    <w:p w:rsidR="00F23F92" w:rsidRPr="0048473E" w:rsidRDefault="00F23F92" w:rsidP="00F23F92">
      <w:pPr>
        <w:rPr>
          <w:szCs w:val="20"/>
        </w:rPr>
      </w:pPr>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47</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5 – odst. 5 – pododstavec 1</w:t>
      </w:r>
      <w:r w:rsidR="0048473E" w:rsidRPr="0048473E">
        <w:t xml:space="preserve"> a </w:t>
      </w:r>
      <w:r w:rsidRPr="0048473E">
        <w:t>(nový)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Tyto registry jsou veřejné</w:t>
            </w:r>
            <w:r w:rsidR="0048473E" w:rsidRPr="0048473E">
              <w:rPr>
                <w:b/>
                <w:i/>
              </w:rPr>
              <w:t xml:space="preserve"> a </w:t>
            </w:r>
            <w:r w:rsidRPr="0048473E">
              <w:rPr>
                <w:b/>
                <w:i/>
              </w:rPr>
              <w:t>jsou průběžně aktualizovány prostřednictvím opatření přijatých výrobcem, která souvis</w:t>
            </w:r>
            <w:r w:rsidR="009F4B61">
              <w:rPr>
                <w:b/>
                <w:i/>
              </w:rPr>
              <w:t>ej</w:t>
            </w:r>
            <w:r w:rsidRPr="0048473E">
              <w:rPr>
                <w:b/>
                <w:i/>
              </w:rPr>
              <w:t>í</w:t>
            </w:r>
            <w:r w:rsidR="0048473E" w:rsidRPr="0048473E">
              <w:rPr>
                <w:b/>
                <w:i/>
              </w:rPr>
              <w:t xml:space="preserve"> s </w:t>
            </w:r>
            <w:r w:rsidRPr="0048473E">
              <w:rPr>
                <w:b/>
                <w:i/>
              </w:rPr>
              <w:t>nevyhovujícími výrobky</w:t>
            </w:r>
            <w:r w:rsidR="0048473E" w:rsidRPr="0048473E">
              <w:rPr>
                <w:b/>
                <w:i/>
              </w:rPr>
              <w:t xml:space="preserve"> a </w:t>
            </w:r>
            <w:r w:rsidRPr="0048473E">
              <w:rPr>
                <w:b/>
                <w:i/>
              </w:rPr>
              <w:t>výrobky staženými</w:t>
            </w:r>
            <w:r w:rsidR="0048473E" w:rsidRPr="0048473E">
              <w:rPr>
                <w:b/>
                <w:i/>
              </w:rPr>
              <w:t xml:space="preserve"> z </w:t>
            </w:r>
            <w:r w:rsidRPr="0048473E">
              <w:rPr>
                <w:b/>
                <w:i/>
              </w:rPr>
              <w:t>oběhu.</w:t>
            </w:r>
          </w:p>
        </w:tc>
      </w:tr>
    </w:tbl>
    <w:p w:rsidR="00F23F92" w:rsidRPr="0048473E" w:rsidRDefault="00F23F92" w:rsidP="00F23F92">
      <w:pPr>
        <w:rPr>
          <w:szCs w:val="20"/>
        </w:rPr>
      </w:pPr>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48</w:t>
      </w:r>
      <w:r w:rsidRPr="0048473E">
        <w:rPr>
          <w:rStyle w:val="HideTWBExt"/>
          <w:b w:val="0"/>
          <w:noProof w:val="0"/>
        </w:rPr>
        <w:t>&lt;/NumAm&gt;</w:t>
      </w:r>
    </w:p>
    <w:p w:rsidR="00F23F92" w:rsidRPr="0048473E" w:rsidRDefault="00F23F92" w:rsidP="00F23F92">
      <w:pPr>
        <w:pStyle w:val="NormalBold12b"/>
        <w:keepNext/>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Čl. 5 – odst. 9</w:t>
      </w:r>
      <w:r w:rsidRPr="0048473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tcPr>
          <w:p w:rsidR="00F23F92" w:rsidRPr="0048473E" w:rsidRDefault="00F23F92" w:rsidP="00F23F92">
            <w:pPr>
              <w:pStyle w:val="ColumnHeading"/>
              <w:keepNext/>
            </w:pPr>
            <w:r w:rsidRPr="0048473E">
              <w:t>Znění navržené Komisí</w:t>
            </w:r>
          </w:p>
        </w:tc>
        <w:tc>
          <w:tcPr>
            <w:tcW w:w="4876" w:type="dxa"/>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r w:rsidRPr="0048473E">
              <w:t>9.</w:t>
            </w:r>
            <w:r w:rsidRPr="0048473E">
              <w:tab/>
              <w:t xml:space="preserve">Výrobci poskytnou </w:t>
            </w:r>
            <w:r w:rsidRPr="0048473E">
              <w:rPr>
                <w:b/>
                <w:i/>
              </w:rPr>
              <w:t>příslušnému vnitrostátnímu orgánu na základě jeho odůvodněné žádosti</w:t>
            </w:r>
            <w:r w:rsidRPr="0048473E">
              <w:t xml:space="preserve"> všechny informace</w:t>
            </w:r>
            <w:r w:rsidR="0048473E" w:rsidRPr="0048473E">
              <w:t xml:space="preserve"> a </w:t>
            </w:r>
            <w:r w:rsidRPr="0048473E">
              <w:t>dokumentaci nezbytné</w:t>
            </w:r>
            <w:r w:rsidR="0048473E" w:rsidRPr="0048473E">
              <w:t xml:space="preserve"> k </w:t>
            </w:r>
            <w:r w:rsidRPr="0048473E">
              <w:t>prokázání shody výrobku,</w:t>
            </w:r>
            <w:r w:rsidR="0048473E" w:rsidRPr="0048473E">
              <w:t xml:space="preserve"> a </w:t>
            </w:r>
            <w:r w:rsidRPr="0048473E">
              <w:t>to</w:t>
            </w:r>
            <w:r w:rsidR="0048473E" w:rsidRPr="0048473E">
              <w:t xml:space="preserve"> v </w:t>
            </w:r>
            <w:r w:rsidRPr="0048473E">
              <w:t>jazyce</w:t>
            </w:r>
            <w:r w:rsidRPr="0048473E">
              <w:rPr>
                <w:b/>
                <w:i/>
              </w:rPr>
              <w:t xml:space="preserve"> snadno srozumitelném tomuto orgánu</w:t>
            </w:r>
            <w:r w:rsidRPr="0048473E">
              <w:t>. Spolupracují</w:t>
            </w:r>
            <w:r w:rsidR="0048473E" w:rsidRPr="0048473E">
              <w:t xml:space="preserve"> s </w:t>
            </w:r>
            <w:r w:rsidRPr="0048473E">
              <w:t>tímto orgánem na jeho žádost při činnostech, jejichž cílem je odstranit rizika vyvolaná výrobky, které uvedli na trh,</w:t>
            </w:r>
            <w:r w:rsidR="0048473E" w:rsidRPr="0048473E">
              <w:t xml:space="preserve"> a </w:t>
            </w:r>
            <w:r w:rsidRPr="0048473E">
              <w:t>zajistit soulad</w:t>
            </w:r>
            <w:r w:rsidR="0048473E" w:rsidRPr="0048473E">
              <w:t xml:space="preserve"> s </w:t>
            </w:r>
            <w:r w:rsidRPr="0048473E">
              <w:t>požadavky uvedenými</w:t>
            </w:r>
            <w:r w:rsidR="0048473E" w:rsidRPr="0048473E">
              <w:t xml:space="preserve"> v </w:t>
            </w:r>
            <w:r w:rsidRPr="0048473E">
              <w:t>článku 3.</w:t>
            </w:r>
          </w:p>
        </w:tc>
        <w:tc>
          <w:tcPr>
            <w:tcW w:w="4876" w:type="dxa"/>
          </w:tcPr>
          <w:p w:rsidR="00F23F92" w:rsidRPr="0048473E" w:rsidRDefault="00F23F92" w:rsidP="00F23F92">
            <w:pPr>
              <w:pStyle w:val="Normal6"/>
              <w:rPr>
                <w:szCs w:val="24"/>
              </w:rPr>
            </w:pPr>
            <w:r w:rsidRPr="0048473E">
              <w:t>9.</w:t>
            </w:r>
            <w:r w:rsidRPr="0048473E">
              <w:tab/>
              <w:t xml:space="preserve">Výrobci poskytnou </w:t>
            </w:r>
            <w:r w:rsidRPr="0048473E">
              <w:rPr>
                <w:b/>
                <w:i/>
              </w:rPr>
              <w:t>příslušným vnitrostátním orgánům</w:t>
            </w:r>
            <w:r w:rsidRPr="0048473E">
              <w:t xml:space="preserve"> všechny informace</w:t>
            </w:r>
            <w:r w:rsidR="0048473E" w:rsidRPr="0048473E">
              <w:t xml:space="preserve"> a </w:t>
            </w:r>
            <w:r w:rsidRPr="0048473E">
              <w:t>dokumentaci nezbytné</w:t>
            </w:r>
            <w:r w:rsidR="0048473E" w:rsidRPr="0048473E">
              <w:t xml:space="preserve"> k </w:t>
            </w:r>
            <w:r w:rsidRPr="0048473E">
              <w:t>prokázání shody výrobku,</w:t>
            </w:r>
            <w:r w:rsidR="0048473E" w:rsidRPr="0048473E">
              <w:t xml:space="preserve"> a </w:t>
            </w:r>
            <w:r w:rsidRPr="0048473E">
              <w:t>to</w:t>
            </w:r>
            <w:r w:rsidR="0048473E" w:rsidRPr="0048473E">
              <w:t xml:space="preserve"> v </w:t>
            </w:r>
            <w:r w:rsidRPr="0048473E">
              <w:t>jazyce</w:t>
            </w:r>
            <w:r w:rsidRPr="0048473E">
              <w:rPr>
                <w:b/>
                <w:i/>
              </w:rPr>
              <w:t>, kterému dotyčný orgán snadno porozumí</w:t>
            </w:r>
            <w:r w:rsidRPr="0048473E">
              <w:t>. Spolupracují</w:t>
            </w:r>
            <w:r w:rsidR="0048473E" w:rsidRPr="0048473E">
              <w:t xml:space="preserve"> s </w:t>
            </w:r>
            <w:r w:rsidRPr="0048473E">
              <w:t>tímto orgánem na jeho žádost při činnostech, jejichž cílem je odstranit rizika vyvolaná výrobky, které uvedli na trh,</w:t>
            </w:r>
            <w:r w:rsidR="0048473E" w:rsidRPr="0048473E">
              <w:t xml:space="preserve"> a </w:t>
            </w:r>
            <w:r w:rsidRPr="0048473E">
              <w:t>zajistit soulad</w:t>
            </w:r>
            <w:r w:rsidR="0048473E" w:rsidRPr="0048473E">
              <w:t xml:space="preserve"> s </w:t>
            </w:r>
            <w:r w:rsidRPr="0048473E">
              <w:t>požadavky uvedenými</w:t>
            </w:r>
            <w:r w:rsidR="0048473E" w:rsidRPr="0048473E">
              <w:t xml:space="preserve"> v </w:t>
            </w:r>
            <w:r w:rsidRPr="0048473E">
              <w:t>článku 3.</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49</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7 – odst. 7</w:t>
      </w:r>
      <w:r w:rsidR="0048473E" w:rsidRPr="0048473E">
        <w:t xml:space="preserve"> a </w:t>
      </w:r>
      <w:r w:rsidRPr="0048473E">
        <w:t>(nový)</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hideMark/>
          </w:tcPr>
          <w:p w:rsidR="00F23F92" w:rsidRPr="0048473E" w:rsidRDefault="00F23F92" w:rsidP="00F23F92">
            <w:pPr>
              <w:pStyle w:val="Normal6"/>
              <w:rPr>
                <w:szCs w:val="24"/>
              </w:rPr>
            </w:pPr>
            <w:r w:rsidRPr="0048473E">
              <w:rPr>
                <w:b/>
                <w:i/>
              </w:rPr>
              <w:t>7a.</w:t>
            </w:r>
            <w:r w:rsidRPr="0048473E">
              <w:tab/>
            </w:r>
            <w:r w:rsidRPr="0048473E">
              <w:rPr>
                <w:b/>
                <w:i/>
              </w:rPr>
              <w:t>Tyto registry jsou veřejné</w:t>
            </w:r>
            <w:r w:rsidR="0048473E" w:rsidRPr="0048473E">
              <w:rPr>
                <w:b/>
                <w:i/>
              </w:rPr>
              <w:t xml:space="preserve"> a </w:t>
            </w:r>
            <w:r w:rsidRPr="0048473E">
              <w:rPr>
                <w:b/>
                <w:i/>
              </w:rPr>
              <w:t>jsou průběžně aktualizovány prostřednictvím opatření přijatých dovozcem, která souvis</w:t>
            </w:r>
            <w:r w:rsidR="00F65F9D">
              <w:rPr>
                <w:b/>
                <w:i/>
              </w:rPr>
              <w:t>ej</w:t>
            </w:r>
            <w:r w:rsidRPr="0048473E">
              <w:rPr>
                <w:b/>
                <w:i/>
              </w:rPr>
              <w:t>í</w:t>
            </w:r>
            <w:r w:rsidR="0048473E" w:rsidRPr="0048473E">
              <w:rPr>
                <w:b/>
                <w:i/>
              </w:rPr>
              <w:t xml:space="preserve"> s </w:t>
            </w:r>
            <w:r w:rsidRPr="0048473E">
              <w:rPr>
                <w:b/>
                <w:i/>
              </w:rPr>
              <w:t>nevyhovujícími výrobky</w:t>
            </w:r>
            <w:r w:rsidR="0048473E" w:rsidRPr="0048473E">
              <w:rPr>
                <w:b/>
                <w:i/>
              </w:rPr>
              <w:t xml:space="preserve"> a </w:t>
            </w:r>
            <w:r w:rsidRPr="0048473E">
              <w:rPr>
                <w:b/>
                <w:i/>
              </w:rPr>
              <w:t>výrobky staženými</w:t>
            </w:r>
            <w:r w:rsidR="0048473E" w:rsidRPr="0048473E">
              <w:rPr>
                <w:b/>
                <w:i/>
              </w:rPr>
              <w:t xml:space="preserve"> z </w:t>
            </w:r>
            <w:r w:rsidRPr="0048473E">
              <w:rPr>
                <w:b/>
                <w:i/>
              </w:rPr>
              <w:t>oběhu.</w:t>
            </w:r>
          </w:p>
        </w:tc>
      </w:tr>
    </w:tbl>
    <w:p w:rsidR="00F23F92" w:rsidRPr="0048473E" w:rsidRDefault="00F23F92" w:rsidP="00F23F92">
      <w:pPr>
        <w:rPr>
          <w:szCs w:val="20"/>
        </w:rPr>
      </w:pPr>
      <w:r w:rsidRPr="0048473E">
        <w:rPr>
          <w:rStyle w:val="HideTWBExt"/>
          <w:noProof w:val="0"/>
        </w:rPr>
        <w:t>&lt;/Amend&gt;</w:t>
      </w:r>
    </w:p>
    <w:p w:rsidR="00F23F92" w:rsidRPr="0048473E" w:rsidRDefault="00F23F92" w:rsidP="00F23F92"/>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50</w:t>
      </w:r>
      <w:r w:rsidRPr="0048473E">
        <w:rPr>
          <w:rStyle w:val="HideTWBExt"/>
          <w:b w:val="0"/>
          <w:noProof w:val="0"/>
        </w:rPr>
        <w:t>&lt;/NumAm&gt;</w:t>
      </w:r>
    </w:p>
    <w:p w:rsidR="00F23F92" w:rsidRPr="0048473E" w:rsidRDefault="00F23F92" w:rsidP="00F23F92">
      <w:pPr>
        <w:pStyle w:val="NormalBold12b"/>
        <w:keepNext/>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Čl. 7 – bod 9</w:t>
      </w:r>
      <w:r w:rsidRPr="0048473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tcPr>
          <w:p w:rsidR="00F23F92" w:rsidRPr="0048473E" w:rsidRDefault="00F23F92" w:rsidP="00F23F92">
            <w:pPr>
              <w:pStyle w:val="ColumnHeading"/>
              <w:keepNext/>
            </w:pPr>
            <w:r w:rsidRPr="0048473E">
              <w:t>Znění navržené Komisí</w:t>
            </w:r>
          </w:p>
        </w:tc>
        <w:tc>
          <w:tcPr>
            <w:tcW w:w="4876" w:type="dxa"/>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r w:rsidRPr="0048473E">
              <w:t>9.</w:t>
            </w:r>
            <w:r w:rsidRPr="0048473E">
              <w:tab/>
              <w:t xml:space="preserve">Dovozci poskytnou </w:t>
            </w:r>
            <w:r w:rsidRPr="0048473E">
              <w:rPr>
                <w:b/>
                <w:i/>
              </w:rPr>
              <w:t>příslušnému vnitrostátnímu orgánu na základě jeho odůvodněné žádosti</w:t>
            </w:r>
            <w:r w:rsidRPr="0048473E">
              <w:t xml:space="preserve"> všechny informace</w:t>
            </w:r>
            <w:r w:rsidR="0048473E" w:rsidRPr="0048473E">
              <w:t xml:space="preserve"> a </w:t>
            </w:r>
            <w:r w:rsidRPr="0048473E">
              <w:t>dokumentaci nezbytné</w:t>
            </w:r>
            <w:r w:rsidR="0048473E" w:rsidRPr="0048473E">
              <w:t xml:space="preserve"> k </w:t>
            </w:r>
            <w:r w:rsidRPr="0048473E">
              <w:t>prokázání shody výrobku,</w:t>
            </w:r>
            <w:r w:rsidR="0048473E" w:rsidRPr="0048473E">
              <w:t xml:space="preserve"> a </w:t>
            </w:r>
            <w:r w:rsidRPr="0048473E">
              <w:t>to</w:t>
            </w:r>
            <w:r w:rsidR="0048473E" w:rsidRPr="0048473E">
              <w:t xml:space="preserve"> v </w:t>
            </w:r>
            <w:r w:rsidRPr="0048473E">
              <w:t>jazyce</w:t>
            </w:r>
            <w:r w:rsidRPr="0048473E">
              <w:rPr>
                <w:b/>
                <w:i/>
              </w:rPr>
              <w:t xml:space="preserve"> snadno srozumitelném tomuto orgánu</w:t>
            </w:r>
            <w:r w:rsidRPr="0048473E">
              <w:t>. Spolupracují</w:t>
            </w:r>
            <w:r w:rsidR="0048473E" w:rsidRPr="0048473E">
              <w:t xml:space="preserve"> s </w:t>
            </w:r>
            <w:r w:rsidRPr="0048473E">
              <w:t>tímto orgánem na jeho žádost při činnostech, jejichž cílem je odstranit rizika vyvolaná výrobky, které uvedli na trh.</w:t>
            </w:r>
          </w:p>
        </w:tc>
        <w:tc>
          <w:tcPr>
            <w:tcW w:w="4876" w:type="dxa"/>
          </w:tcPr>
          <w:p w:rsidR="00F23F92" w:rsidRPr="0048473E" w:rsidRDefault="00F23F92" w:rsidP="00F23F92">
            <w:pPr>
              <w:pStyle w:val="Normal6"/>
              <w:rPr>
                <w:szCs w:val="24"/>
              </w:rPr>
            </w:pPr>
            <w:r w:rsidRPr="0048473E">
              <w:t>9.</w:t>
            </w:r>
            <w:r w:rsidRPr="0048473E">
              <w:tab/>
              <w:t xml:space="preserve">Dovozci poskytnou </w:t>
            </w:r>
            <w:r w:rsidRPr="0048473E">
              <w:rPr>
                <w:b/>
                <w:i/>
              </w:rPr>
              <w:t>příslušným vnitrostátním orgánům</w:t>
            </w:r>
            <w:r w:rsidRPr="0048473E">
              <w:t xml:space="preserve"> všechny informace</w:t>
            </w:r>
            <w:r w:rsidR="0048473E" w:rsidRPr="0048473E">
              <w:t xml:space="preserve"> a </w:t>
            </w:r>
            <w:r w:rsidRPr="0048473E">
              <w:t>dokumentaci nezbytné</w:t>
            </w:r>
            <w:r w:rsidR="0048473E" w:rsidRPr="0048473E">
              <w:t xml:space="preserve"> k </w:t>
            </w:r>
            <w:r w:rsidRPr="0048473E">
              <w:t>prokázání shody výrobku,</w:t>
            </w:r>
            <w:r w:rsidR="0048473E" w:rsidRPr="0048473E">
              <w:t xml:space="preserve"> a </w:t>
            </w:r>
            <w:r w:rsidRPr="0048473E">
              <w:t>to</w:t>
            </w:r>
            <w:r w:rsidR="0048473E" w:rsidRPr="0048473E">
              <w:t xml:space="preserve"> v </w:t>
            </w:r>
            <w:r w:rsidRPr="0048473E">
              <w:t>jazyce</w:t>
            </w:r>
            <w:r w:rsidRPr="0048473E">
              <w:rPr>
                <w:b/>
                <w:i/>
              </w:rPr>
              <w:t>, kterému dotyčný orgán snadno porozumí</w:t>
            </w:r>
            <w:r w:rsidRPr="0048473E">
              <w:t>. Spolupracují</w:t>
            </w:r>
            <w:r w:rsidR="0048473E" w:rsidRPr="0048473E">
              <w:t xml:space="preserve"> s </w:t>
            </w:r>
            <w:r w:rsidRPr="0048473E">
              <w:t>tímto orgánem na jeho žádost při činnostech, jejichž cílem je odstranit rizika vyvolaná výrobky, které uvedli na trh.</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51</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8 – odst. 6</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6.</w:t>
            </w:r>
            <w:r w:rsidRPr="0048473E">
              <w:tab/>
              <w:t xml:space="preserve">Distributoři poskytnou </w:t>
            </w:r>
            <w:r w:rsidRPr="0048473E">
              <w:rPr>
                <w:b/>
                <w:i/>
              </w:rPr>
              <w:t>příslušnému vnitrostátnímu orgánu na základě jeho odůvodněné žádosti</w:t>
            </w:r>
            <w:r w:rsidRPr="0048473E">
              <w:t xml:space="preserve"> všechny informace</w:t>
            </w:r>
            <w:r w:rsidR="0048473E" w:rsidRPr="0048473E">
              <w:t xml:space="preserve"> a </w:t>
            </w:r>
            <w:r w:rsidRPr="0048473E">
              <w:t>dokumentaci nezbytné</w:t>
            </w:r>
            <w:r w:rsidR="0048473E" w:rsidRPr="0048473E">
              <w:t xml:space="preserve"> k </w:t>
            </w:r>
            <w:r w:rsidRPr="0048473E">
              <w:t>prokázání shody výrobku. Spolupracují</w:t>
            </w:r>
            <w:r w:rsidR="0048473E" w:rsidRPr="0048473E">
              <w:t xml:space="preserve"> s </w:t>
            </w:r>
            <w:r w:rsidRPr="0048473E">
              <w:t>tímto orgánem na jeho žádost při činnostech, jejichž cílem je odstranit rizika vyvolaná výrobky, které uvedli na trh.</w:t>
            </w:r>
          </w:p>
        </w:tc>
        <w:tc>
          <w:tcPr>
            <w:tcW w:w="4876" w:type="dxa"/>
            <w:hideMark/>
          </w:tcPr>
          <w:p w:rsidR="00F23F92" w:rsidRPr="0048473E" w:rsidRDefault="00F23F92" w:rsidP="00F23F92">
            <w:pPr>
              <w:pStyle w:val="Normal6"/>
              <w:rPr>
                <w:szCs w:val="24"/>
              </w:rPr>
            </w:pPr>
            <w:r w:rsidRPr="0048473E">
              <w:t>6.</w:t>
            </w:r>
            <w:r w:rsidRPr="0048473E">
              <w:tab/>
              <w:t xml:space="preserve">Distributoři poskytnou </w:t>
            </w:r>
            <w:r w:rsidRPr="0048473E">
              <w:rPr>
                <w:b/>
                <w:i/>
              </w:rPr>
              <w:t>příslušným vnitrostátním orgánům</w:t>
            </w:r>
            <w:r w:rsidRPr="0048473E">
              <w:t xml:space="preserve"> všechny informace</w:t>
            </w:r>
            <w:r w:rsidR="0048473E" w:rsidRPr="0048473E">
              <w:t xml:space="preserve"> a </w:t>
            </w:r>
            <w:r w:rsidRPr="0048473E">
              <w:t>dokumentaci nezbytné</w:t>
            </w:r>
            <w:r w:rsidR="0048473E" w:rsidRPr="0048473E">
              <w:t xml:space="preserve"> k </w:t>
            </w:r>
            <w:r w:rsidRPr="0048473E">
              <w:t>prokázání shody výrobku. Spolupracují</w:t>
            </w:r>
            <w:r w:rsidR="0048473E" w:rsidRPr="0048473E">
              <w:t xml:space="preserve"> s </w:t>
            </w:r>
            <w:r w:rsidRPr="0048473E">
              <w:t>tímto orgánem</w:t>
            </w:r>
            <w:r w:rsidRPr="0048473E">
              <w:rPr>
                <w:b/>
                <w:i/>
              </w:rPr>
              <w:t xml:space="preserve"> nebo</w:t>
            </w:r>
            <w:r w:rsidR="0048473E" w:rsidRPr="0048473E">
              <w:rPr>
                <w:b/>
                <w:i/>
              </w:rPr>
              <w:t xml:space="preserve"> s </w:t>
            </w:r>
            <w:r w:rsidRPr="0048473E">
              <w:rPr>
                <w:b/>
                <w:i/>
              </w:rPr>
              <w:t>dotčenými orgány</w:t>
            </w:r>
            <w:r w:rsidRPr="0048473E">
              <w:t xml:space="preserve"> na jeho žádost při činnostech, jejichž cílem je odstranit rizika vyvolaná výrobky, které uvedli na trh.</w:t>
            </w:r>
          </w:p>
        </w:tc>
      </w:tr>
    </w:tbl>
    <w:p w:rsidR="00F23F92" w:rsidRPr="0048473E" w:rsidRDefault="00F23F92" w:rsidP="00F23F92">
      <w:pPr>
        <w:rPr>
          <w:szCs w:val="20"/>
        </w:rPr>
      </w:pPr>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52</w:t>
      </w:r>
      <w:r w:rsidRPr="0048473E">
        <w:rPr>
          <w:rStyle w:val="HideTWBExt"/>
          <w:b w:val="0"/>
          <w:noProof w:val="0"/>
        </w:rPr>
        <w:t>&lt;/NumAm&gt;</w:t>
      </w:r>
    </w:p>
    <w:p w:rsidR="00F23F92" w:rsidRPr="0048473E" w:rsidRDefault="00F23F92" w:rsidP="00F23F92">
      <w:pPr>
        <w:pStyle w:val="NormalBold12b"/>
        <w:keepNext/>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Čl. 11 – odst. 4</w:t>
      </w:r>
      <w:r w:rsidRPr="0048473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tcPr>
          <w:p w:rsidR="00F23F92" w:rsidRPr="0048473E" w:rsidRDefault="00F23F92" w:rsidP="00F23F92">
            <w:pPr>
              <w:pStyle w:val="ColumnHeading"/>
              <w:keepNext/>
            </w:pPr>
            <w:r w:rsidRPr="0048473E">
              <w:t>Znění navržené Komisí</w:t>
            </w:r>
          </w:p>
        </w:tc>
        <w:tc>
          <w:tcPr>
            <w:tcW w:w="4876" w:type="dxa"/>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r w:rsidRPr="0048473E">
              <w:t>4.</w:t>
            </w:r>
            <w:r w:rsidRPr="0048473E">
              <w:tab/>
              <w:t xml:space="preserve">Poskytovatelé služeb poskytnou </w:t>
            </w:r>
            <w:r w:rsidRPr="0048473E">
              <w:rPr>
                <w:b/>
                <w:i/>
              </w:rPr>
              <w:t>příslušnému vnitrostátnímu orgánu na základě jeho odůvodněné žádosti</w:t>
            </w:r>
            <w:r w:rsidRPr="0048473E">
              <w:t xml:space="preserve"> všechny informace nezbytné</w:t>
            </w:r>
            <w:r w:rsidR="0048473E" w:rsidRPr="0048473E">
              <w:t xml:space="preserve"> k </w:t>
            </w:r>
            <w:r w:rsidRPr="0048473E">
              <w:t>prokázání shody služby</w:t>
            </w:r>
            <w:r w:rsidR="0048473E" w:rsidRPr="0048473E">
              <w:t xml:space="preserve"> s </w:t>
            </w:r>
            <w:r w:rsidRPr="0048473E">
              <w:t>požadavky na přístupnost uvedenými</w:t>
            </w:r>
            <w:r w:rsidR="0048473E" w:rsidRPr="0048473E">
              <w:t xml:space="preserve"> v </w:t>
            </w:r>
            <w:r w:rsidRPr="0048473E">
              <w:t>článku 3. Spolupracují</w:t>
            </w:r>
            <w:r w:rsidR="0048473E" w:rsidRPr="0048473E">
              <w:t xml:space="preserve"> s </w:t>
            </w:r>
            <w:r w:rsidRPr="0048473E">
              <w:t>těmito orgány na jejich žádost při činnostech, jejichž cílem je uvést služby do shody</w:t>
            </w:r>
            <w:r w:rsidR="0048473E" w:rsidRPr="0048473E">
              <w:t xml:space="preserve"> s </w:t>
            </w:r>
            <w:r w:rsidRPr="0048473E">
              <w:t>těmito požadavky.</w:t>
            </w:r>
          </w:p>
        </w:tc>
        <w:tc>
          <w:tcPr>
            <w:tcW w:w="4876" w:type="dxa"/>
          </w:tcPr>
          <w:p w:rsidR="00F23F92" w:rsidRPr="0048473E" w:rsidRDefault="00F23F92" w:rsidP="00F23F92">
            <w:pPr>
              <w:pStyle w:val="Normal6"/>
            </w:pPr>
            <w:r w:rsidRPr="0048473E">
              <w:t>4.</w:t>
            </w:r>
            <w:r w:rsidRPr="0048473E">
              <w:tab/>
              <w:t xml:space="preserve">Poskytovatelé služeb poskytnou </w:t>
            </w:r>
            <w:r w:rsidRPr="0048473E">
              <w:rPr>
                <w:b/>
                <w:i/>
              </w:rPr>
              <w:t>příslušným vnitrostátním orgánům</w:t>
            </w:r>
            <w:r w:rsidRPr="0048473E">
              <w:t xml:space="preserve"> všechny informace nezbytné</w:t>
            </w:r>
            <w:r w:rsidR="0048473E" w:rsidRPr="0048473E">
              <w:t xml:space="preserve"> k </w:t>
            </w:r>
            <w:r w:rsidRPr="0048473E">
              <w:t>prokázání shody služby</w:t>
            </w:r>
            <w:r w:rsidR="0048473E" w:rsidRPr="0048473E">
              <w:t xml:space="preserve"> s </w:t>
            </w:r>
            <w:r w:rsidRPr="0048473E">
              <w:t>požadavky na přístupnost uvedenými</w:t>
            </w:r>
            <w:r w:rsidR="0048473E" w:rsidRPr="0048473E">
              <w:t xml:space="preserve"> v </w:t>
            </w:r>
            <w:r w:rsidRPr="0048473E">
              <w:t>článku 3. Spolupracují</w:t>
            </w:r>
            <w:r w:rsidR="0048473E" w:rsidRPr="0048473E">
              <w:t xml:space="preserve"> s </w:t>
            </w:r>
            <w:r w:rsidRPr="0048473E">
              <w:t>těmito orgány na jejich žádost při činnostech, jejichž cílem je uvést služby do shody</w:t>
            </w:r>
            <w:r w:rsidR="0048473E" w:rsidRPr="0048473E">
              <w:t xml:space="preserve"> s </w:t>
            </w:r>
            <w:r w:rsidRPr="0048473E">
              <w:t>těmito požadavky.</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53</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15 – odst. 1</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1.</w:t>
            </w:r>
            <w:r w:rsidRPr="0048473E">
              <w:tab/>
              <w:t>EU prohlášení</w:t>
            </w:r>
            <w:r w:rsidR="0048473E" w:rsidRPr="0048473E">
              <w:t xml:space="preserve"> o </w:t>
            </w:r>
            <w:r w:rsidRPr="0048473E">
              <w:t>shodě potvrzuje, že bylo prokázáno splnění příslušných požadavků na přístupnost uvedených</w:t>
            </w:r>
            <w:r w:rsidR="0048473E" w:rsidRPr="0048473E">
              <w:t xml:space="preserve"> v </w:t>
            </w:r>
            <w:r w:rsidRPr="0048473E">
              <w:t>článku 3. Pokud byla použita výjimka stanovená</w:t>
            </w:r>
            <w:r w:rsidR="0048473E" w:rsidRPr="0048473E">
              <w:t xml:space="preserve"> v </w:t>
            </w:r>
            <w:r w:rsidRPr="0048473E">
              <w:t>článku 12, uvede se</w:t>
            </w:r>
            <w:r w:rsidR="0048473E" w:rsidRPr="0048473E">
              <w:t xml:space="preserve"> v </w:t>
            </w:r>
            <w:r w:rsidRPr="0048473E">
              <w:t>EU prohlášení</w:t>
            </w:r>
            <w:r w:rsidR="0048473E" w:rsidRPr="0048473E">
              <w:t xml:space="preserve"> o </w:t>
            </w:r>
            <w:r w:rsidRPr="0048473E">
              <w:t>shodě, že požadavky na přístupnost podléhají této výjimce.</w:t>
            </w:r>
          </w:p>
        </w:tc>
        <w:tc>
          <w:tcPr>
            <w:tcW w:w="4876" w:type="dxa"/>
            <w:hideMark/>
          </w:tcPr>
          <w:p w:rsidR="00F23F92" w:rsidRPr="0048473E" w:rsidRDefault="00F23F92" w:rsidP="00F23F92">
            <w:pPr>
              <w:pStyle w:val="Normal6"/>
              <w:rPr>
                <w:szCs w:val="24"/>
              </w:rPr>
            </w:pPr>
            <w:r w:rsidRPr="0048473E">
              <w:t>1.</w:t>
            </w:r>
            <w:r w:rsidRPr="0048473E">
              <w:tab/>
              <w:t>EU prohlášení</w:t>
            </w:r>
            <w:r w:rsidR="0048473E" w:rsidRPr="0048473E">
              <w:t xml:space="preserve"> o </w:t>
            </w:r>
            <w:r w:rsidRPr="0048473E">
              <w:t>shodě potvrzuje, že bylo prokázáno splnění příslušných požadavků na přístupnost uvedených</w:t>
            </w:r>
            <w:r w:rsidR="0048473E" w:rsidRPr="0048473E">
              <w:t xml:space="preserve"> v </w:t>
            </w:r>
            <w:r w:rsidRPr="0048473E">
              <w:t>článku 3. Pokud byla použita výjimka stanovená</w:t>
            </w:r>
            <w:r w:rsidR="0048473E" w:rsidRPr="0048473E">
              <w:t xml:space="preserve"> v </w:t>
            </w:r>
            <w:r w:rsidRPr="0048473E">
              <w:t xml:space="preserve">článku 12, uvede se </w:t>
            </w:r>
            <w:r w:rsidRPr="0048473E">
              <w:rPr>
                <w:b/>
                <w:i/>
              </w:rPr>
              <w:t>spolu</w:t>
            </w:r>
            <w:r w:rsidR="0048473E" w:rsidRPr="0048473E">
              <w:rPr>
                <w:b/>
                <w:i/>
              </w:rPr>
              <w:t xml:space="preserve"> s </w:t>
            </w:r>
            <w:r w:rsidRPr="0048473E">
              <w:rPr>
                <w:b/>
                <w:i/>
              </w:rPr>
              <w:t>vysvětlujícím odůvodněním</w:t>
            </w:r>
            <w:r w:rsidR="0048473E" w:rsidRPr="0048473E">
              <w:rPr>
                <w:b/>
                <w:i/>
              </w:rPr>
              <w:t xml:space="preserve"> v </w:t>
            </w:r>
            <w:r w:rsidRPr="0048473E">
              <w:t>EU prohlášení</w:t>
            </w:r>
            <w:r w:rsidR="0048473E" w:rsidRPr="0048473E">
              <w:t xml:space="preserve"> o </w:t>
            </w:r>
            <w:r w:rsidRPr="0048473E">
              <w:t>shodě, že požadavky na přístupnost podléhají této výjimce.</w:t>
            </w:r>
          </w:p>
        </w:tc>
      </w:tr>
    </w:tbl>
    <w:p w:rsidR="00F23F92" w:rsidRPr="0048473E" w:rsidRDefault="00F23F92" w:rsidP="00F23F92">
      <w:pPr>
        <w:rPr>
          <w:szCs w:val="20"/>
        </w:rPr>
      </w:pPr>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54</w:t>
      </w:r>
      <w:r w:rsidRPr="0048473E">
        <w:rPr>
          <w:rStyle w:val="HideTWBExt"/>
          <w:b w:val="0"/>
          <w:noProof w:val="0"/>
        </w:rPr>
        <w:t>&lt;/NumAm&gt;</w:t>
      </w:r>
    </w:p>
    <w:p w:rsidR="00F23F92" w:rsidRPr="0048473E" w:rsidRDefault="00F23F92" w:rsidP="00F23F92">
      <w:pPr>
        <w:pStyle w:val="NormalBold12b"/>
        <w:keepNext/>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Čl. 17 – odst. 3</w:t>
      </w:r>
      <w:r w:rsidRPr="0048473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tcPr>
          <w:p w:rsidR="00F23F92" w:rsidRPr="0048473E" w:rsidRDefault="00F23F92" w:rsidP="00F23F92">
            <w:pPr>
              <w:pStyle w:val="ColumnHeading"/>
              <w:keepNext/>
            </w:pPr>
            <w:r w:rsidRPr="0048473E">
              <w:t>Znění navržené Komisí</w:t>
            </w:r>
          </w:p>
        </w:tc>
        <w:tc>
          <w:tcPr>
            <w:tcW w:w="4876" w:type="dxa"/>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r w:rsidRPr="0048473E">
              <w:t>3.</w:t>
            </w:r>
            <w:r w:rsidRPr="0048473E">
              <w:tab/>
              <w:t>Členské státy zajistí, aby informace, které mají</w:t>
            </w:r>
            <w:r w:rsidR="0048473E" w:rsidRPr="0048473E">
              <w:t xml:space="preserve"> v </w:t>
            </w:r>
            <w:r w:rsidRPr="0048473E">
              <w:t>držení orgány dozoru nad trhem</w:t>
            </w:r>
            <w:r w:rsidR="0048473E" w:rsidRPr="0048473E">
              <w:t xml:space="preserve"> a </w:t>
            </w:r>
            <w:r w:rsidRPr="0048473E">
              <w:t>které se týkají dodržování použitelných požadavků na přístupnost uvedených</w:t>
            </w:r>
            <w:r w:rsidR="0048473E" w:rsidRPr="0048473E">
              <w:t xml:space="preserve"> v </w:t>
            </w:r>
            <w:r w:rsidRPr="0048473E">
              <w:t>článku 3 ze strany hospodářských subjektů</w:t>
            </w:r>
            <w:r w:rsidR="0048473E" w:rsidRPr="0048473E">
              <w:t xml:space="preserve"> a </w:t>
            </w:r>
            <w:r w:rsidRPr="0048473E">
              <w:t>posuzování výjimek stanovených</w:t>
            </w:r>
            <w:r w:rsidR="0048473E" w:rsidRPr="0048473E">
              <w:t xml:space="preserve"> v </w:t>
            </w:r>
            <w:r w:rsidRPr="0048473E">
              <w:t>článku 12, byly kromě případů, kdy tyto informace nelze poskytnout</w:t>
            </w:r>
            <w:r w:rsidR="0048473E" w:rsidRPr="0048473E">
              <w:t xml:space="preserve"> z </w:t>
            </w:r>
            <w:r w:rsidRPr="0048473E">
              <w:t>důvodů důvěrnosti, jak je stanoveno</w:t>
            </w:r>
            <w:r w:rsidR="0048473E" w:rsidRPr="0048473E">
              <w:t xml:space="preserve"> v </w:t>
            </w:r>
            <w:r w:rsidRPr="0048473E">
              <w:t xml:space="preserve">čl. 19 odst. 5 nařízení (ES) č. 765/2008, </w:t>
            </w:r>
            <w:r w:rsidRPr="0048473E">
              <w:rPr>
                <w:b/>
                <w:i/>
              </w:rPr>
              <w:t>na požádání</w:t>
            </w:r>
            <w:r w:rsidR="0048473E" w:rsidRPr="0048473E">
              <w:rPr>
                <w:b/>
                <w:i/>
              </w:rPr>
              <w:t xml:space="preserve"> a v </w:t>
            </w:r>
            <w:r w:rsidRPr="0048473E">
              <w:t>přístupném formátu zpřístupněny spotřebiteli.</w:t>
            </w:r>
          </w:p>
        </w:tc>
        <w:tc>
          <w:tcPr>
            <w:tcW w:w="4876" w:type="dxa"/>
          </w:tcPr>
          <w:p w:rsidR="00F23F92" w:rsidRPr="0048473E" w:rsidRDefault="00F23F92" w:rsidP="00F23F92">
            <w:pPr>
              <w:pStyle w:val="Normal6"/>
            </w:pPr>
            <w:r w:rsidRPr="0048473E">
              <w:t>3.</w:t>
            </w:r>
            <w:r w:rsidRPr="0048473E">
              <w:tab/>
              <w:t>Členské státy zajistí, aby informace, které mají</w:t>
            </w:r>
            <w:r w:rsidR="0048473E" w:rsidRPr="0048473E">
              <w:t xml:space="preserve"> v </w:t>
            </w:r>
            <w:r w:rsidRPr="0048473E">
              <w:t>držení orgány dozoru nad trhem</w:t>
            </w:r>
            <w:r w:rsidR="0048473E" w:rsidRPr="0048473E">
              <w:t xml:space="preserve"> a </w:t>
            </w:r>
            <w:r w:rsidRPr="0048473E">
              <w:t>které se týkají dodržování použitelných požadavků na přístupnost uvedených</w:t>
            </w:r>
            <w:r w:rsidR="0048473E" w:rsidRPr="0048473E">
              <w:t xml:space="preserve"> v </w:t>
            </w:r>
            <w:r w:rsidRPr="0048473E">
              <w:t>článku 3 ze strany hospodářských subjektů</w:t>
            </w:r>
            <w:r w:rsidR="0048473E" w:rsidRPr="0048473E">
              <w:t xml:space="preserve"> a </w:t>
            </w:r>
            <w:r w:rsidRPr="0048473E">
              <w:t>posuzování výjimek stanovených</w:t>
            </w:r>
            <w:r w:rsidR="0048473E" w:rsidRPr="0048473E">
              <w:t xml:space="preserve"> v </w:t>
            </w:r>
            <w:r w:rsidRPr="0048473E">
              <w:t>článku 12, byly kromě případů, kdy tyto informace nelze poskytnout</w:t>
            </w:r>
            <w:r w:rsidR="0048473E" w:rsidRPr="0048473E">
              <w:t xml:space="preserve"> z </w:t>
            </w:r>
            <w:r w:rsidRPr="0048473E">
              <w:t>důvodů důvěrnosti, jak je stanoveno</w:t>
            </w:r>
            <w:r w:rsidR="0048473E" w:rsidRPr="0048473E">
              <w:t xml:space="preserve"> v </w:t>
            </w:r>
            <w:r w:rsidRPr="0048473E">
              <w:t>čl. 19 odst. 5 nařízení (ES) č. 765/2008,</w:t>
            </w:r>
            <w:r w:rsidR="0048473E" w:rsidRPr="0048473E">
              <w:t xml:space="preserve"> v </w:t>
            </w:r>
            <w:r w:rsidRPr="0048473E">
              <w:t>přístupném formátu zpřístupněny spotřebiteli.</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55</w:t>
      </w:r>
      <w:r w:rsidRPr="0048473E">
        <w:rPr>
          <w:rStyle w:val="HideTWBExt"/>
          <w:b w:val="0"/>
          <w:noProof w:val="0"/>
        </w:rPr>
        <w:t>&lt;/NumAm&gt;</w:t>
      </w:r>
    </w:p>
    <w:p w:rsidR="00F23F92" w:rsidRPr="0048473E" w:rsidRDefault="00F23F92" w:rsidP="00F23F92">
      <w:pPr>
        <w:pStyle w:val="NormalBold12b"/>
        <w:keepNext/>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Článek 18</w:t>
      </w:r>
      <w:r w:rsidR="0048473E" w:rsidRPr="0048473E">
        <w:t xml:space="preserve"> a </w:t>
      </w:r>
      <w:r w:rsidRPr="0048473E">
        <w:t>(nový)</w:t>
      </w:r>
      <w:r w:rsidRPr="0048473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tcPr>
          <w:p w:rsidR="00F23F92" w:rsidRPr="0048473E" w:rsidRDefault="00F23F92" w:rsidP="00F23F92">
            <w:pPr>
              <w:pStyle w:val="ColumnHeading"/>
              <w:keepNext/>
            </w:pPr>
            <w:r w:rsidRPr="0048473E">
              <w:t>Znění navržené Komisí</w:t>
            </w:r>
          </w:p>
        </w:tc>
        <w:tc>
          <w:tcPr>
            <w:tcW w:w="4876" w:type="dxa"/>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tcPr>
          <w:p w:rsidR="00F23F92" w:rsidRPr="0048473E" w:rsidRDefault="00F23F92" w:rsidP="00F23F92">
            <w:pPr>
              <w:pStyle w:val="Normal6"/>
              <w:jc w:val="center"/>
              <w:rPr>
                <w:b/>
                <w:bCs/>
                <w:i/>
                <w:iCs/>
              </w:rPr>
            </w:pPr>
            <w:r w:rsidRPr="0048473E">
              <w:rPr>
                <w:b/>
                <w:i/>
              </w:rPr>
              <w:t>Článek 18a</w:t>
            </w:r>
          </w:p>
        </w:tc>
      </w:tr>
      <w:tr w:rsidR="00F23F92" w:rsidRPr="0048473E" w:rsidTr="00F23F92">
        <w:trPr>
          <w:jc w:val="center"/>
        </w:trPr>
        <w:tc>
          <w:tcPr>
            <w:tcW w:w="4876" w:type="dxa"/>
          </w:tcPr>
          <w:p w:rsidR="00F23F92" w:rsidRPr="0048473E" w:rsidRDefault="00F23F92" w:rsidP="00F23F92">
            <w:pPr>
              <w:pStyle w:val="Normal6"/>
            </w:pPr>
          </w:p>
        </w:tc>
        <w:tc>
          <w:tcPr>
            <w:tcW w:w="4876" w:type="dxa"/>
          </w:tcPr>
          <w:p w:rsidR="00F23F92" w:rsidRPr="0048473E" w:rsidRDefault="00F23F92" w:rsidP="00F23F92">
            <w:pPr>
              <w:pStyle w:val="Normal6"/>
              <w:jc w:val="center"/>
              <w:rPr>
                <w:b/>
                <w:bCs/>
                <w:i/>
                <w:iCs/>
              </w:rPr>
            </w:pPr>
            <w:r w:rsidRPr="0048473E">
              <w:rPr>
                <w:b/>
                <w:i/>
              </w:rPr>
              <w:t>Národní databáze</w:t>
            </w:r>
          </w:p>
        </w:tc>
      </w:tr>
      <w:tr w:rsidR="00F23F92" w:rsidRPr="0048473E" w:rsidTr="00F23F92">
        <w:trPr>
          <w:jc w:val="center"/>
        </w:trPr>
        <w:tc>
          <w:tcPr>
            <w:tcW w:w="4876" w:type="dxa"/>
          </w:tcPr>
          <w:p w:rsidR="00F23F92" w:rsidRPr="0048473E" w:rsidRDefault="00F23F92" w:rsidP="00F23F92">
            <w:pPr>
              <w:pStyle w:val="Normal6"/>
            </w:pPr>
          </w:p>
        </w:tc>
        <w:tc>
          <w:tcPr>
            <w:tcW w:w="4876" w:type="dxa"/>
          </w:tcPr>
          <w:p w:rsidR="00F23F92" w:rsidRPr="0048473E" w:rsidRDefault="00F23F92" w:rsidP="00F23F92">
            <w:pPr>
              <w:pStyle w:val="Normal6"/>
              <w:rPr>
                <w:b/>
                <w:bCs/>
                <w:i/>
                <w:iCs/>
              </w:rPr>
            </w:pPr>
            <w:r w:rsidRPr="0048473E">
              <w:rPr>
                <w:b/>
                <w:i/>
              </w:rPr>
              <w:t>Členské státy vytvoří</w:t>
            </w:r>
            <w:r w:rsidR="0048473E" w:rsidRPr="0048473E">
              <w:rPr>
                <w:b/>
                <w:i/>
              </w:rPr>
              <w:t xml:space="preserve"> a </w:t>
            </w:r>
            <w:r w:rsidRPr="0048473E">
              <w:rPr>
                <w:b/>
                <w:i/>
              </w:rPr>
              <w:t>pravidelně aktualizují národní databáze, které jsou přístupné všem občanům</w:t>
            </w:r>
            <w:r w:rsidR="0048473E" w:rsidRPr="0048473E">
              <w:rPr>
                <w:b/>
                <w:i/>
              </w:rPr>
              <w:t xml:space="preserve"> a </w:t>
            </w:r>
            <w:r w:rsidRPr="0048473E">
              <w:rPr>
                <w:b/>
                <w:i/>
              </w:rPr>
              <w:t>zúčastněným stranám</w:t>
            </w:r>
            <w:r w:rsidR="0048473E" w:rsidRPr="0048473E">
              <w:rPr>
                <w:b/>
                <w:i/>
              </w:rPr>
              <w:t xml:space="preserve"> a </w:t>
            </w:r>
            <w:r w:rsidRPr="0048473E">
              <w:rPr>
                <w:b/>
                <w:i/>
              </w:rPr>
              <w:t>obsahují veškeré příslušné informace</w:t>
            </w:r>
            <w:r w:rsidR="0048473E" w:rsidRPr="0048473E">
              <w:rPr>
                <w:b/>
                <w:i/>
              </w:rPr>
              <w:t xml:space="preserve"> o </w:t>
            </w:r>
            <w:r w:rsidRPr="0048473E">
              <w:rPr>
                <w:b/>
                <w:i/>
              </w:rPr>
              <w:t>míře přístupnosti produktů</w:t>
            </w:r>
            <w:r w:rsidR="0048473E" w:rsidRPr="0048473E">
              <w:rPr>
                <w:b/>
                <w:i/>
              </w:rPr>
              <w:t xml:space="preserve"> a </w:t>
            </w:r>
            <w:r w:rsidRPr="0048473E">
              <w:rPr>
                <w:b/>
                <w:i/>
              </w:rPr>
              <w:t>služeb uvedených</w:t>
            </w:r>
            <w:r w:rsidR="0048473E" w:rsidRPr="0048473E">
              <w:rPr>
                <w:b/>
                <w:i/>
              </w:rPr>
              <w:t xml:space="preserve"> v </w:t>
            </w:r>
            <w:r w:rsidRPr="0048473E">
              <w:rPr>
                <w:b/>
                <w:i/>
              </w:rPr>
              <w:t>čl. 11 odst. 1</w:t>
            </w:r>
            <w:r w:rsidR="0048473E" w:rsidRPr="0048473E">
              <w:rPr>
                <w:b/>
                <w:i/>
              </w:rPr>
              <w:t xml:space="preserve"> a </w:t>
            </w:r>
            <w:r w:rsidRPr="0048473E">
              <w:rPr>
                <w:b/>
                <w:i/>
              </w:rPr>
              <w:t>2.</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56</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25 – odst. 2 – písm. a</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a)</w:t>
            </w:r>
            <w:r w:rsidRPr="0048473E">
              <w:tab/>
              <w:t>ustanovení, na jejichž základě může spotřebitel podat</w:t>
            </w:r>
            <w:r w:rsidR="0048473E" w:rsidRPr="0048473E">
              <w:t xml:space="preserve"> v </w:t>
            </w:r>
            <w:r w:rsidRPr="0048473E">
              <w:t>souladu</w:t>
            </w:r>
            <w:r w:rsidR="0048473E" w:rsidRPr="0048473E">
              <w:t xml:space="preserve"> s </w:t>
            </w:r>
            <w:r w:rsidRPr="0048473E">
              <w:t>vnitrostátním právem žalobu</w:t>
            </w:r>
            <w:r w:rsidR="0048473E" w:rsidRPr="0048473E">
              <w:t xml:space="preserve"> u </w:t>
            </w:r>
            <w:r w:rsidRPr="0048473E">
              <w:t>soudů nebo příslušných správních orgánů, která zajistí dodržování vnitrostátních předpisů přijatých</w:t>
            </w:r>
            <w:r w:rsidR="0048473E" w:rsidRPr="0048473E">
              <w:t xml:space="preserve"> k </w:t>
            </w:r>
            <w:r w:rsidRPr="0048473E">
              <w:t>provedení této směrnice;</w:t>
            </w:r>
          </w:p>
        </w:tc>
        <w:tc>
          <w:tcPr>
            <w:tcW w:w="4876" w:type="dxa"/>
            <w:hideMark/>
          </w:tcPr>
          <w:p w:rsidR="00F23F92" w:rsidRPr="0048473E" w:rsidRDefault="00F23F92" w:rsidP="008912F2">
            <w:pPr>
              <w:pStyle w:val="Normal6"/>
              <w:rPr>
                <w:szCs w:val="24"/>
              </w:rPr>
            </w:pPr>
            <w:r w:rsidRPr="0048473E">
              <w:t>a)</w:t>
            </w:r>
            <w:r w:rsidRPr="0048473E">
              <w:tab/>
              <w:t>ustanovení, na jejichž základě může spotřebitel podat</w:t>
            </w:r>
            <w:r w:rsidR="0048473E" w:rsidRPr="0048473E">
              <w:t xml:space="preserve"> v </w:t>
            </w:r>
            <w:r w:rsidRPr="0048473E">
              <w:t>souladu</w:t>
            </w:r>
            <w:r w:rsidR="0048473E" w:rsidRPr="0048473E">
              <w:t xml:space="preserve"> s </w:t>
            </w:r>
            <w:r w:rsidRPr="0048473E">
              <w:t>vnitrostátním právem žalobu</w:t>
            </w:r>
            <w:r w:rsidR="0048473E" w:rsidRPr="0048473E">
              <w:t xml:space="preserve"> u </w:t>
            </w:r>
            <w:r w:rsidRPr="0048473E">
              <w:t>soudů nebo příslušných správních orgánů, která zajistí dodržování vnitrostátních předpisů přijatých</w:t>
            </w:r>
            <w:r w:rsidR="0048473E" w:rsidRPr="0048473E">
              <w:t xml:space="preserve"> k </w:t>
            </w:r>
            <w:r w:rsidRPr="0048473E">
              <w:t xml:space="preserve">provedení této směrnice; </w:t>
            </w:r>
            <w:r w:rsidRPr="0048473E">
              <w:rPr>
                <w:b/>
                <w:i/>
              </w:rPr>
              <w:t>mechanismy vyřizování stížností by měly být</w:t>
            </w:r>
            <w:r w:rsidR="008912F2" w:rsidRPr="0048473E">
              <w:rPr>
                <w:b/>
                <w:i/>
              </w:rPr>
              <w:t xml:space="preserve"> v souladu s článkem 9 úmluvy</w:t>
            </w:r>
            <w:r w:rsidRPr="0048473E">
              <w:rPr>
                <w:b/>
                <w:i/>
              </w:rPr>
              <w:t xml:space="preserve"> účinné, transparentní</w:t>
            </w:r>
            <w:r w:rsidR="0048473E" w:rsidRPr="0048473E">
              <w:rPr>
                <w:b/>
                <w:i/>
              </w:rPr>
              <w:t xml:space="preserve"> a </w:t>
            </w:r>
            <w:r w:rsidRPr="0048473E">
              <w:rPr>
                <w:b/>
                <w:i/>
              </w:rPr>
              <w:t>přístupné;</w:t>
            </w:r>
          </w:p>
        </w:tc>
      </w:tr>
    </w:tbl>
    <w:p w:rsidR="00F23F92" w:rsidRPr="0048473E" w:rsidRDefault="00F23F92" w:rsidP="00F23F92">
      <w:pPr>
        <w:rPr>
          <w:szCs w:val="20"/>
        </w:rPr>
      </w:pPr>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57</w:t>
      </w:r>
      <w:r w:rsidRPr="0048473E">
        <w:rPr>
          <w:rStyle w:val="HideTWBExt"/>
          <w:b w:val="0"/>
          <w:noProof w:val="0"/>
        </w:rPr>
        <w:t>&lt;/NumAm&gt;</w:t>
      </w:r>
    </w:p>
    <w:p w:rsidR="00F23F92" w:rsidRPr="0048473E" w:rsidRDefault="00F23F92" w:rsidP="00F23F92">
      <w:pPr>
        <w:pStyle w:val="NormalBold12b"/>
        <w:keepNext/>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Čl. 25 – odst. 2 – písm. b</w:t>
      </w:r>
      <w:r w:rsidR="0048473E" w:rsidRPr="0048473E">
        <w:t xml:space="preserve"> a </w:t>
      </w:r>
      <w:r w:rsidRPr="0048473E">
        <w:t>(nové)</w:t>
      </w:r>
      <w:r w:rsidRPr="0048473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tcPr>
          <w:p w:rsidR="00F23F92" w:rsidRPr="0048473E" w:rsidRDefault="00F23F92" w:rsidP="00F23F92">
            <w:pPr>
              <w:pStyle w:val="ColumnHeading"/>
              <w:keepNext/>
            </w:pPr>
            <w:r w:rsidRPr="0048473E">
              <w:t>Znění navržené Komisí</w:t>
            </w:r>
          </w:p>
        </w:tc>
        <w:tc>
          <w:tcPr>
            <w:tcW w:w="4876" w:type="dxa"/>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autoSpaceDE w:val="0"/>
              <w:autoSpaceDN w:val="0"/>
              <w:adjustRightInd w:val="0"/>
            </w:pPr>
          </w:p>
        </w:tc>
        <w:tc>
          <w:tcPr>
            <w:tcW w:w="4876" w:type="dxa"/>
          </w:tcPr>
          <w:p w:rsidR="00F23F92" w:rsidRPr="0048473E" w:rsidRDefault="00F23F92" w:rsidP="00F23F92">
            <w:pPr>
              <w:pStyle w:val="Normal6"/>
              <w:rPr>
                <w:szCs w:val="24"/>
              </w:rPr>
            </w:pPr>
            <w:r w:rsidRPr="0048473E">
              <w:rPr>
                <w:b/>
                <w:i/>
              </w:rPr>
              <w:t>ba)</w:t>
            </w:r>
            <w:r w:rsidRPr="0048473E">
              <w:tab/>
            </w:r>
            <w:r w:rsidRPr="0048473E">
              <w:rPr>
                <w:b/>
                <w:i/>
              </w:rPr>
              <w:t>ustanovení, na jejichž základě se zavede komplexní</w:t>
            </w:r>
            <w:r w:rsidR="0048473E" w:rsidRPr="0048473E">
              <w:rPr>
                <w:b/>
                <w:i/>
              </w:rPr>
              <w:t xml:space="preserve"> a </w:t>
            </w:r>
            <w:r w:rsidRPr="0048473E">
              <w:rPr>
                <w:b/>
                <w:i/>
              </w:rPr>
              <w:t>dostatečně financovaný mechanismus pro podávání stížností spotřebitelů, který bude doplňovat systém provádění</w:t>
            </w:r>
            <w:r w:rsidR="0048473E" w:rsidRPr="0048473E">
              <w:rPr>
                <w:b/>
                <w:i/>
              </w:rPr>
              <w:t xml:space="preserve"> a </w:t>
            </w:r>
            <w:r w:rsidRPr="0048473E">
              <w:rPr>
                <w:b/>
                <w:i/>
              </w:rPr>
              <w:t>sledování.</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58</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Čl. 26 – odst. 2</w:t>
      </w:r>
      <w:r w:rsidRPr="0048473E">
        <w:rPr>
          <w:rStyle w:val="HideTWBExt"/>
          <w:b w:val="0"/>
          <w:noProof w:val="0"/>
        </w:rPr>
        <w:t>&lt;/Article&gt;</w:t>
      </w:r>
    </w:p>
    <w:p w:rsidR="00F23F92" w:rsidRPr="0048473E" w:rsidRDefault="00F23F92" w:rsidP="00F23F92"/>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2.</w:t>
            </w:r>
            <w:r w:rsidRPr="0048473E">
              <w:tab/>
              <w:t>Stanovené sankce musí být účinné, přiměřené</w:t>
            </w:r>
            <w:r w:rsidR="0048473E" w:rsidRPr="0048473E">
              <w:t xml:space="preserve"> a </w:t>
            </w:r>
            <w:r w:rsidRPr="0048473E">
              <w:t>odrazující</w:t>
            </w:r>
            <w:r w:rsidRPr="0048473E">
              <w:rPr>
                <w:b/>
                <w:i/>
              </w:rPr>
              <w:t>.</w:t>
            </w:r>
            <w:r w:rsidRPr="0048473E">
              <w:t xml:space="preserve"> </w:t>
            </w:r>
          </w:p>
        </w:tc>
        <w:tc>
          <w:tcPr>
            <w:tcW w:w="4876" w:type="dxa"/>
            <w:hideMark/>
          </w:tcPr>
          <w:p w:rsidR="00F23F92" w:rsidRPr="0048473E" w:rsidRDefault="00F23F92" w:rsidP="00F23F92">
            <w:pPr>
              <w:pStyle w:val="Normal6"/>
              <w:rPr>
                <w:szCs w:val="24"/>
              </w:rPr>
            </w:pPr>
            <w:r w:rsidRPr="0048473E">
              <w:t>2.</w:t>
            </w:r>
            <w:r w:rsidRPr="0048473E">
              <w:tab/>
              <w:t>Stanovené sankce musí být účinné, přiměřené</w:t>
            </w:r>
            <w:r w:rsidR="0048473E" w:rsidRPr="0048473E">
              <w:t xml:space="preserve"> a </w:t>
            </w:r>
            <w:r w:rsidRPr="0048473E">
              <w:rPr>
                <w:b/>
                <w:i/>
              </w:rPr>
              <w:t xml:space="preserve">dostatečně </w:t>
            </w:r>
            <w:r w:rsidRPr="0048473E">
              <w:t>odrazující</w:t>
            </w:r>
            <w:r w:rsidRPr="0048473E">
              <w:rPr>
                <w:b/>
                <w:i/>
              </w:rPr>
              <w:t>, aby nepředstavovaly pro hospodářské subjekty alternativní řešení, pokud jde</w:t>
            </w:r>
            <w:r w:rsidR="0048473E" w:rsidRPr="0048473E">
              <w:rPr>
                <w:b/>
                <w:i/>
              </w:rPr>
              <w:t xml:space="preserve"> o </w:t>
            </w:r>
            <w:r w:rsidRPr="0048473E">
              <w:rPr>
                <w:b/>
                <w:i/>
              </w:rPr>
              <w:t>plnění jejich povinnosti zajistit přístupnost jejich produktů nebo služeb.</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59</w:t>
      </w:r>
      <w:r w:rsidRPr="0048473E">
        <w:rPr>
          <w:rStyle w:val="HideTWBExt"/>
          <w:b w:val="0"/>
          <w:noProof w:val="0"/>
        </w:rPr>
        <w:t>&lt;/NumAm&gt;</w:t>
      </w:r>
    </w:p>
    <w:p w:rsidR="00F23F92" w:rsidRPr="0048473E" w:rsidRDefault="00F23F92" w:rsidP="00F23F92">
      <w:pPr>
        <w:pStyle w:val="NormalBold12b"/>
        <w:keepNext/>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Čl. 26 – odst. 4</w:t>
      </w:r>
      <w:r w:rsidR="0048473E" w:rsidRPr="0048473E">
        <w:t xml:space="preserve"> a </w:t>
      </w:r>
      <w:r w:rsidRPr="0048473E">
        <w:t>(nový)</w:t>
      </w:r>
      <w:r w:rsidRPr="0048473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tcPr>
          <w:p w:rsidR="00F23F92" w:rsidRPr="0048473E" w:rsidRDefault="00F23F92" w:rsidP="00F23F92">
            <w:pPr>
              <w:pStyle w:val="ColumnHeading"/>
              <w:keepNext/>
            </w:pPr>
            <w:r w:rsidRPr="0048473E">
              <w:t>Znění navržené Komisí</w:t>
            </w:r>
          </w:p>
        </w:tc>
        <w:tc>
          <w:tcPr>
            <w:tcW w:w="4876" w:type="dxa"/>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p>
        </w:tc>
        <w:tc>
          <w:tcPr>
            <w:tcW w:w="4876" w:type="dxa"/>
          </w:tcPr>
          <w:p w:rsidR="00F23F92" w:rsidRPr="0048473E" w:rsidRDefault="00F23F92" w:rsidP="00F23F92">
            <w:pPr>
              <w:pStyle w:val="Normal6"/>
              <w:rPr>
                <w:szCs w:val="24"/>
              </w:rPr>
            </w:pPr>
            <w:r w:rsidRPr="0048473E">
              <w:rPr>
                <w:b/>
                <w:i/>
              </w:rPr>
              <w:t>4a.</w:t>
            </w:r>
            <w:r w:rsidRPr="0048473E">
              <w:tab/>
            </w:r>
            <w:r w:rsidRPr="0048473E">
              <w:rPr>
                <w:b/>
                <w:i/>
              </w:rPr>
              <w:t>Příjmy</w:t>
            </w:r>
            <w:r w:rsidR="0048473E" w:rsidRPr="0048473E">
              <w:rPr>
                <w:b/>
                <w:i/>
              </w:rPr>
              <w:t xml:space="preserve"> z </w:t>
            </w:r>
            <w:r w:rsidRPr="0048473E">
              <w:rPr>
                <w:b/>
                <w:i/>
              </w:rPr>
              <w:t>udělených sankcí budou opětovně investovány do opatření souvisejících</w:t>
            </w:r>
            <w:r w:rsidR="0048473E" w:rsidRPr="0048473E">
              <w:rPr>
                <w:b/>
                <w:i/>
              </w:rPr>
              <w:t xml:space="preserve"> s </w:t>
            </w:r>
            <w:r w:rsidRPr="0048473E">
              <w:rPr>
                <w:b/>
                <w:i/>
              </w:rPr>
              <w:t>přístupností.</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60</w:t>
      </w:r>
      <w:r w:rsidRPr="0048473E">
        <w:rPr>
          <w:rStyle w:val="HideTWBExt"/>
          <w:b w:val="0"/>
          <w:noProof w:val="0"/>
        </w:rPr>
        <w:t>&lt;/NumAm&gt;</w:t>
      </w:r>
    </w:p>
    <w:p w:rsidR="00F23F92" w:rsidRPr="0048473E" w:rsidRDefault="00F23F92" w:rsidP="00F23F92">
      <w:pPr>
        <w:pStyle w:val="NormalBold12b"/>
        <w:keepNext/>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Čl. 27 – odst. 2</w:t>
      </w:r>
      <w:r w:rsidRPr="0048473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tcPr>
          <w:p w:rsidR="00F23F92" w:rsidRPr="0048473E" w:rsidRDefault="00F23F92" w:rsidP="00F23F92">
            <w:pPr>
              <w:pStyle w:val="ColumnHeading"/>
              <w:keepNext/>
            </w:pPr>
            <w:r w:rsidRPr="0048473E">
              <w:t>Znění navržené Komisí</w:t>
            </w:r>
          </w:p>
        </w:tc>
        <w:tc>
          <w:tcPr>
            <w:tcW w:w="4876" w:type="dxa"/>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pPr>
            <w:r w:rsidRPr="0048473E">
              <w:t>2.</w:t>
            </w:r>
            <w:r w:rsidRPr="0048473E">
              <w:tab/>
              <w:t xml:space="preserve">Použijí tyto předpisy ode dne [… insert date - </w:t>
            </w:r>
            <w:r w:rsidRPr="0048473E">
              <w:rPr>
                <w:b/>
                <w:i/>
              </w:rPr>
              <w:t>six</w:t>
            </w:r>
            <w:r w:rsidRPr="0048473E">
              <w:t xml:space="preserve"> years after the entry into force of this Directive].</w:t>
            </w:r>
          </w:p>
        </w:tc>
        <w:tc>
          <w:tcPr>
            <w:tcW w:w="4876" w:type="dxa"/>
          </w:tcPr>
          <w:p w:rsidR="00F23F92" w:rsidRPr="0048473E" w:rsidRDefault="00F23F92" w:rsidP="00F23F92">
            <w:pPr>
              <w:pStyle w:val="Normal6"/>
            </w:pPr>
            <w:r w:rsidRPr="0048473E">
              <w:t>2.</w:t>
            </w:r>
            <w:r w:rsidRPr="0048473E">
              <w:tab/>
              <w:t xml:space="preserve">Použijí tyto předpisy ode dne [… insert date - </w:t>
            </w:r>
            <w:r w:rsidRPr="0048473E">
              <w:rPr>
                <w:b/>
                <w:i/>
              </w:rPr>
              <w:t>five</w:t>
            </w:r>
            <w:r w:rsidRPr="0048473E">
              <w:t xml:space="preserve"> years after the entry into force of this Directive].</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61</w:t>
      </w:r>
      <w:r w:rsidRPr="0048473E">
        <w:rPr>
          <w:rStyle w:val="HideTWBExt"/>
          <w:b w:val="0"/>
          <w:noProof w:val="0"/>
        </w:rPr>
        <w:t>&lt;/NumAm&gt;</w:t>
      </w:r>
    </w:p>
    <w:p w:rsidR="00F23F92" w:rsidRPr="0048473E" w:rsidRDefault="00F23F92" w:rsidP="00F23F92">
      <w:pPr>
        <w:pStyle w:val="NormalBold12b"/>
        <w:keepNext/>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keepNext/>
      </w:pPr>
      <w:r w:rsidRPr="0048473E">
        <w:rPr>
          <w:rStyle w:val="HideTWBExt"/>
          <w:b w:val="0"/>
          <w:noProof w:val="0"/>
        </w:rPr>
        <w:t>&lt;Article&gt;</w:t>
      </w:r>
      <w:r w:rsidRPr="0048473E">
        <w:t>Čl. 28 – návětí</w:t>
      </w:r>
      <w:r w:rsidRPr="0048473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tcPr>
          <w:p w:rsidR="00F23F92" w:rsidRPr="0048473E" w:rsidRDefault="00F23F92" w:rsidP="00F23F92">
            <w:pPr>
              <w:pStyle w:val="ColumnHeading"/>
              <w:keepNext/>
            </w:pPr>
            <w:r w:rsidRPr="0048473E">
              <w:t>Znění navržené Komisí</w:t>
            </w:r>
          </w:p>
        </w:tc>
        <w:tc>
          <w:tcPr>
            <w:tcW w:w="4876" w:type="dxa"/>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tcPr>
          <w:p w:rsidR="00F23F92" w:rsidRPr="0048473E" w:rsidRDefault="00F23F92" w:rsidP="00F23F92">
            <w:pPr>
              <w:pStyle w:val="Normal6"/>
              <w:rPr>
                <w:szCs w:val="22"/>
              </w:rPr>
            </w:pPr>
            <w:r w:rsidRPr="0048473E">
              <w:t xml:space="preserve">Do […insert date - </w:t>
            </w:r>
            <w:r w:rsidRPr="0048473E">
              <w:rPr>
                <w:b/>
                <w:i/>
              </w:rPr>
              <w:t>five</w:t>
            </w:r>
            <w:r w:rsidRPr="0048473E">
              <w:t xml:space="preserve"> years after the application of this Directive]</w:t>
            </w:r>
            <w:r w:rsidR="0048473E" w:rsidRPr="0048473E">
              <w:t xml:space="preserve"> a </w:t>
            </w:r>
            <w:r w:rsidRPr="0048473E">
              <w:t xml:space="preserve">poté </w:t>
            </w:r>
            <w:r w:rsidRPr="0048473E">
              <w:rPr>
                <w:b/>
                <w:i/>
              </w:rPr>
              <w:t>každých pět let</w:t>
            </w:r>
            <w:r w:rsidRPr="0048473E">
              <w:t xml:space="preserve"> podá Komise Evropskému parlamentu, Radě, Evropskému hospodářskému</w:t>
            </w:r>
            <w:r w:rsidR="0048473E" w:rsidRPr="0048473E">
              <w:t xml:space="preserve"> a </w:t>
            </w:r>
            <w:r w:rsidRPr="0048473E">
              <w:t>sociálnímu výboru</w:t>
            </w:r>
            <w:r w:rsidR="0048473E" w:rsidRPr="0048473E">
              <w:t xml:space="preserve"> a </w:t>
            </w:r>
            <w:r w:rsidRPr="0048473E">
              <w:t>Výboru regionů zprávu</w:t>
            </w:r>
            <w:r w:rsidR="0048473E" w:rsidRPr="0048473E">
              <w:t xml:space="preserve"> o </w:t>
            </w:r>
            <w:r w:rsidRPr="0048473E">
              <w:t xml:space="preserve">uplatňování této směrnice. </w:t>
            </w:r>
          </w:p>
        </w:tc>
        <w:tc>
          <w:tcPr>
            <w:tcW w:w="4876" w:type="dxa"/>
          </w:tcPr>
          <w:p w:rsidR="00F23F92" w:rsidRPr="0048473E" w:rsidRDefault="00F23F92" w:rsidP="00F23F92">
            <w:pPr>
              <w:pStyle w:val="Normal6"/>
              <w:rPr>
                <w:szCs w:val="22"/>
              </w:rPr>
            </w:pPr>
            <w:r w:rsidRPr="0048473E">
              <w:t xml:space="preserve">Do […insert date - </w:t>
            </w:r>
            <w:r w:rsidRPr="0048473E">
              <w:rPr>
                <w:b/>
                <w:i/>
              </w:rPr>
              <w:t>three</w:t>
            </w:r>
            <w:r w:rsidRPr="0048473E">
              <w:t xml:space="preserve"> years after the application of this Directive]</w:t>
            </w:r>
            <w:r w:rsidR="0048473E" w:rsidRPr="0048473E">
              <w:t xml:space="preserve"> a </w:t>
            </w:r>
            <w:r w:rsidRPr="0048473E">
              <w:t xml:space="preserve">poté </w:t>
            </w:r>
            <w:r w:rsidRPr="0048473E">
              <w:rPr>
                <w:b/>
                <w:i/>
              </w:rPr>
              <w:t>každé tři roky</w:t>
            </w:r>
            <w:r w:rsidRPr="0048473E">
              <w:t xml:space="preserve"> podá Komise Evropskému parlamentu, Radě, Evropskému hospodářskému</w:t>
            </w:r>
            <w:r w:rsidR="0048473E" w:rsidRPr="0048473E">
              <w:t xml:space="preserve"> a </w:t>
            </w:r>
            <w:r w:rsidRPr="0048473E">
              <w:t>sociálnímu výboru</w:t>
            </w:r>
            <w:r w:rsidR="0048473E" w:rsidRPr="0048473E">
              <w:t xml:space="preserve"> a </w:t>
            </w:r>
            <w:r w:rsidRPr="0048473E">
              <w:t>Výboru regionů zprávu</w:t>
            </w:r>
            <w:r w:rsidR="0048473E" w:rsidRPr="0048473E">
              <w:t xml:space="preserve"> o </w:t>
            </w:r>
            <w:r w:rsidRPr="0048473E">
              <w:t xml:space="preserve">uplatňování této směrnice. </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62</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Čl. 28 – odst. 3</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3.</w:t>
            </w:r>
            <w:r w:rsidRPr="0048473E">
              <w:tab/>
              <w:t>Zpráva Komise přihlédne</w:t>
            </w:r>
            <w:r w:rsidR="0048473E" w:rsidRPr="0048473E">
              <w:t xml:space="preserve"> k </w:t>
            </w:r>
            <w:r w:rsidRPr="0048473E">
              <w:t xml:space="preserve">názorům </w:t>
            </w:r>
            <w:r w:rsidRPr="0048473E">
              <w:rPr>
                <w:b/>
                <w:i/>
              </w:rPr>
              <w:t>zúčastněných stran</w:t>
            </w:r>
            <w:r w:rsidR="0048473E" w:rsidRPr="0048473E">
              <w:t xml:space="preserve"> a </w:t>
            </w:r>
            <w:r w:rsidRPr="0048473E">
              <w:t xml:space="preserve">příslušných nevládních organizací, </w:t>
            </w:r>
            <w:r w:rsidRPr="0048473E">
              <w:rPr>
                <w:b/>
                <w:i/>
              </w:rPr>
              <w:t>včetně</w:t>
            </w:r>
            <w:r w:rsidRPr="0048473E">
              <w:t xml:space="preserve"> organizací osob se zdravotním postižením</w:t>
            </w:r>
            <w:r w:rsidR="0048473E" w:rsidRPr="0048473E">
              <w:t xml:space="preserve"> a </w:t>
            </w:r>
            <w:r w:rsidRPr="0048473E">
              <w:t>organizací zastupujících starší osoby.</w:t>
            </w:r>
          </w:p>
        </w:tc>
        <w:tc>
          <w:tcPr>
            <w:tcW w:w="4876" w:type="dxa"/>
            <w:hideMark/>
          </w:tcPr>
          <w:p w:rsidR="00F23F92" w:rsidRPr="0048473E" w:rsidRDefault="00F23F92" w:rsidP="00F23F92">
            <w:pPr>
              <w:pStyle w:val="Normal6"/>
              <w:rPr>
                <w:szCs w:val="24"/>
              </w:rPr>
            </w:pPr>
            <w:r w:rsidRPr="0048473E">
              <w:t>3.</w:t>
            </w:r>
            <w:r w:rsidRPr="0048473E">
              <w:tab/>
              <w:t>Zpráva Komise přihlédne</w:t>
            </w:r>
            <w:r w:rsidR="0048473E" w:rsidRPr="0048473E">
              <w:t xml:space="preserve"> k </w:t>
            </w:r>
            <w:r w:rsidRPr="0048473E">
              <w:t>názorům</w:t>
            </w:r>
            <w:r w:rsidR="0048473E" w:rsidRPr="0048473E">
              <w:t xml:space="preserve"> a </w:t>
            </w:r>
            <w:r w:rsidRPr="0048473E">
              <w:rPr>
                <w:b/>
                <w:i/>
              </w:rPr>
              <w:t>doporučením hospodářských subjektů</w:t>
            </w:r>
            <w:r w:rsidR="0048473E" w:rsidRPr="0048473E">
              <w:t xml:space="preserve"> a </w:t>
            </w:r>
            <w:r w:rsidRPr="0048473E">
              <w:t xml:space="preserve">příslušných nevládních organizací, </w:t>
            </w:r>
            <w:r w:rsidRPr="0048473E">
              <w:rPr>
                <w:b/>
                <w:i/>
              </w:rPr>
              <w:t>zejména</w:t>
            </w:r>
            <w:r w:rsidRPr="0048473E">
              <w:t xml:space="preserve"> organizací osob se zdravotním postižením</w:t>
            </w:r>
            <w:r w:rsidR="0048473E" w:rsidRPr="0048473E">
              <w:t xml:space="preserve"> a </w:t>
            </w:r>
            <w:r w:rsidRPr="0048473E">
              <w:t>organizací zastupujících starší osoby.</w:t>
            </w:r>
          </w:p>
        </w:tc>
      </w:tr>
    </w:tbl>
    <w:p w:rsidR="00F23F92" w:rsidRPr="0048473E" w:rsidRDefault="00F23F92" w:rsidP="00F23F92">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63</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Příloha</w:t>
      </w:r>
      <w:r w:rsidR="0048473E" w:rsidRPr="0048473E">
        <w:t xml:space="preserve"> I </w:t>
      </w:r>
      <w:r w:rsidRPr="0048473E">
        <w:t>– oddíl IX – část B – bod 1 – písm. e</w:t>
      </w:r>
      <w:r w:rsidRPr="0048473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e)</w:t>
            </w:r>
            <w:r w:rsidRPr="0048473E">
              <w:tab/>
              <w:t>byly zpřístupňovány internetové stránky jednotným</w:t>
            </w:r>
            <w:r w:rsidR="0048473E" w:rsidRPr="0048473E">
              <w:t xml:space="preserve"> a </w:t>
            </w:r>
            <w:r w:rsidRPr="0048473E">
              <w:t>přiměřeným způsobem, aby je uživatel mohl vnímat, zacházet</w:t>
            </w:r>
            <w:r w:rsidR="0048473E" w:rsidRPr="0048473E">
              <w:t xml:space="preserve"> s </w:t>
            </w:r>
            <w:r w:rsidRPr="0048473E">
              <w:t>nimi</w:t>
            </w:r>
            <w:r w:rsidR="0048473E" w:rsidRPr="0048473E">
              <w:t xml:space="preserve"> a </w:t>
            </w:r>
            <w:r w:rsidRPr="0048473E">
              <w:t>porozumět jim, aby si</w:t>
            </w:r>
            <w:r w:rsidR="0048473E" w:rsidRPr="0048473E">
              <w:t xml:space="preserve"> u </w:t>
            </w:r>
            <w:r w:rsidRPr="0048473E">
              <w:t>nich mohl přizpůsobit prezentaci obsahu</w:t>
            </w:r>
            <w:r w:rsidR="0048473E" w:rsidRPr="0048473E">
              <w:t xml:space="preserve"> a </w:t>
            </w:r>
            <w:r w:rsidRPr="0048473E">
              <w:t>interakci</w:t>
            </w:r>
            <w:r w:rsidR="0048473E" w:rsidRPr="0048473E">
              <w:t xml:space="preserve"> a </w:t>
            </w:r>
            <w:r w:rsidRPr="0048473E">
              <w:t>aby</w:t>
            </w:r>
            <w:r w:rsidR="0048473E" w:rsidRPr="0048473E">
              <w:rPr>
                <w:b/>
                <w:i/>
              </w:rPr>
              <w:t xml:space="preserve"> v </w:t>
            </w:r>
            <w:r w:rsidRPr="0048473E">
              <w:rPr>
                <w:b/>
                <w:i/>
              </w:rPr>
              <w:t>případě nutnosti</w:t>
            </w:r>
            <w:r w:rsidRPr="0048473E">
              <w:t xml:space="preserve"> byly poskytnuty dostupné elektronické alternativy;</w:t>
            </w:r>
            <w:r w:rsidR="0048473E" w:rsidRPr="0048473E">
              <w:t xml:space="preserve"> a </w:t>
            </w:r>
            <w:r w:rsidRPr="0048473E">
              <w:t>to způsobem, který by usnadňoval interoperabilitu</w:t>
            </w:r>
            <w:r w:rsidR="0048473E" w:rsidRPr="0048473E">
              <w:t xml:space="preserve"> s </w:t>
            </w:r>
            <w:r w:rsidRPr="0048473E">
              <w:t>různými uživatelskými aplikacemi</w:t>
            </w:r>
            <w:r w:rsidR="0048473E" w:rsidRPr="0048473E">
              <w:t xml:space="preserve"> a </w:t>
            </w:r>
            <w:r w:rsidRPr="0048473E">
              <w:t>dostupnými kompenzačními pomůckami</w:t>
            </w:r>
            <w:r w:rsidR="0048473E" w:rsidRPr="0048473E">
              <w:t xml:space="preserve"> a </w:t>
            </w:r>
            <w:r w:rsidRPr="0048473E">
              <w:t>technickými prostředky na úrovni Unie</w:t>
            </w:r>
            <w:r w:rsidR="0048473E" w:rsidRPr="0048473E">
              <w:t xml:space="preserve"> a </w:t>
            </w:r>
            <w:r w:rsidRPr="0048473E">
              <w:t>na mezinárodní úrovni;</w:t>
            </w:r>
          </w:p>
        </w:tc>
        <w:tc>
          <w:tcPr>
            <w:tcW w:w="4876" w:type="dxa"/>
            <w:hideMark/>
          </w:tcPr>
          <w:p w:rsidR="00F23F92" w:rsidRPr="0048473E" w:rsidRDefault="00F23F92" w:rsidP="00F23F92">
            <w:pPr>
              <w:pStyle w:val="Normal6"/>
              <w:rPr>
                <w:szCs w:val="24"/>
              </w:rPr>
            </w:pPr>
            <w:r w:rsidRPr="0048473E">
              <w:t>e)</w:t>
            </w:r>
            <w:r w:rsidRPr="0048473E">
              <w:tab/>
              <w:t>byly zpřístupňovány internetové stránky jednotným</w:t>
            </w:r>
            <w:r w:rsidRPr="0048473E">
              <w:rPr>
                <w:b/>
                <w:i/>
              </w:rPr>
              <w:t>, normalizovaným</w:t>
            </w:r>
            <w:r w:rsidR="0048473E" w:rsidRPr="0048473E">
              <w:t xml:space="preserve"> a </w:t>
            </w:r>
            <w:r w:rsidRPr="0048473E">
              <w:t>přiměřeným způsobem, aby je uživatel mohl vnímat, zacházet</w:t>
            </w:r>
            <w:r w:rsidR="0048473E" w:rsidRPr="0048473E">
              <w:t xml:space="preserve"> s </w:t>
            </w:r>
            <w:r w:rsidRPr="0048473E">
              <w:t>nimi</w:t>
            </w:r>
            <w:r w:rsidR="0048473E" w:rsidRPr="0048473E">
              <w:t xml:space="preserve"> a </w:t>
            </w:r>
            <w:r w:rsidRPr="0048473E">
              <w:t>porozumět jim, aby si</w:t>
            </w:r>
            <w:r w:rsidR="0048473E" w:rsidRPr="0048473E">
              <w:t xml:space="preserve"> u </w:t>
            </w:r>
            <w:r w:rsidRPr="0048473E">
              <w:t>nich mohl přizpůsobit prezentaci obsahu</w:t>
            </w:r>
            <w:r w:rsidR="0048473E" w:rsidRPr="0048473E">
              <w:t xml:space="preserve"> a </w:t>
            </w:r>
            <w:r w:rsidRPr="0048473E">
              <w:t>interakci</w:t>
            </w:r>
            <w:r w:rsidR="0048473E" w:rsidRPr="0048473E">
              <w:t xml:space="preserve"> a </w:t>
            </w:r>
            <w:r w:rsidRPr="0048473E">
              <w:t>aby byly poskytnuty dostupné elektronické alternativy;</w:t>
            </w:r>
            <w:r w:rsidR="0048473E" w:rsidRPr="0048473E">
              <w:t xml:space="preserve"> a </w:t>
            </w:r>
            <w:r w:rsidRPr="0048473E">
              <w:t>to způsobem, který by usnadňoval interoperabilitu</w:t>
            </w:r>
            <w:r w:rsidR="0048473E" w:rsidRPr="0048473E">
              <w:t xml:space="preserve"> s </w:t>
            </w:r>
            <w:r w:rsidRPr="0048473E">
              <w:t>různými uživatelskými aplikacemi</w:t>
            </w:r>
            <w:r w:rsidR="0048473E" w:rsidRPr="0048473E">
              <w:t xml:space="preserve"> a </w:t>
            </w:r>
            <w:r w:rsidRPr="0048473E">
              <w:t>dostupnými kompenzačními pomůckami</w:t>
            </w:r>
            <w:r w:rsidR="0048473E" w:rsidRPr="0048473E">
              <w:t xml:space="preserve"> a </w:t>
            </w:r>
            <w:r w:rsidRPr="0048473E">
              <w:t>technickými prostředky na úrovni Unie</w:t>
            </w:r>
            <w:r w:rsidR="0048473E" w:rsidRPr="0048473E">
              <w:t xml:space="preserve"> a </w:t>
            </w:r>
            <w:r w:rsidRPr="0048473E">
              <w:t>na mezinárodní úrovni;</w:t>
            </w:r>
          </w:p>
        </w:tc>
      </w:tr>
    </w:tbl>
    <w:p w:rsidR="00F23F92" w:rsidRPr="0048473E" w:rsidRDefault="00F23F92" w:rsidP="00F23F92">
      <w:pPr>
        <w:rPr>
          <w:szCs w:val="20"/>
        </w:rPr>
      </w:pPr>
      <w:r w:rsidRPr="0048473E">
        <w:rPr>
          <w:rStyle w:val="HideTWBExt"/>
          <w:noProof w:val="0"/>
        </w:rPr>
        <w:t>&lt;/Amend&gt;</w:t>
      </w:r>
    </w:p>
    <w:p w:rsidR="00F23F92" w:rsidRPr="0048473E" w:rsidRDefault="00F23F92" w:rsidP="00F23F92">
      <w:pPr>
        <w:pStyle w:val="AMNumberTabs"/>
        <w:keepNext/>
      </w:pPr>
      <w:r w:rsidRPr="0048473E">
        <w:rPr>
          <w:rStyle w:val="HideTWBExt"/>
          <w:b w:val="0"/>
          <w:noProof w:val="0"/>
        </w:rPr>
        <w:t>&lt;Amend&gt;</w:t>
      </w:r>
      <w:r w:rsidRPr="0048473E">
        <w:t>Pozměňovací návrh</w:t>
      </w:r>
      <w:r w:rsidRPr="0048473E">
        <w:tab/>
      </w:r>
      <w:r w:rsidRPr="0048473E">
        <w:tab/>
      </w:r>
      <w:r w:rsidRPr="0048473E">
        <w:rPr>
          <w:rStyle w:val="HideTWBExt"/>
          <w:b w:val="0"/>
          <w:noProof w:val="0"/>
        </w:rPr>
        <w:t>&lt;NumAm&gt;</w:t>
      </w:r>
      <w:r w:rsidRPr="0048473E">
        <w:t>64</w:t>
      </w:r>
      <w:r w:rsidRPr="0048473E">
        <w:rPr>
          <w:rStyle w:val="HideTWBExt"/>
          <w:b w:val="0"/>
          <w:noProof w:val="0"/>
        </w:rPr>
        <w:t>&lt;/NumAm&gt;</w:t>
      </w:r>
    </w:p>
    <w:p w:rsidR="00F23F92" w:rsidRPr="0048473E" w:rsidRDefault="00F23F92" w:rsidP="00F23F92">
      <w:pPr>
        <w:pStyle w:val="NormalBold12b"/>
      </w:pPr>
      <w:r w:rsidRPr="0048473E">
        <w:rPr>
          <w:rStyle w:val="HideTWBExt"/>
          <w:b w:val="0"/>
          <w:noProof w:val="0"/>
        </w:rPr>
        <w:t>&lt;DocAmend&gt;</w:t>
      </w:r>
      <w:r w:rsidRPr="0048473E">
        <w:t>Návrh směrnice</w:t>
      </w:r>
      <w:r w:rsidRPr="0048473E">
        <w:rPr>
          <w:rStyle w:val="HideTWBExt"/>
          <w:b w:val="0"/>
          <w:noProof w:val="0"/>
        </w:rPr>
        <w:t>&lt;/DocAmend&gt;</w:t>
      </w:r>
    </w:p>
    <w:p w:rsidR="00F23F92" w:rsidRPr="0048473E" w:rsidRDefault="00F23F92" w:rsidP="00F23F92">
      <w:pPr>
        <w:pStyle w:val="NormalBold"/>
      </w:pPr>
      <w:r w:rsidRPr="0048473E">
        <w:rPr>
          <w:rStyle w:val="HideTWBExt"/>
          <w:b w:val="0"/>
          <w:noProof w:val="0"/>
        </w:rPr>
        <w:t>&lt;Article&gt;</w:t>
      </w:r>
      <w:r w:rsidRPr="0048473E">
        <w:t>Příloha</w:t>
      </w:r>
      <w:r w:rsidR="0048473E" w:rsidRPr="0048473E">
        <w:t xml:space="preserve"> I </w:t>
      </w:r>
      <w:r w:rsidRPr="0048473E">
        <w:t>– oddíl IX – část B – bod 1 – písm. f</w:t>
      </w:r>
      <w:r w:rsidRPr="0048473E">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3F92" w:rsidRPr="0048473E" w:rsidTr="00F23F92">
        <w:trPr>
          <w:jc w:val="center"/>
        </w:trPr>
        <w:tc>
          <w:tcPr>
            <w:tcW w:w="9752" w:type="dxa"/>
            <w:gridSpan w:val="2"/>
          </w:tcPr>
          <w:p w:rsidR="00F23F92" w:rsidRPr="0048473E" w:rsidRDefault="00F23F92" w:rsidP="00F23F92">
            <w:pPr>
              <w:keepNext/>
            </w:pPr>
          </w:p>
        </w:tc>
      </w:tr>
      <w:tr w:rsidR="00F23F92" w:rsidRPr="0048473E" w:rsidTr="00F23F92">
        <w:trPr>
          <w:jc w:val="center"/>
        </w:trPr>
        <w:tc>
          <w:tcPr>
            <w:tcW w:w="4876" w:type="dxa"/>
            <w:hideMark/>
          </w:tcPr>
          <w:p w:rsidR="00F23F92" w:rsidRPr="0048473E" w:rsidRDefault="00F23F92" w:rsidP="00F23F92">
            <w:pPr>
              <w:pStyle w:val="ColumnHeading"/>
              <w:keepNext/>
            </w:pPr>
            <w:r w:rsidRPr="0048473E">
              <w:t>Znění navržené Komisí</w:t>
            </w:r>
          </w:p>
        </w:tc>
        <w:tc>
          <w:tcPr>
            <w:tcW w:w="4876" w:type="dxa"/>
            <w:hideMark/>
          </w:tcPr>
          <w:p w:rsidR="00F23F92" w:rsidRPr="0048473E" w:rsidRDefault="00F23F92" w:rsidP="00F23F92">
            <w:pPr>
              <w:pStyle w:val="ColumnHeading"/>
              <w:keepNext/>
            </w:pPr>
            <w:r w:rsidRPr="0048473E">
              <w:t>Pozměňovací návrh</w:t>
            </w:r>
          </w:p>
        </w:tc>
      </w:tr>
      <w:tr w:rsidR="00F23F92" w:rsidRPr="0048473E" w:rsidTr="00F23F92">
        <w:trPr>
          <w:jc w:val="center"/>
        </w:trPr>
        <w:tc>
          <w:tcPr>
            <w:tcW w:w="4876" w:type="dxa"/>
            <w:hideMark/>
          </w:tcPr>
          <w:p w:rsidR="00F23F92" w:rsidRPr="0048473E" w:rsidRDefault="00F23F92" w:rsidP="00F23F92">
            <w:pPr>
              <w:pStyle w:val="Normal6"/>
            </w:pPr>
            <w:r w:rsidRPr="0048473E">
              <w:t>f)</w:t>
            </w:r>
            <w:r w:rsidRPr="0048473E">
              <w:tab/>
              <w:t>byly poskytovány přístupné informace, které umožní propojení</w:t>
            </w:r>
            <w:r w:rsidR="0048473E" w:rsidRPr="0048473E">
              <w:t xml:space="preserve"> s </w:t>
            </w:r>
            <w:r w:rsidRPr="0048473E">
              <w:t>asistivními službami</w:t>
            </w:r>
            <w:r w:rsidRPr="0048473E">
              <w:rPr>
                <w:b/>
                <w:i/>
              </w:rPr>
              <w:t xml:space="preserve">; </w:t>
            </w:r>
          </w:p>
        </w:tc>
        <w:tc>
          <w:tcPr>
            <w:tcW w:w="4876" w:type="dxa"/>
            <w:hideMark/>
          </w:tcPr>
          <w:p w:rsidR="00F23F92" w:rsidRPr="0048473E" w:rsidRDefault="00F23F92" w:rsidP="00F23F92">
            <w:pPr>
              <w:pStyle w:val="Normal6"/>
              <w:rPr>
                <w:szCs w:val="24"/>
              </w:rPr>
            </w:pPr>
            <w:r w:rsidRPr="0048473E">
              <w:t>f)</w:t>
            </w:r>
            <w:r w:rsidRPr="0048473E">
              <w:tab/>
              <w:t>byly poskytovány přístupné informace, které umožní propojení</w:t>
            </w:r>
            <w:r w:rsidR="0048473E" w:rsidRPr="0048473E">
              <w:t xml:space="preserve"> s </w:t>
            </w:r>
            <w:r w:rsidRPr="0048473E">
              <w:t>asistivními službami</w:t>
            </w:r>
            <w:r w:rsidRPr="0048473E">
              <w:rPr>
                <w:b/>
                <w:i/>
              </w:rPr>
              <w:t>, jako jsou např. informace</w:t>
            </w:r>
            <w:r w:rsidR="0048473E" w:rsidRPr="0048473E">
              <w:rPr>
                <w:b/>
                <w:i/>
              </w:rPr>
              <w:t xml:space="preserve"> o </w:t>
            </w:r>
            <w:r w:rsidRPr="0048473E">
              <w:rPr>
                <w:b/>
                <w:i/>
              </w:rPr>
              <w:t>on-line dostupnosti tlumočníků pro osoby</w:t>
            </w:r>
            <w:r w:rsidR="0048473E" w:rsidRPr="0048473E">
              <w:rPr>
                <w:b/>
                <w:i/>
              </w:rPr>
              <w:t xml:space="preserve"> s </w:t>
            </w:r>
            <w:r w:rsidRPr="0048473E">
              <w:rPr>
                <w:b/>
                <w:i/>
              </w:rPr>
              <w:t>funkčním znevýhodněním, včetně osob se zdravotním postižením;</w:t>
            </w:r>
          </w:p>
        </w:tc>
      </w:tr>
    </w:tbl>
    <w:p w:rsidR="00B37775" w:rsidRPr="0048473E" w:rsidRDefault="00F23F92" w:rsidP="00B37775">
      <w:pPr>
        <w:rPr>
          <w:szCs w:val="20"/>
        </w:rPr>
      </w:pPr>
      <w:r w:rsidRPr="0048473E">
        <w:rPr>
          <w:rStyle w:val="HideTWBExt"/>
          <w:noProof w:val="0"/>
        </w:rPr>
        <w:t>&lt;/Amend&gt;&lt;/RepeatBlock-Amend&gt;</w:t>
      </w:r>
      <w:bookmarkEnd w:id="5"/>
    </w:p>
    <w:p w:rsidR="009A2AEB" w:rsidRPr="0048473E" w:rsidRDefault="00F23F92" w:rsidP="009A2AEB">
      <w:pPr>
        <w:pStyle w:val="PageHeadingNotTOC"/>
      </w:pPr>
      <w:r w:rsidRPr="0048473E">
        <w:br w:type="page"/>
        <w:t>POSTUP VE VÝBORU POŽÁDANÉM</w:t>
      </w:r>
      <w:r w:rsidR="0048473E" w:rsidRPr="0048473E">
        <w:t xml:space="preserve"> O </w:t>
      </w:r>
      <w:r w:rsidRPr="0048473E">
        <w:t>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A2AEB" w:rsidRPr="004847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b/>
                <w:bCs/>
                <w:color w:val="000000"/>
                <w:sz w:val="20"/>
                <w:szCs w:val="20"/>
              </w:rPr>
            </w:pPr>
            <w:r w:rsidRPr="0048473E">
              <w:rPr>
                <w:b/>
                <w:color w:val="000000"/>
                <w:sz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color w:val="000000"/>
                <w:sz w:val="20"/>
                <w:szCs w:val="20"/>
              </w:rPr>
            </w:pPr>
            <w:r w:rsidRPr="0048473E">
              <w:rPr>
                <w:color w:val="000000"/>
                <w:sz w:val="20"/>
              </w:rPr>
              <w:t>Sbližování právních</w:t>
            </w:r>
            <w:r w:rsidR="0048473E" w:rsidRPr="0048473E">
              <w:rPr>
                <w:color w:val="000000"/>
                <w:sz w:val="20"/>
              </w:rPr>
              <w:t xml:space="preserve"> a </w:t>
            </w:r>
            <w:r w:rsidRPr="0048473E">
              <w:rPr>
                <w:color w:val="000000"/>
                <w:sz w:val="20"/>
              </w:rPr>
              <w:t>správních předpisů členských států týkajících se požadavků na přístupnost</w:t>
            </w:r>
            <w:r w:rsidR="0048473E" w:rsidRPr="0048473E">
              <w:rPr>
                <w:color w:val="000000"/>
                <w:sz w:val="20"/>
              </w:rPr>
              <w:t xml:space="preserve"> u </w:t>
            </w:r>
            <w:r w:rsidRPr="0048473E">
              <w:rPr>
                <w:color w:val="000000"/>
                <w:sz w:val="20"/>
              </w:rPr>
              <w:t>výrobků</w:t>
            </w:r>
            <w:r w:rsidR="0048473E" w:rsidRPr="0048473E">
              <w:rPr>
                <w:color w:val="000000"/>
                <w:sz w:val="20"/>
              </w:rPr>
              <w:t xml:space="preserve"> a </w:t>
            </w:r>
            <w:r w:rsidRPr="0048473E">
              <w:rPr>
                <w:color w:val="000000"/>
                <w:sz w:val="20"/>
              </w:rPr>
              <w:t>služeb</w:t>
            </w:r>
          </w:p>
        </w:tc>
      </w:tr>
      <w:tr w:rsidR="009A2AEB" w:rsidRPr="0048473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b/>
                <w:bCs/>
                <w:color w:val="000000"/>
                <w:sz w:val="20"/>
                <w:szCs w:val="20"/>
              </w:rPr>
            </w:pPr>
            <w:r w:rsidRPr="0048473E">
              <w:rPr>
                <w:b/>
                <w:color w:val="000000"/>
                <w:sz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color w:val="000000"/>
                <w:sz w:val="20"/>
                <w:szCs w:val="20"/>
              </w:rPr>
            </w:pPr>
            <w:r w:rsidRPr="0048473E">
              <w:rPr>
                <w:color w:val="000000"/>
                <w:sz w:val="20"/>
              </w:rPr>
              <w:t>COM(2015)0615 – C8-0387/2015 – 2015/0278(COD)</w:t>
            </w:r>
          </w:p>
        </w:tc>
      </w:tr>
      <w:tr w:rsidR="009A2AEB" w:rsidRPr="004847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b/>
                <w:bCs/>
                <w:color w:val="000000"/>
                <w:sz w:val="20"/>
                <w:szCs w:val="20"/>
              </w:rPr>
            </w:pPr>
            <w:r w:rsidRPr="0048473E">
              <w:rPr>
                <w:b/>
                <w:color w:val="000000"/>
                <w:sz w:val="20"/>
              </w:rPr>
              <w:t>Věcně příslušný výbor</w:t>
            </w:r>
          </w:p>
          <w:p w:rsidR="009A2AEB" w:rsidRPr="0048473E" w:rsidRDefault="009A2AEB">
            <w:pPr>
              <w:widowControl w:val="0"/>
              <w:autoSpaceDE w:val="0"/>
              <w:autoSpaceDN w:val="0"/>
              <w:adjustRightInd w:val="0"/>
              <w:rPr>
                <w:color w:val="000000"/>
                <w:sz w:val="20"/>
                <w:szCs w:val="20"/>
              </w:rPr>
            </w:pPr>
            <w:r w:rsidRPr="0048473E">
              <w:rPr>
                <w:color w:val="000000"/>
                <w:sz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A2AEB" w:rsidRPr="0048473E" w:rsidRDefault="009A2AEB">
            <w:pPr>
              <w:widowControl w:val="0"/>
              <w:autoSpaceDE w:val="0"/>
              <w:autoSpaceDN w:val="0"/>
              <w:adjustRightInd w:val="0"/>
              <w:rPr>
                <w:color w:val="000000"/>
                <w:sz w:val="20"/>
                <w:szCs w:val="20"/>
              </w:rPr>
            </w:pPr>
            <w:r w:rsidRPr="0048473E">
              <w:rPr>
                <w:color w:val="000000"/>
                <w:sz w:val="20"/>
              </w:rPr>
              <w:t>IMCO</w:t>
            </w:r>
          </w:p>
          <w:p w:rsidR="009A2AEB" w:rsidRPr="0048473E" w:rsidRDefault="009A2AEB">
            <w:pPr>
              <w:widowControl w:val="0"/>
              <w:autoSpaceDE w:val="0"/>
              <w:autoSpaceDN w:val="0"/>
              <w:adjustRightInd w:val="0"/>
              <w:rPr>
                <w:color w:val="000000"/>
                <w:sz w:val="20"/>
                <w:szCs w:val="20"/>
              </w:rPr>
            </w:pPr>
            <w:r w:rsidRPr="0048473E">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A2AEB" w:rsidRPr="0048473E" w:rsidRDefault="009A2AEB">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A2AEB" w:rsidRPr="0048473E" w:rsidRDefault="009A2AEB">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rFonts w:ascii="sans-serif" w:hAnsi="sans-serif" w:cs="sans-serif"/>
                <w:color w:val="000000"/>
              </w:rPr>
            </w:pPr>
          </w:p>
        </w:tc>
      </w:tr>
      <w:tr w:rsidR="009A2AEB" w:rsidRPr="004847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b/>
                <w:bCs/>
                <w:color w:val="000000"/>
                <w:sz w:val="20"/>
                <w:szCs w:val="20"/>
              </w:rPr>
            </w:pPr>
            <w:r w:rsidRPr="0048473E">
              <w:rPr>
                <w:b/>
                <w:color w:val="000000"/>
                <w:sz w:val="20"/>
              </w:rPr>
              <w:t>Výbor, který vypracoval stanovisko</w:t>
            </w:r>
          </w:p>
          <w:p w:rsidR="009A2AEB" w:rsidRPr="0048473E" w:rsidRDefault="009A2AEB">
            <w:pPr>
              <w:widowControl w:val="0"/>
              <w:autoSpaceDE w:val="0"/>
              <w:autoSpaceDN w:val="0"/>
              <w:adjustRightInd w:val="0"/>
              <w:rPr>
                <w:color w:val="000000"/>
                <w:sz w:val="20"/>
                <w:szCs w:val="20"/>
              </w:rPr>
            </w:pPr>
            <w:r w:rsidRPr="0048473E">
              <w:rPr>
                <w:color w:val="000000"/>
                <w:sz w:val="20"/>
              </w:rPr>
              <w:t>       Datum oznámení na zasedání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color w:val="000000"/>
                <w:sz w:val="20"/>
                <w:szCs w:val="20"/>
              </w:rPr>
            </w:pPr>
            <w:r w:rsidRPr="0048473E">
              <w:rPr>
                <w:color w:val="000000"/>
                <w:sz w:val="20"/>
              </w:rPr>
              <w:t>FEMM</w:t>
            </w:r>
          </w:p>
          <w:p w:rsidR="009A2AEB" w:rsidRPr="0048473E" w:rsidRDefault="009A2AEB">
            <w:pPr>
              <w:widowControl w:val="0"/>
              <w:autoSpaceDE w:val="0"/>
              <w:autoSpaceDN w:val="0"/>
              <w:adjustRightInd w:val="0"/>
              <w:rPr>
                <w:color w:val="000000"/>
                <w:sz w:val="20"/>
                <w:szCs w:val="20"/>
              </w:rPr>
            </w:pPr>
            <w:r w:rsidRPr="0048473E">
              <w:rPr>
                <w:color w:val="000000"/>
                <w:sz w:val="20"/>
              </w:rPr>
              <w:t>10.3.2016</w:t>
            </w:r>
          </w:p>
        </w:tc>
      </w:tr>
      <w:tr w:rsidR="009A2AEB" w:rsidRPr="004847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b/>
                <w:bCs/>
                <w:color w:val="000000"/>
                <w:sz w:val="20"/>
                <w:szCs w:val="20"/>
              </w:rPr>
            </w:pPr>
            <w:r w:rsidRPr="0048473E">
              <w:rPr>
                <w:b/>
                <w:color w:val="000000"/>
                <w:sz w:val="20"/>
              </w:rPr>
              <w:t>Navrhovatel(ka)</w:t>
            </w:r>
          </w:p>
          <w:p w:rsidR="009A2AEB" w:rsidRPr="0048473E" w:rsidRDefault="009A2AEB">
            <w:pPr>
              <w:widowControl w:val="0"/>
              <w:autoSpaceDE w:val="0"/>
              <w:autoSpaceDN w:val="0"/>
              <w:adjustRightInd w:val="0"/>
              <w:rPr>
                <w:color w:val="000000"/>
                <w:sz w:val="20"/>
                <w:szCs w:val="20"/>
              </w:rPr>
            </w:pPr>
            <w:r w:rsidRPr="0048473E">
              <w:rPr>
                <w:color w:val="000000"/>
                <w:sz w:val="20"/>
              </w:rPr>
              <w:t>       Datum jmenování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color w:val="000000"/>
                <w:sz w:val="20"/>
                <w:szCs w:val="20"/>
              </w:rPr>
            </w:pPr>
            <w:r w:rsidRPr="0048473E">
              <w:rPr>
                <w:color w:val="000000"/>
                <w:sz w:val="20"/>
              </w:rPr>
              <w:t>Rosa Estaràs Ferragut</w:t>
            </w:r>
          </w:p>
          <w:p w:rsidR="009A2AEB" w:rsidRPr="0048473E" w:rsidRDefault="009A2AEB">
            <w:pPr>
              <w:widowControl w:val="0"/>
              <w:autoSpaceDE w:val="0"/>
              <w:autoSpaceDN w:val="0"/>
              <w:adjustRightInd w:val="0"/>
              <w:rPr>
                <w:color w:val="000000"/>
                <w:sz w:val="20"/>
                <w:szCs w:val="20"/>
              </w:rPr>
            </w:pPr>
            <w:r w:rsidRPr="0048473E">
              <w:rPr>
                <w:color w:val="000000"/>
                <w:sz w:val="20"/>
              </w:rPr>
              <w:t>18.2.2016</w:t>
            </w:r>
          </w:p>
        </w:tc>
      </w:tr>
      <w:tr w:rsidR="009A2AEB" w:rsidRPr="004847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b/>
                <w:bCs/>
                <w:color w:val="000000"/>
                <w:sz w:val="20"/>
                <w:szCs w:val="20"/>
              </w:rPr>
            </w:pPr>
            <w:r w:rsidRPr="0048473E">
              <w:rPr>
                <w:b/>
                <w:color w:val="000000"/>
                <w:sz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A2AEB" w:rsidRPr="0048473E" w:rsidRDefault="009A2AEB">
            <w:pPr>
              <w:widowControl w:val="0"/>
              <w:autoSpaceDE w:val="0"/>
              <w:autoSpaceDN w:val="0"/>
              <w:adjustRightInd w:val="0"/>
              <w:rPr>
                <w:color w:val="000000"/>
                <w:sz w:val="20"/>
                <w:szCs w:val="20"/>
              </w:rPr>
            </w:pPr>
            <w:r w:rsidRPr="0048473E">
              <w:rPr>
                <w:color w:val="000000"/>
                <w:sz w:val="20"/>
              </w:rPr>
              <w:t>7.11.2016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A2AEB" w:rsidRPr="0048473E" w:rsidRDefault="009A2AEB">
            <w:pPr>
              <w:widowControl w:val="0"/>
              <w:autoSpaceDE w:val="0"/>
              <w:autoSpaceDN w:val="0"/>
              <w:adjustRightInd w:val="0"/>
              <w:rPr>
                <w:color w:val="000000"/>
                <w:sz w:val="20"/>
                <w:szCs w:val="20"/>
              </w:rPr>
            </w:pPr>
            <w:r w:rsidRPr="0048473E">
              <w:rPr>
                <w:color w:val="000000"/>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A2AEB" w:rsidRPr="0048473E" w:rsidRDefault="009A2AEB">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rFonts w:ascii="sans-serif" w:hAnsi="sans-serif" w:cs="sans-serif"/>
                <w:color w:val="000000"/>
              </w:rPr>
            </w:pPr>
          </w:p>
        </w:tc>
      </w:tr>
      <w:tr w:rsidR="009A2AEB" w:rsidRPr="0048473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b/>
                <w:bCs/>
                <w:color w:val="000000"/>
                <w:sz w:val="20"/>
                <w:szCs w:val="20"/>
              </w:rPr>
            </w:pPr>
            <w:r w:rsidRPr="0048473E">
              <w:rPr>
                <w:b/>
                <w:color w:val="000000"/>
                <w:sz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9A2AEB" w:rsidRPr="0048473E" w:rsidRDefault="009A2AEB">
            <w:pPr>
              <w:widowControl w:val="0"/>
              <w:autoSpaceDE w:val="0"/>
              <w:autoSpaceDN w:val="0"/>
              <w:adjustRightInd w:val="0"/>
              <w:rPr>
                <w:color w:val="000000"/>
                <w:sz w:val="20"/>
                <w:szCs w:val="20"/>
              </w:rPr>
            </w:pPr>
            <w:r w:rsidRPr="0048473E">
              <w:rPr>
                <w:color w:val="000000"/>
                <w:sz w:val="20"/>
              </w:rPr>
              <w:t>28.2.2017</w:t>
            </w:r>
          </w:p>
        </w:tc>
        <w:tc>
          <w:tcPr>
            <w:tcW w:w="1474" w:type="dxa"/>
            <w:tcBorders>
              <w:top w:val="nil"/>
              <w:left w:val="nil"/>
              <w:bottom w:val="single" w:sz="8" w:space="0" w:color="000000"/>
              <w:right w:val="nil"/>
            </w:tcBorders>
            <w:tcMar>
              <w:top w:w="79" w:type="dxa"/>
              <w:left w:w="79" w:type="dxa"/>
              <w:bottom w:w="79" w:type="dxa"/>
              <w:right w:w="79" w:type="dxa"/>
            </w:tcMar>
          </w:tcPr>
          <w:p w:rsidR="009A2AEB" w:rsidRPr="0048473E" w:rsidRDefault="009A2AEB">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9A2AEB" w:rsidRPr="0048473E" w:rsidRDefault="009A2AEB">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rFonts w:ascii="sans-serif" w:hAnsi="sans-serif" w:cs="sans-serif"/>
                <w:color w:val="000000"/>
              </w:rPr>
            </w:pPr>
          </w:p>
        </w:tc>
      </w:tr>
      <w:tr w:rsidR="009A2AEB" w:rsidRPr="004847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b/>
                <w:bCs/>
                <w:color w:val="000000"/>
                <w:sz w:val="20"/>
                <w:szCs w:val="20"/>
              </w:rPr>
            </w:pPr>
            <w:r w:rsidRPr="0048473E">
              <w:rPr>
                <w:b/>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A2AEB" w:rsidRPr="0048473E" w:rsidRDefault="009A2AEB">
            <w:pPr>
              <w:widowControl w:val="0"/>
              <w:autoSpaceDE w:val="0"/>
              <w:autoSpaceDN w:val="0"/>
              <w:adjustRightInd w:val="0"/>
              <w:rPr>
                <w:color w:val="000000"/>
                <w:sz w:val="20"/>
                <w:szCs w:val="20"/>
              </w:rPr>
            </w:pPr>
            <w:r w:rsidRPr="0048473E">
              <w:rPr>
                <w:color w:val="000000"/>
                <w:sz w:val="20"/>
              </w:rPr>
              <w:t>+:</w:t>
            </w:r>
          </w:p>
          <w:p w:rsidR="009A2AEB" w:rsidRPr="0048473E" w:rsidRDefault="009A2AEB">
            <w:pPr>
              <w:widowControl w:val="0"/>
              <w:autoSpaceDE w:val="0"/>
              <w:autoSpaceDN w:val="0"/>
              <w:adjustRightInd w:val="0"/>
              <w:rPr>
                <w:color w:val="000000"/>
                <w:sz w:val="20"/>
                <w:szCs w:val="20"/>
              </w:rPr>
            </w:pPr>
            <w:r w:rsidRPr="0048473E">
              <w:rPr>
                <w:color w:val="000000"/>
                <w:sz w:val="20"/>
              </w:rPr>
              <w:t>–:</w:t>
            </w:r>
          </w:p>
          <w:p w:rsidR="009A2AEB" w:rsidRPr="0048473E" w:rsidRDefault="009A2AEB">
            <w:pPr>
              <w:widowControl w:val="0"/>
              <w:autoSpaceDE w:val="0"/>
              <w:autoSpaceDN w:val="0"/>
              <w:adjustRightInd w:val="0"/>
              <w:rPr>
                <w:color w:val="000000"/>
                <w:sz w:val="20"/>
                <w:szCs w:val="20"/>
              </w:rPr>
            </w:pPr>
            <w:r w:rsidRPr="0048473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color w:val="000000"/>
                <w:sz w:val="20"/>
                <w:szCs w:val="20"/>
              </w:rPr>
            </w:pPr>
            <w:r w:rsidRPr="0048473E">
              <w:rPr>
                <w:color w:val="000000"/>
                <w:sz w:val="20"/>
              </w:rPr>
              <w:t>28</w:t>
            </w:r>
          </w:p>
          <w:p w:rsidR="009A2AEB" w:rsidRPr="0048473E" w:rsidRDefault="009A2AEB">
            <w:pPr>
              <w:widowControl w:val="0"/>
              <w:autoSpaceDE w:val="0"/>
              <w:autoSpaceDN w:val="0"/>
              <w:adjustRightInd w:val="0"/>
              <w:rPr>
                <w:color w:val="000000"/>
                <w:sz w:val="20"/>
                <w:szCs w:val="20"/>
              </w:rPr>
            </w:pPr>
            <w:r w:rsidRPr="0048473E">
              <w:rPr>
                <w:color w:val="000000"/>
                <w:sz w:val="20"/>
              </w:rPr>
              <w:t>1</w:t>
            </w:r>
          </w:p>
          <w:p w:rsidR="009A2AEB" w:rsidRPr="0048473E" w:rsidRDefault="009A2AEB">
            <w:pPr>
              <w:widowControl w:val="0"/>
              <w:autoSpaceDE w:val="0"/>
              <w:autoSpaceDN w:val="0"/>
              <w:adjustRightInd w:val="0"/>
              <w:rPr>
                <w:color w:val="000000"/>
                <w:sz w:val="20"/>
                <w:szCs w:val="20"/>
              </w:rPr>
            </w:pPr>
            <w:r w:rsidRPr="0048473E">
              <w:rPr>
                <w:color w:val="000000"/>
                <w:sz w:val="20"/>
              </w:rPr>
              <w:t>3</w:t>
            </w:r>
          </w:p>
        </w:tc>
      </w:tr>
      <w:tr w:rsidR="009A2AEB" w:rsidRPr="004847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b/>
                <w:bCs/>
                <w:color w:val="000000"/>
                <w:sz w:val="20"/>
                <w:szCs w:val="20"/>
              </w:rPr>
            </w:pPr>
            <w:r w:rsidRPr="0048473E">
              <w:rPr>
                <w:b/>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color w:val="000000"/>
                <w:sz w:val="20"/>
                <w:szCs w:val="20"/>
              </w:rPr>
            </w:pPr>
            <w:r w:rsidRPr="0048473E">
              <w:rPr>
                <w:color w:val="000000"/>
                <w:sz w:val="20"/>
              </w:rPr>
              <w:t>Daniela Aiuto, Malin Björk, Vilija Blinkevičiūtė, Viorica Dăncilă, Iratxe García Pérez, Arne Gericke, Anna Hedh, Mary Honeyball, Teresa Jiménez-Becerril Barrio, Elisabeth Köstinger, Florent Marcellesi, Angelika Mlinar, Krisztina Morvai, Angelika Niebler, Maria Noichl, Marijana Petir, Pina Picierno, João Pimenta Lopes, Terry Reintke, Liliana Rodrigues, Michaela Šojdrová, Ernest Urtasun, Elissavet Vozemberg-Vrionidi, Jadwiga Wiśniewska, Anna Záborská, Jana Žitňanská</w:t>
            </w:r>
          </w:p>
        </w:tc>
      </w:tr>
      <w:tr w:rsidR="009A2AEB" w:rsidRPr="0048473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b/>
                <w:bCs/>
                <w:color w:val="000000"/>
                <w:sz w:val="20"/>
                <w:szCs w:val="20"/>
              </w:rPr>
            </w:pPr>
            <w:r w:rsidRPr="0048473E">
              <w:rPr>
                <w:b/>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A2AEB" w:rsidRPr="0048473E" w:rsidRDefault="009A2AEB">
            <w:pPr>
              <w:widowControl w:val="0"/>
              <w:autoSpaceDE w:val="0"/>
              <w:autoSpaceDN w:val="0"/>
              <w:adjustRightInd w:val="0"/>
              <w:rPr>
                <w:color w:val="000000"/>
                <w:sz w:val="20"/>
                <w:szCs w:val="20"/>
              </w:rPr>
            </w:pPr>
            <w:r w:rsidRPr="0048473E">
              <w:rPr>
                <w:color w:val="000000"/>
                <w:sz w:val="20"/>
              </w:rPr>
              <w:t>Rosa Estaràs Ferragut, Ildikó Gáll-Pelcz, Kostadinka Kuneva, Constance Le Grip, Clare Moody, Mylène Troszczynski</w:t>
            </w:r>
          </w:p>
        </w:tc>
      </w:tr>
    </w:tbl>
    <w:p w:rsidR="009A2AEB" w:rsidRPr="0048473E" w:rsidRDefault="009A2AEB">
      <w:pPr>
        <w:widowControl w:val="0"/>
        <w:autoSpaceDE w:val="0"/>
        <w:autoSpaceDN w:val="0"/>
        <w:adjustRightInd w:val="0"/>
        <w:rPr>
          <w:rFonts w:ascii="Arial" w:hAnsi="Arial" w:cs="Arial"/>
        </w:rPr>
      </w:pPr>
    </w:p>
    <w:bookmarkEnd w:id="3"/>
    <w:p w:rsidR="00B37775" w:rsidRPr="0048473E" w:rsidRDefault="00B37775" w:rsidP="00B37775">
      <w:pPr>
        <w:pStyle w:val="PageHeadingNotTOC"/>
      </w:pPr>
      <w:r w:rsidRPr="0048473E">
        <w:br w:type="page"/>
      </w:r>
      <w:bookmarkStart w:id="6" w:name="RollCallPageAD"/>
      <w:r w:rsidRPr="0048473E">
        <w:t>JMENOVITÉ KONEČNÉ HLASOVÁNÍ</w:t>
      </w:r>
      <w:r w:rsidR="0048473E" w:rsidRPr="0048473E">
        <w:t xml:space="preserve"> V </w:t>
      </w:r>
      <w:r w:rsidRPr="0048473E">
        <w:t>PŘÍSLUŠNÉM VÝBORU</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7775" w:rsidRPr="0048473E" w:rsidTr="002159EB">
        <w:trPr>
          <w:cantSplit/>
        </w:trPr>
        <w:tc>
          <w:tcPr>
            <w:tcW w:w="1701" w:type="dxa"/>
            <w:shd w:val="pct10" w:color="000000" w:fill="FFFFFF"/>
            <w:vAlign w:val="center"/>
          </w:tcPr>
          <w:p w:rsidR="00B37775" w:rsidRPr="0048473E" w:rsidRDefault="00B37775" w:rsidP="002159EB">
            <w:pPr>
              <w:spacing w:before="120" w:after="120"/>
              <w:jc w:val="center"/>
              <w:rPr>
                <w:b/>
                <w:sz w:val="16"/>
              </w:rPr>
            </w:pPr>
            <w:r w:rsidRPr="0048473E">
              <w:rPr>
                <w:b/>
                <w:sz w:val="16"/>
              </w:rPr>
              <w:t>28</w:t>
            </w:r>
          </w:p>
        </w:tc>
        <w:tc>
          <w:tcPr>
            <w:tcW w:w="7371" w:type="dxa"/>
            <w:shd w:val="pct10" w:color="000000" w:fill="FFFFFF"/>
          </w:tcPr>
          <w:p w:rsidR="00B37775" w:rsidRPr="0048473E" w:rsidRDefault="00B37775" w:rsidP="002159EB">
            <w:pPr>
              <w:spacing w:before="120" w:after="120"/>
              <w:jc w:val="center"/>
              <w:rPr>
                <w:rFonts w:ascii="Arial" w:hAnsi="Arial" w:cs="Arial"/>
                <w:b/>
                <w:sz w:val="28"/>
                <w:szCs w:val="28"/>
              </w:rPr>
            </w:pPr>
            <w:r w:rsidRPr="0048473E">
              <w:rPr>
                <w:rFonts w:ascii="Arial" w:hAnsi="Arial"/>
                <w:b/>
                <w:sz w:val="28"/>
              </w:rPr>
              <w:t>+</w:t>
            </w:r>
          </w:p>
        </w:tc>
      </w:tr>
      <w:tr w:rsidR="00B37775" w:rsidRPr="0048473E" w:rsidTr="002159EB">
        <w:trPr>
          <w:cantSplit/>
        </w:trPr>
        <w:tc>
          <w:tcPr>
            <w:tcW w:w="1701" w:type="dxa"/>
            <w:shd w:val="clear" w:color="auto" w:fill="FFFFFF"/>
          </w:tcPr>
          <w:p w:rsidR="00B37775" w:rsidRPr="0048473E" w:rsidRDefault="00B37775" w:rsidP="002159EB">
            <w:pPr>
              <w:spacing w:before="120" w:after="120"/>
              <w:rPr>
                <w:sz w:val="16"/>
              </w:rPr>
            </w:pPr>
            <w:r w:rsidRPr="0048473E">
              <w:rPr>
                <w:sz w:val="16"/>
              </w:rPr>
              <w:t>ECR</w:t>
            </w:r>
          </w:p>
        </w:tc>
        <w:tc>
          <w:tcPr>
            <w:tcW w:w="7371" w:type="dxa"/>
            <w:shd w:val="clear" w:color="auto" w:fill="FFFFFF"/>
          </w:tcPr>
          <w:p w:rsidR="00B37775" w:rsidRPr="0048473E" w:rsidRDefault="00B37775" w:rsidP="002159EB">
            <w:pPr>
              <w:spacing w:before="120" w:after="120"/>
              <w:rPr>
                <w:sz w:val="16"/>
              </w:rPr>
            </w:pPr>
            <w:r w:rsidRPr="0048473E">
              <w:rPr>
                <w:sz w:val="16"/>
              </w:rPr>
              <w:t>Arne Gericke, Jadwiga Wiśniewska, Jana Žitňanská</w:t>
            </w:r>
          </w:p>
        </w:tc>
      </w:tr>
      <w:tr w:rsidR="00B37775" w:rsidRPr="0048473E" w:rsidTr="002159EB">
        <w:trPr>
          <w:cantSplit/>
        </w:trPr>
        <w:tc>
          <w:tcPr>
            <w:tcW w:w="1701" w:type="dxa"/>
            <w:shd w:val="clear" w:color="auto" w:fill="FFFFFF"/>
          </w:tcPr>
          <w:p w:rsidR="00B37775" w:rsidRPr="0048473E" w:rsidRDefault="00B37775" w:rsidP="002159EB">
            <w:pPr>
              <w:spacing w:before="120" w:after="120"/>
              <w:rPr>
                <w:sz w:val="16"/>
              </w:rPr>
            </w:pPr>
            <w:r w:rsidRPr="0048473E">
              <w:rPr>
                <w:sz w:val="16"/>
              </w:rPr>
              <w:t>EFDD</w:t>
            </w:r>
          </w:p>
        </w:tc>
        <w:tc>
          <w:tcPr>
            <w:tcW w:w="7371" w:type="dxa"/>
            <w:shd w:val="clear" w:color="auto" w:fill="FFFFFF"/>
          </w:tcPr>
          <w:p w:rsidR="00B37775" w:rsidRPr="0048473E" w:rsidRDefault="00B37775" w:rsidP="002159EB">
            <w:pPr>
              <w:spacing w:before="120" w:after="120"/>
              <w:rPr>
                <w:sz w:val="16"/>
              </w:rPr>
            </w:pPr>
            <w:r w:rsidRPr="0048473E">
              <w:rPr>
                <w:sz w:val="16"/>
              </w:rPr>
              <w:t>Daniela Aiuto</w:t>
            </w:r>
          </w:p>
        </w:tc>
      </w:tr>
      <w:tr w:rsidR="00B37775" w:rsidRPr="0048473E" w:rsidTr="002159EB">
        <w:trPr>
          <w:cantSplit/>
        </w:trPr>
        <w:tc>
          <w:tcPr>
            <w:tcW w:w="1701" w:type="dxa"/>
            <w:shd w:val="clear" w:color="auto" w:fill="FFFFFF"/>
          </w:tcPr>
          <w:p w:rsidR="00B37775" w:rsidRPr="0048473E" w:rsidRDefault="00B37775" w:rsidP="002159EB">
            <w:pPr>
              <w:spacing w:before="120" w:after="120"/>
              <w:rPr>
                <w:sz w:val="16"/>
              </w:rPr>
            </w:pPr>
            <w:r w:rsidRPr="0048473E">
              <w:rPr>
                <w:sz w:val="16"/>
              </w:rPr>
              <w:t>GUE/NGL</w:t>
            </w:r>
          </w:p>
        </w:tc>
        <w:tc>
          <w:tcPr>
            <w:tcW w:w="7371" w:type="dxa"/>
            <w:shd w:val="clear" w:color="auto" w:fill="FFFFFF"/>
          </w:tcPr>
          <w:p w:rsidR="00B37775" w:rsidRPr="0048473E" w:rsidRDefault="00B37775" w:rsidP="002159EB">
            <w:pPr>
              <w:spacing w:before="120" w:after="120"/>
              <w:rPr>
                <w:sz w:val="16"/>
              </w:rPr>
            </w:pPr>
            <w:r w:rsidRPr="0048473E">
              <w:rPr>
                <w:sz w:val="16"/>
              </w:rPr>
              <w:t>Malin Björk, Kostadinka Kuneva</w:t>
            </w:r>
          </w:p>
        </w:tc>
      </w:tr>
      <w:tr w:rsidR="00B37775" w:rsidRPr="0048473E" w:rsidTr="002159EB">
        <w:trPr>
          <w:cantSplit/>
        </w:trPr>
        <w:tc>
          <w:tcPr>
            <w:tcW w:w="1701" w:type="dxa"/>
            <w:shd w:val="clear" w:color="auto" w:fill="FFFFFF"/>
          </w:tcPr>
          <w:p w:rsidR="00B37775" w:rsidRPr="0048473E" w:rsidRDefault="00B37775" w:rsidP="002159EB">
            <w:pPr>
              <w:spacing w:before="120" w:after="120"/>
              <w:rPr>
                <w:sz w:val="16"/>
              </w:rPr>
            </w:pPr>
            <w:r w:rsidRPr="0048473E">
              <w:rPr>
                <w:sz w:val="16"/>
              </w:rPr>
              <w:t>PPE</w:t>
            </w:r>
          </w:p>
        </w:tc>
        <w:tc>
          <w:tcPr>
            <w:tcW w:w="7371" w:type="dxa"/>
            <w:shd w:val="clear" w:color="auto" w:fill="FFFFFF"/>
          </w:tcPr>
          <w:p w:rsidR="00B37775" w:rsidRPr="0048473E" w:rsidRDefault="00B37775" w:rsidP="002159EB">
            <w:pPr>
              <w:spacing w:before="120" w:after="120"/>
              <w:rPr>
                <w:sz w:val="16"/>
              </w:rPr>
            </w:pPr>
            <w:r w:rsidRPr="0048473E">
              <w:rPr>
                <w:sz w:val="16"/>
              </w:rPr>
              <w:t>Rosa Estaràs Ferragut, Ildikó Gáll-Pelcz, Teresa Jiménez-Becerril Barrio, Elisabeth Köstinger, Constance Le Grip, Angelika Niebler, Marijana Petir, Michaela Šojdrová, Elissavet Vozemberg-Vrionidi, Anna Záborská</w:t>
            </w:r>
          </w:p>
        </w:tc>
      </w:tr>
      <w:tr w:rsidR="00B37775" w:rsidRPr="0048473E" w:rsidTr="002159EB">
        <w:trPr>
          <w:cantSplit/>
        </w:trPr>
        <w:tc>
          <w:tcPr>
            <w:tcW w:w="1701" w:type="dxa"/>
            <w:shd w:val="clear" w:color="auto" w:fill="FFFFFF"/>
          </w:tcPr>
          <w:p w:rsidR="00B37775" w:rsidRPr="0048473E" w:rsidRDefault="00B37775" w:rsidP="002159EB">
            <w:pPr>
              <w:spacing w:before="120" w:after="120"/>
              <w:rPr>
                <w:sz w:val="16"/>
              </w:rPr>
            </w:pPr>
            <w:r w:rsidRPr="0048473E">
              <w:rPr>
                <w:sz w:val="16"/>
              </w:rPr>
              <w:t>S&amp;D</w:t>
            </w:r>
          </w:p>
        </w:tc>
        <w:tc>
          <w:tcPr>
            <w:tcW w:w="7371" w:type="dxa"/>
            <w:shd w:val="clear" w:color="auto" w:fill="FFFFFF"/>
          </w:tcPr>
          <w:p w:rsidR="00B37775" w:rsidRPr="0048473E" w:rsidRDefault="00B37775" w:rsidP="002159EB">
            <w:pPr>
              <w:spacing w:before="120" w:after="120"/>
              <w:rPr>
                <w:sz w:val="16"/>
              </w:rPr>
            </w:pPr>
            <w:r w:rsidRPr="0048473E">
              <w:rPr>
                <w:sz w:val="16"/>
              </w:rPr>
              <w:t>Vilija Blinkevičiūtė, Viorica Dăncilă, Iratxe García Pérez, Anna Hedh, Mary Honeyball, Clare Moody, Maria Noichl, Pina Picierno, Liliana Rodrigues</w:t>
            </w:r>
          </w:p>
        </w:tc>
      </w:tr>
      <w:tr w:rsidR="00B37775" w:rsidRPr="0048473E" w:rsidTr="002159EB">
        <w:trPr>
          <w:cantSplit/>
        </w:trPr>
        <w:tc>
          <w:tcPr>
            <w:tcW w:w="1701" w:type="dxa"/>
            <w:shd w:val="clear" w:color="auto" w:fill="FFFFFF"/>
          </w:tcPr>
          <w:p w:rsidR="00B37775" w:rsidRPr="0048473E" w:rsidRDefault="00B37775" w:rsidP="002159EB">
            <w:pPr>
              <w:spacing w:before="120" w:after="120"/>
              <w:rPr>
                <w:sz w:val="16"/>
              </w:rPr>
            </w:pPr>
            <w:r w:rsidRPr="0048473E">
              <w:rPr>
                <w:sz w:val="16"/>
              </w:rPr>
              <w:t>VERTS/ALE</w:t>
            </w:r>
          </w:p>
        </w:tc>
        <w:tc>
          <w:tcPr>
            <w:tcW w:w="7371" w:type="dxa"/>
            <w:shd w:val="clear" w:color="auto" w:fill="FFFFFF"/>
          </w:tcPr>
          <w:p w:rsidR="00B37775" w:rsidRPr="0048473E" w:rsidRDefault="00B37775" w:rsidP="002159EB">
            <w:pPr>
              <w:spacing w:before="120" w:after="120"/>
              <w:rPr>
                <w:sz w:val="16"/>
              </w:rPr>
            </w:pPr>
            <w:r w:rsidRPr="0048473E">
              <w:rPr>
                <w:sz w:val="16"/>
              </w:rPr>
              <w:t>Florent Marcellesi, Terry Reintke, Ernest Urtasun</w:t>
            </w:r>
          </w:p>
        </w:tc>
      </w:tr>
    </w:tbl>
    <w:p w:rsidR="00B37775" w:rsidRPr="0048473E" w:rsidRDefault="00B37775" w:rsidP="00B3777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7775" w:rsidRPr="0048473E" w:rsidTr="002159EB">
        <w:trPr>
          <w:cantSplit/>
        </w:trPr>
        <w:tc>
          <w:tcPr>
            <w:tcW w:w="1701" w:type="dxa"/>
            <w:shd w:val="pct10" w:color="000000" w:fill="FFFFFF"/>
            <w:vAlign w:val="center"/>
          </w:tcPr>
          <w:p w:rsidR="00B37775" w:rsidRPr="0048473E" w:rsidRDefault="00B37775" w:rsidP="002159EB">
            <w:pPr>
              <w:spacing w:before="120" w:after="120"/>
              <w:jc w:val="center"/>
              <w:rPr>
                <w:b/>
                <w:sz w:val="16"/>
              </w:rPr>
            </w:pPr>
            <w:r w:rsidRPr="0048473E">
              <w:rPr>
                <w:b/>
                <w:sz w:val="16"/>
              </w:rPr>
              <w:t>1</w:t>
            </w:r>
          </w:p>
        </w:tc>
        <w:tc>
          <w:tcPr>
            <w:tcW w:w="7371" w:type="dxa"/>
            <w:shd w:val="pct10" w:color="000000" w:fill="FFFFFF"/>
          </w:tcPr>
          <w:p w:rsidR="00B37775" w:rsidRPr="0048473E" w:rsidRDefault="00B37775" w:rsidP="002159EB">
            <w:pPr>
              <w:spacing w:before="120" w:after="120"/>
              <w:jc w:val="center"/>
              <w:rPr>
                <w:sz w:val="28"/>
                <w:szCs w:val="28"/>
              </w:rPr>
            </w:pPr>
            <w:r w:rsidRPr="0048473E">
              <w:rPr>
                <w:rFonts w:ascii="Arial" w:hAnsi="Arial"/>
                <w:b/>
                <w:sz w:val="28"/>
              </w:rPr>
              <w:t>-</w:t>
            </w:r>
          </w:p>
        </w:tc>
      </w:tr>
      <w:tr w:rsidR="00B37775" w:rsidRPr="0048473E" w:rsidTr="002159EB">
        <w:trPr>
          <w:cantSplit/>
        </w:trPr>
        <w:tc>
          <w:tcPr>
            <w:tcW w:w="1701" w:type="dxa"/>
            <w:shd w:val="clear" w:color="auto" w:fill="FFFFFF"/>
          </w:tcPr>
          <w:p w:rsidR="00B37775" w:rsidRPr="0048473E" w:rsidRDefault="00B37775" w:rsidP="002159EB">
            <w:pPr>
              <w:spacing w:before="120" w:after="120"/>
              <w:rPr>
                <w:sz w:val="16"/>
              </w:rPr>
            </w:pPr>
            <w:r w:rsidRPr="0048473E">
              <w:rPr>
                <w:sz w:val="16"/>
              </w:rPr>
              <w:t>ALDE</w:t>
            </w:r>
          </w:p>
        </w:tc>
        <w:tc>
          <w:tcPr>
            <w:tcW w:w="7371" w:type="dxa"/>
            <w:shd w:val="clear" w:color="auto" w:fill="FFFFFF"/>
          </w:tcPr>
          <w:p w:rsidR="00B37775" w:rsidRPr="0048473E" w:rsidRDefault="00B37775" w:rsidP="002159EB">
            <w:pPr>
              <w:spacing w:before="120" w:after="120"/>
              <w:rPr>
                <w:sz w:val="16"/>
              </w:rPr>
            </w:pPr>
            <w:r w:rsidRPr="0048473E">
              <w:rPr>
                <w:sz w:val="16"/>
              </w:rPr>
              <w:t>Angelika Mlinar</w:t>
            </w:r>
          </w:p>
        </w:tc>
      </w:tr>
    </w:tbl>
    <w:p w:rsidR="00B37775" w:rsidRPr="0048473E" w:rsidRDefault="00B37775" w:rsidP="00B3777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7775" w:rsidRPr="0048473E" w:rsidTr="002159EB">
        <w:trPr>
          <w:cantSplit/>
        </w:trPr>
        <w:tc>
          <w:tcPr>
            <w:tcW w:w="1701" w:type="dxa"/>
            <w:shd w:val="pct10" w:color="000000" w:fill="FFFFFF"/>
            <w:vAlign w:val="center"/>
          </w:tcPr>
          <w:p w:rsidR="00B37775" w:rsidRPr="0048473E" w:rsidRDefault="00B37775" w:rsidP="002159EB">
            <w:pPr>
              <w:spacing w:before="120" w:after="120"/>
              <w:jc w:val="center"/>
              <w:rPr>
                <w:b/>
                <w:sz w:val="16"/>
              </w:rPr>
            </w:pPr>
            <w:r w:rsidRPr="0048473E">
              <w:rPr>
                <w:b/>
                <w:sz w:val="16"/>
              </w:rPr>
              <w:t>3</w:t>
            </w:r>
          </w:p>
        </w:tc>
        <w:tc>
          <w:tcPr>
            <w:tcW w:w="7371" w:type="dxa"/>
            <w:shd w:val="pct10" w:color="000000" w:fill="FFFFFF"/>
          </w:tcPr>
          <w:p w:rsidR="00B37775" w:rsidRPr="0048473E" w:rsidRDefault="00B37775" w:rsidP="002159EB">
            <w:pPr>
              <w:spacing w:before="120" w:after="120"/>
              <w:jc w:val="center"/>
              <w:rPr>
                <w:sz w:val="28"/>
                <w:szCs w:val="28"/>
              </w:rPr>
            </w:pPr>
            <w:r w:rsidRPr="0048473E">
              <w:rPr>
                <w:rFonts w:ascii="Arial" w:hAnsi="Arial"/>
                <w:b/>
                <w:sz w:val="28"/>
              </w:rPr>
              <w:t>0</w:t>
            </w:r>
          </w:p>
        </w:tc>
      </w:tr>
      <w:tr w:rsidR="00B37775" w:rsidRPr="0048473E" w:rsidTr="002159EB">
        <w:trPr>
          <w:cantSplit/>
        </w:trPr>
        <w:tc>
          <w:tcPr>
            <w:tcW w:w="1701" w:type="dxa"/>
            <w:shd w:val="clear" w:color="auto" w:fill="FFFFFF"/>
          </w:tcPr>
          <w:p w:rsidR="00B37775" w:rsidRPr="0048473E" w:rsidRDefault="00B37775" w:rsidP="002159EB">
            <w:pPr>
              <w:spacing w:before="120" w:after="120"/>
              <w:rPr>
                <w:sz w:val="16"/>
              </w:rPr>
            </w:pPr>
            <w:r w:rsidRPr="0048473E">
              <w:rPr>
                <w:sz w:val="16"/>
              </w:rPr>
              <w:t>ENF</w:t>
            </w:r>
          </w:p>
        </w:tc>
        <w:tc>
          <w:tcPr>
            <w:tcW w:w="7371" w:type="dxa"/>
            <w:shd w:val="clear" w:color="auto" w:fill="FFFFFF"/>
          </w:tcPr>
          <w:p w:rsidR="00B37775" w:rsidRPr="0048473E" w:rsidRDefault="00B37775" w:rsidP="002159EB">
            <w:pPr>
              <w:spacing w:before="120" w:after="120"/>
              <w:rPr>
                <w:sz w:val="16"/>
              </w:rPr>
            </w:pPr>
            <w:r w:rsidRPr="0048473E">
              <w:rPr>
                <w:sz w:val="16"/>
              </w:rPr>
              <w:t>Mylène Troszczynski</w:t>
            </w:r>
          </w:p>
        </w:tc>
      </w:tr>
      <w:tr w:rsidR="00B37775" w:rsidRPr="0048473E" w:rsidTr="002159EB">
        <w:trPr>
          <w:cantSplit/>
        </w:trPr>
        <w:tc>
          <w:tcPr>
            <w:tcW w:w="1701" w:type="dxa"/>
            <w:shd w:val="clear" w:color="auto" w:fill="FFFFFF"/>
          </w:tcPr>
          <w:p w:rsidR="00B37775" w:rsidRPr="0048473E" w:rsidRDefault="00B37775" w:rsidP="002159EB">
            <w:pPr>
              <w:spacing w:before="120" w:after="120"/>
              <w:rPr>
                <w:sz w:val="16"/>
              </w:rPr>
            </w:pPr>
            <w:r w:rsidRPr="0048473E">
              <w:rPr>
                <w:sz w:val="16"/>
              </w:rPr>
              <w:t>GUE/NGL</w:t>
            </w:r>
          </w:p>
        </w:tc>
        <w:tc>
          <w:tcPr>
            <w:tcW w:w="7371" w:type="dxa"/>
            <w:shd w:val="clear" w:color="auto" w:fill="FFFFFF"/>
          </w:tcPr>
          <w:p w:rsidR="00B37775" w:rsidRPr="0048473E" w:rsidRDefault="00B37775" w:rsidP="002159EB">
            <w:pPr>
              <w:spacing w:before="120" w:after="120"/>
              <w:rPr>
                <w:sz w:val="16"/>
              </w:rPr>
            </w:pPr>
            <w:r w:rsidRPr="0048473E">
              <w:rPr>
                <w:sz w:val="16"/>
              </w:rPr>
              <w:t>João Pimenta Lopes</w:t>
            </w:r>
          </w:p>
        </w:tc>
      </w:tr>
      <w:tr w:rsidR="00B37775" w:rsidRPr="0048473E" w:rsidTr="002159EB">
        <w:trPr>
          <w:cantSplit/>
        </w:trPr>
        <w:tc>
          <w:tcPr>
            <w:tcW w:w="1701" w:type="dxa"/>
            <w:shd w:val="clear" w:color="auto" w:fill="FFFFFF"/>
          </w:tcPr>
          <w:p w:rsidR="00B37775" w:rsidRPr="0048473E" w:rsidRDefault="00B37775" w:rsidP="002159EB">
            <w:pPr>
              <w:spacing w:before="120" w:after="120"/>
              <w:rPr>
                <w:sz w:val="16"/>
              </w:rPr>
            </w:pPr>
            <w:r w:rsidRPr="0048473E">
              <w:rPr>
                <w:sz w:val="16"/>
              </w:rPr>
              <w:t>NI</w:t>
            </w:r>
          </w:p>
        </w:tc>
        <w:tc>
          <w:tcPr>
            <w:tcW w:w="7371" w:type="dxa"/>
            <w:shd w:val="clear" w:color="auto" w:fill="FFFFFF"/>
          </w:tcPr>
          <w:p w:rsidR="00B37775" w:rsidRPr="0048473E" w:rsidRDefault="00B37775" w:rsidP="002159EB">
            <w:pPr>
              <w:spacing w:before="120" w:after="120"/>
              <w:rPr>
                <w:sz w:val="16"/>
              </w:rPr>
            </w:pPr>
            <w:r w:rsidRPr="0048473E">
              <w:rPr>
                <w:sz w:val="16"/>
              </w:rPr>
              <w:t>Krisztina Morvai</w:t>
            </w:r>
          </w:p>
        </w:tc>
      </w:tr>
    </w:tbl>
    <w:p w:rsidR="00B37775" w:rsidRPr="0048473E" w:rsidRDefault="00B37775" w:rsidP="00B37775">
      <w:pPr>
        <w:pStyle w:val="Normal12"/>
      </w:pPr>
    </w:p>
    <w:p w:rsidR="00B37775" w:rsidRPr="0048473E" w:rsidRDefault="00B37775" w:rsidP="00B37775">
      <w:r w:rsidRPr="0048473E">
        <w:t>Význam zkratek:</w:t>
      </w:r>
    </w:p>
    <w:p w:rsidR="00B37775" w:rsidRPr="0048473E" w:rsidRDefault="00B37775" w:rsidP="00B37775">
      <w:pPr>
        <w:pStyle w:val="NormalTabs"/>
      </w:pPr>
      <w:r w:rsidRPr="0048473E">
        <w:t>+</w:t>
      </w:r>
      <w:r w:rsidRPr="0048473E">
        <w:tab/>
        <w:t>:</w:t>
      </w:r>
      <w:r w:rsidRPr="0048473E">
        <w:tab/>
        <w:t>pro</w:t>
      </w:r>
    </w:p>
    <w:p w:rsidR="00B37775" w:rsidRPr="0048473E" w:rsidRDefault="00B37775" w:rsidP="00B37775">
      <w:pPr>
        <w:pStyle w:val="NormalTabs"/>
      </w:pPr>
      <w:r w:rsidRPr="0048473E">
        <w:t>-</w:t>
      </w:r>
      <w:r w:rsidRPr="0048473E">
        <w:tab/>
        <w:t>:</w:t>
      </w:r>
      <w:r w:rsidRPr="0048473E">
        <w:tab/>
        <w:t>proti</w:t>
      </w:r>
    </w:p>
    <w:p w:rsidR="00B37775" w:rsidRPr="0048473E" w:rsidRDefault="00B37775" w:rsidP="00B37775">
      <w:pPr>
        <w:pStyle w:val="NormalTabs"/>
      </w:pPr>
      <w:r w:rsidRPr="0048473E">
        <w:t>0</w:t>
      </w:r>
      <w:r w:rsidRPr="0048473E">
        <w:tab/>
        <w:t>:</w:t>
      </w:r>
      <w:r w:rsidRPr="0048473E">
        <w:tab/>
        <w:t>zdrželi se</w:t>
      </w:r>
    </w:p>
    <w:p w:rsidR="00B37775" w:rsidRPr="0048473E" w:rsidRDefault="00B37775" w:rsidP="00B37775"/>
    <w:bookmarkEnd w:id="6"/>
    <w:p w:rsidR="00B37775" w:rsidRPr="0048473E" w:rsidRDefault="00B37775" w:rsidP="00B37775"/>
    <w:p w:rsidR="00BE20CF" w:rsidRPr="0048473E" w:rsidRDefault="00BE20CF" w:rsidP="009A2AEB"/>
    <w:sectPr w:rsidR="00BE20CF" w:rsidRPr="0048473E" w:rsidSect="0048473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92" w:rsidRPr="00405C3A" w:rsidRDefault="00F23F92">
      <w:r w:rsidRPr="00405C3A">
        <w:separator/>
      </w:r>
    </w:p>
  </w:endnote>
  <w:endnote w:type="continuationSeparator" w:id="0">
    <w:p w:rsidR="00F23F92" w:rsidRPr="00405C3A" w:rsidRDefault="00F23F92">
      <w:r w:rsidRPr="00405C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3E" w:rsidRDefault="0048473E" w:rsidP="0048473E">
    <w:pPr>
      <w:pStyle w:val="Footer"/>
    </w:pPr>
    <w:r>
      <w:t>PE</w:t>
    </w:r>
    <w:r w:rsidRPr="0048473E">
      <w:rPr>
        <w:rStyle w:val="HideTWBExt"/>
      </w:rPr>
      <w:t>&lt;NoPE&gt;</w:t>
    </w:r>
    <w:r>
      <w:t>592.148</w:t>
    </w:r>
    <w:r w:rsidRPr="0048473E">
      <w:rPr>
        <w:rStyle w:val="HideTWBExt"/>
      </w:rPr>
      <w:t>&lt;/NoPE&gt;&lt;Version&gt;</w:t>
    </w:r>
    <w:r>
      <w:t>v03-00</w:t>
    </w:r>
    <w:r w:rsidRPr="0048473E">
      <w:rPr>
        <w:rStyle w:val="HideTWBExt"/>
      </w:rPr>
      <w:t>&lt;/Version&gt;</w:t>
    </w:r>
    <w:r>
      <w:tab/>
    </w:r>
    <w:r>
      <w:fldChar w:fldCharType="begin"/>
    </w:r>
    <w:r>
      <w:instrText xml:space="preserve"> PAGE  \* MERGEFORMAT </w:instrText>
    </w:r>
    <w:r>
      <w:fldChar w:fldCharType="separate"/>
    </w:r>
    <w:r w:rsidR="00382450">
      <w:rPr>
        <w:noProof/>
      </w:rPr>
      <w:t>2</w:t>
    </w:r>
    <w:r>
      <w:fldChar w:fldCharType="end"/>
    </w:r>
    <w:r>
      <w:t>/</w:t>
    </w:r>
    <w:r w:rsidR="00382450">
      <w:fldChar w:fldCharType="begin"/>
    </w:r>
    <w:r w:rsidR="00382450">
      <w:instrText xml:space="preserve"> NUMPAGES  \* MERGEFORMAT </w:instrText>
    </w:r>
    <w:r w:rsidR="00382450">
      <w:fldChar w:fldCharType="separate"/>
    </w:r>
    <w:r w:rsidR="00382450">
      <w:rPr>
        <w:noProof/>
      </w:rPr>
      <w:t>32</w:t>
    </w:r>
    <w:r w:rsidR="00382450">
      <w:rPr>
        <w:noProof/>
      </w:rPr>
      <w:fldChar w:fldCharType="end"/>
    </w:r>
    <w:r>
      <w:tab/>
    </w:r>
    <w:r w:rsidRPr="0048473E">
      <w:rPr>
        <w:rStyle w:val="HideTWBExt"/>
      </w:rPr>
      <w:t>&lt;PathFdR&gt;</w:t>
    </w:r>
    <w:r>
      <w:t>AD\1121014CS.docx</w:t>
    </w:r>
    <w:r w:rsidRPr="0048473E">
      <w:rPr>
        <w:rStyle w:val="HideTWBExt"/>
      </w:rPr>
      <w:t>&lt;/PathFdR&gt;</w:t>
    </w:r>
  </w:p>
  <w:p w:rsidR="00F23F92" w:rsidRPr="00405C3A" w:rsidRDefault="0048473E" w:rsidP="0048473E">
    <w:pPr>
      <w:pStyle w:val="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3E" w:rsidRDefault="0048473E" w:rsidP="0048473E">
    <w:pPr>
      <w:pStyle w:val="Footer"/>
    </w:pPr>
    <w:r w:rsidRPr="0048473E">
      <w:rPr>
        <w:rStyle w:val="HideTWBExt"/>
      </w:rPr>
      <w:t>&lt;PathFdR&gt;</w:t>
    </w:r>
    <w:r>
      <w:t>AD\1121014CS.docx</w:t>
    </w:r>
    <w:r w:rsidRPr="0048473E">
      <w:rPr>
        <w:rStyle w:val="HideTWBExt"/>
      </w:rPr>
      <w:t>&lt;/PathFdR&gt;</w:t>
    </w:r>
    <w:r>
      <w:tab/>
    </w:r>
    <w:r>
      <w:fldChar w:fldCharType="begin"/>
    </w:r>
    <w:r>
      <w:instrText xml:space="preserve"> PAGE  \* MERGEFORMAT </w:instrText>
    </w:r>
    <w:r>
      <w:fldChar w:fldCharType="separate"/>
    </w:r>
    <w:r w:rsidR="00382450">
      <w:rPr>
        <w:noProof/>
      </w:rPr>
      <w:t>3</w:t>
    </w:r>
    <w:r>
      <w:fldChar w:fldCharType="end"/>
    </w:r>
    <w:r>
      <w:t>/</w:t>
    </w:r>
    <w:r w:rsidR="00382450">
      <w:fldChar w:fldCharType="begin"/>
    </w:r>
    <w:r w:rsidR="00382450">
      <w:instrText xml:space="preserve"> NUMPAGES  \* MERGEFORMAT </w:instrText>
    </w:r>
    <w:r w:rsidR="00382450">
      <w:fldChar w:fldCharType="separate"/>
    </w:r>
    <w:r w:rsidR="00382450">
      <w:rPr>
        <w:noProof/>
      </w:rPr>
      <w:t>32</w:t>
    </w:r>
    <w:r w:rsidR="00382450">
      <w:rPr>
        <w:noProof/>
      </w:rPr>
      <w:fldChar w:fldCharType="end"/>
    </w:r>
    <w:r>
      <w:tab/>
      <w:t>PE</w:t>
    </w:r>
    <w:r w:rsidRPr="0048473E">
      <w:rPr>
        <w:rStyle w:val="HideTWBExt"/>
      </w:rPr>
      <w:t>&lt;NoPE&gt;</w:t>
    </w:r>
    <w:r>
      <w:t>592.148</w:t>
    </w:r>
    <w:r w:rsidRPr="0048473E">
      <w:rPr>
        <w:rStyle w:val="HideTWBExt"/>
      </w:rPr>
      <w:t>&lt;/NoPE&gt;&lt;Version&gt;</w:t>
    </w:r>
    <w:r>
      <w:t>v03-00</w:t>
    </w:r>
    <w:r w:rsidRPr="0048473E">
      <w:rPr>
        <w:rStyle w:val="HideTWBExt"/>
      </w:rPr>
      <w:t>&lt;/Version&gt;</w:t>
    </w:r>
  </w:p>
  <w:p w:rsidR="00F23F92" w:rsidRPr="00405C3A" w:rsidRDefault="0048473E" w:rsidP="0048473E">
    <w:pPr>
      <w:pStyle w:val="Footer2"/>
    </w:pP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3E" w:rsidRDefault="0048473E" w:rsidP="0048473E">
    <w:pPr>
      <w:pStyle w:val="Footer"/>
    </w:pPr>
    <w:r w:rsidRPr="0048473E">
      <w:rPr>
        <w:rStyle w:val="HideTWBExt"/>
      </w:rPr>
      <w:t>&lt;PathFdR&gt;</w:t>
    </w:r>
    <w:r>
      <w:t>AD\1121014CS.docx</w:t>
    </w:r>
    <w:r w:rsidRPr="0048473E">
      <w:rPr>
        <w:rStyle w:val="HideTWBExt"/>
      </w:rPr>
      <w:t>&lt;/PathFdR&gt;</w:t>
    </w:r>
    <w:r>
      <w:tab/>
    </w:r>
    <w:r>
      <w:tab/>
      <w:t>PE</w:t>
    </w:r>
    <w:r w:rsidRPr="0048473E">
      <w:rPr>
        <w:rStyle w:val="HideTWBExt"/>
      </w:rPr>
      <w:t>&lt;NoPE&gt;</w:t>
    </w:r>
    <w:r>
      <w:t>592.148</w:t>
    </w:r>
    <w:r w:rsidRPr="0048473E">
      <w:rPr>
        <w:rStyle w:val="HideTWBExt"/>
      </w:rPr>
      <w:t>&lt;/NoPE&gt;&lt;Version&gt;</w:t>
    </w:r>
    <w:r>
      <w:t>v03-00</w:t>
    </w:r>
    <w:r w:rsidRPr="0048473E">
      <w:rPr>
        <w:rStyle w:val="HideTWBExt"/>
      </w:rPr>
      <w:t>&lt;/Version&gt;</w:t>
    </w:r>
  </w:p>
  <w:p w:rsidR="00F23F92" w:rsidRPr="00405C3A" w:rsidRDefault="0048473E" w:rsidP="0048473E">
    <w:pPr>
      <w:pStyle w:val="Footer2"/>
      <w:tabs>
        <w:tab w:val="center" w:pos="4535"/>
      </w:tabs>
    </w:pPr>
    <w:r>
      <w:t>CS</w:t>
    </w:r>
    <w:r>
      <w:tab/>
    </w:r>
    <w:r w:rsidRPr="0048473E">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92" w:rsidRPr="00405C3A" w:rsidRDefault="00F23F92">
      <w:r w:rsidRPr="00405C3A">
        <w:separator/>
      </w:r>
    </w:p>
  </w:footnote>
  <w:footnote w:type="continuationSeparator" w:id="0">
    <w:p w:rsidR="00F23F92" w:rsidRPr="00405C3A" w:rsidRDefault="00F23F92">
      <w:r w:rsidRPr="00405C3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50" w:rsidRDefault="00382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50" w:rsidRDefault="00382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50" w:rsidRDefault="00382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ODEMNU" w:val=" 1"/>
    <w:docVar w:name="COM2KEY" w:val="IMCO"/>
    <w:docVar w:name="COMKEY" w:val="FEMM"/>
    <w:docVar w:name="CopyToNetwork" w:val="-1"/>
    <w:docVar w:name="DOCCODMNU" w:val=" 2"/>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4\fbidi \froman\fcharset238\fprq2 Times New Roman CE;}{\f315\fbidi \froman\fcharset204\fprq2 Times New Roman Cyr;}_x000d__x000a_{\f317\fbidi \froman\fcharset161\fprq2 Times New Roman Greek;}{\f318\fbidi \froman\fcharset162\fprq2 Times New Roman Tur;}{\f319\fbidi \froman\fcharset177\fprq2 Times New Roman (Hebrew);}{\f320\fbidi \froman\fcharset178\fprq2 Times New Roman (Arabic);}_x000d__x000a_{\f321\fbidi \froman\fcharset186\fprq2 Times New Roman Baltic;}{\f322\fbidi \froman\fcharset163\fprq2 Times New Roman (Vietnamese);}{\f324\fbidi \fswiss\fcharset238\fprq2 Arial CE;}{\f325\fbidi \fswiss\fcharset204\fprq2 Arial Cyr;}_x000d__x000a_{\f327\fbidi \fswiss\fcharset161\fprq2 Arial Greek;}{\f328\fbidi \fswiss\fcharset162\fprq2 Arial Tur;}{\f329\fbidi \fswiss\fcharset177\fprq2 Arial (Hebrew);}{\f330\fbidi \fswiss\fcharset178\fprq2 Arial (Arabic);}_x000d__x000a_{\f331\fbidi \fswiss\fcharset186\fprq2 Arial Baltic;}{\f332\fbidi \fswiss\fcharset163\fprq2 Arial (Vietnamese);}{\f654\fbidi \froman\fcharset238\fprq2 Cambria Math CE;}{\f655\fbidi \froman\fcharset204\fprq2 Cambria Math Cyr;}_x000d__x000a_{\f657\fbidi \froman\fcharset161\fprq2 Cambria Math Greek;}{\f658\fbidi \froman\fcharset162\fprq2 Cambria Math Tur;}{\f661\fbidi \froman\fcharset186\fprq2 Cambria Math Baltic;}{\f66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25388 HideTWBExt;}{\s16\ql \li0\ri0\sa120\nowidctlpar\wrapdefault\aspalpha\aspnum\faauto\adjustright\rin0\lin0\itap0 \rtlch\fcs1 \af0\afs20\alang1025 \ltrch\fcs0 _x000d__x000a_\fs24\lang1029\langfe2057\cgrid\langnp1029\langfenp2057 \sbasedon0 \snext16 \slink17 \spriority0 \styrsid1925388 Normal6;}{\*\cs17 \additive \fs24\lang1029\langfe0\langnp1029 \slink16 \slocked \spriority0 \styrsid1925388 Normal6 Char;}{_x000d__x000a_\s18\ql \li0\ri0\nowidctlpar\wrapdefault\aspalpha\aspnum\faauto\adjustright\rin0\lin0\itap0 \rtlch\fcs1 \af0\afs20\alang1025 \ltrch\fcs0 \b\fs24\lang1029\langfe2057\cgrid\langnp1029\langfenp2057 \sbasedon0 \snext18 \slink19 \spriority0 \styrsid1925388 _x000d__x000a_NormalBold;}{\*\cs19 \additive \b\fs24\lang1029\langfe0\langnp1029 \slink18 \slocked \spriority0 \styrsid1925388 NormalBold Char;}{\s20\ql \li0\ri0\sb240\nowidctlpar\wrapdefault\aspalpha\aspnum\faauto\adjustright\rin0\lin0\itap0 \rtlch\fcs1 _x000d__x000a_\af0\afs20\alang1025 \ltrch\fcs0 \i\fs24\lang1029\langfe2057\cgrid\langnp1029\langfenp2057 \sbasedon0 \snext20 \spriority0 \styrsid1925388 Normal12Italic;}{\*\cs21 \additive \v\cf15 \spriority0 \styrsid1925388 HideTWBInt;}{_x000d__x000a_\s22\qc \li0\ri0\sb240\keepn\nowidctlpar\wrapdefault\aspalpha\aspnum\faauto\adjustright\rin0\lin0\itap0 \rtlch\fcs1 \af0\afs20\alang1025 \ltrch\fcs0 \i\fs24\lang1029\langfe2057\cgrid\langnp1029\langfenp2057 \sbasedon0 \snext0 \spriority0 \styrsid1925388 _x000d__x000a_JustificationTitle;}{\s23\qc \li0\ri0\sa240\nowidctlpar\wrapdefault\aspalpha\aspnum\faauto\adjustright\rin0\lin0\itap0 \rtlch\fcs1 \af0\afs20\alang1025 \ltrch\fcs0 \i\fs24\lang1029\langfe2057\cgrid\langnp1029\langfenp2057 _x000d__x000a_\sbasedon0 \snext23 \spriority0 \styrsid1925388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4 \spriority0 \styrsid1925388 AMNumberTabs;}{\s25\ql \li0\ri0\sb240\nowidctlpar\wrapdefault\aspalpha\aspnum\faauto\adjustright\rin0\lin0\itap0 \rtlch\fcs1 _x000d__x000a_\af0\afs20\alang1025 \ltrch\fcs0 \b\fs24\lang1029\langfe2057\cgrid\langnp1029\langfenp2057 \sbasedon0 \snext25 \spriority0 \styrsid1925388 NormalBold12b;}}{\*\rsidtbl \rsid24658\rsid735077\rsid1925388\rsid2892074\rsid4666813\rsid6115796\rsid6641733_x000d__x000a_\rsid9636012\rsid11215221\rsid12154954\rsid14424199\rsid15204470\rsid15285974\rsid15950462\rsid16324206\rsid16662270}{\mmathPr\mmathFont34\mbrkBin0\mbrkBinSub0\msmallFrac0\mdispDef1\mlMargin0\mrMargin0\mdefJc1\mwrapIndent1440\mintLim0\mnaryLim1}{\info_x000d__x000a_{\author GOESSINGER SKLENAROVA Ruzena}{\operator GOESSINGER SKLENAROVA Ruzena}{\creatim\yr2017\mo3\dy13\hr11\min46}{\revtim\yr2017\mo3\dy13\hr11\min46}{\version1}{\edmins0}{\nofpages1}{\nofwords26}{\nofchars296}{\*\company European Parliament}_x000d__x000a_{\nofcharsws298}{\vern57441}}{\*\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925388\utinl \fet0{\*\wgrffmtfilter 013f}\ilfomacatclnup0{\*\template C:\\Users\\RGOESS~1\\AppData\\Local\\Temp\\Blank1.dot}{\*\ftnsep \ltrpar \pard\plain \ltrpar_x000d__x000a_\ql \li0\ri0\widctlpar\wrapdefault\aspalpha\aspnum\faauto\adjustright\rin0\lin0\itap0 \rtlch\fcs1 \af0\afs20\alang1025 \ltrch\fcs0 \fs24\lang2057\langfe2057\cgrid\langnp2057\langfenp2057 {\rtlch\fcs1 \af0 \ltrch\fcs0 \insrsid6115796 \chftnsep _x000d__x000a_\par }}{\*\ftnsepc \ltrpar \pard\plain \ltrpar\ql \li0\ri0\widctlpar\wrapdefault\aspalpha\aspnum\faauto\adjustright\rin0\lin0\itap0 \rtlch\fcs1 \af0\afs20\alang1025 \ltrch\fcs0 \fs24\lang2057\langfe2057\cgrid\langnp2057\langfenp2057 {\rtlch\fcs1 \af0 _x000d__x000a_\ltrch\fcs0 \insrsid6115796 \chftnsepc _x000d__x000a_\par }}{\*\aftnsep \ltrpar \pard\plain \ltrpar\ql \li0\ri0\widctlpar\wrapdefault\aspalpha\aspnum\faauto\adjustright\rin0\lin0\itap0 \rtlch\fcs1 \af0\afs20\alang1025 \ltrch\fcs0 \fs24\lang2057\langfe2057\cgrid\langnp2057\langfenp2057 {\rtlch\fcs1 \af0 _x000d__x000a_\ltrch\fcs0 \insrsid6115796 \chftnsep _x000d__x000a_\par }}{\*\aftnsepc \ltrpar \pard\plain \ltrpar\ql \li0\ri0\widctlpar\wrapdefault\aspalpha\aspnum\faauto\adjustright\rin0\lin0\itap0 \rtlch\fcs1 \af0\afs20\alang1025 \ltrch\fcs0 \fs24\lang2057\langfe2057\cgrid\langnp2057\langfenp2057 {\rtlch\fcs1 \af0 _x000d__x000a_\ltrch\fcs0 \insrsid611579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4332527 \rtlch\fcs1 \af0\afs20\alang1025 \ltrch\fcs0 \b\fs24\lang1029\langfe2057\cgrid\langnp1029\langfenp2057 {\rtlch\fcs1 \af0 \ltrch\fcs0 \cs15\b0\v\f1\fs20\cf9\insrsid1925388\charrsid1538329 {\*\bkmkstart restartA}&lt;AmendA&gt;}{_x000d__x000a_\rtlch\fcs1 \af314 \ltrch\fcs0 \f314\insrsid1925388\charrsid1538329 Pozm\'ec\'f2ovac\'ed n\'e1vrh\tab \tab }{\rtlch\fcs1 \af0 \ltrch\fcs0 \cs15\b0\v\f1\fs20\cf9\insrsid1925388\charrsid1538329 &lt;NumAmA&gt;}{\rtlch\fcs1 \af0 \ltrch\fcs0 _x000d__x000a_\insrsid1925388\charrsid1538329 #}{\rtlch\fcs1 \af0 \ltrch\fcs0 \cs21\v\cf15\insrsid1925388\charrsid1538329 ENMIENDA@NRAM@}{\rtlch\fcs1 \af0 \ltrch\fcs0 \insrsid1925388\charrsid1538329 #}{\rtlch\fcs1 \af0 \ltrch\fcs0 _x000d__x000a_\cs15\b0\v\f1\fs20\cf9\insrsid1925388\charrsid1538329 &lt;/NumAmA&gt;}{\rtlch\fcs1 \af0 \ltrch\fcs0 \insrsid1925388\charrsid1538329 _x000d__x000a_\par }\pard\plain \ltrpar\s25\ql \li0\ri0\sb240\keepn\nowidctlpar\wrapdefault\aspalpha\aspnum\faauto\adjustright\rin0\lin0\itap0\pararsid4332527 \rtlch\fcs1 \af0\afs20\alang1025 \ltrch\fcs0 \b\fs24\lang1029\langfe2057\cgrid\langnp1029\langfenp2057 {_x000d__x000a_\rtlch\fcs1 \af0 \ltrch\fcs0 \cs15\b0\v\f1\fs20\cf9\insrsid1925388\charrsid1538329 &lt;DocAmend&gt;}{\rtlch\fcs1 \af0 \ltrch\fcs0 \insrsid1925388\charrsid1538329 N\'e1vrh legislativn\'edho usnesen\'ed}{\rtlch\fcs1 \af0 \ltrch\fcs0 _x000d__x000a_\cs15\b0\v\f1\fs20\cf9\insrsid1925388\charrsid1538329 &lt;/DocAmend&gt;}{\rtlch\fcs1 \af0 \ltrch\fcs0 \insrsid1925388\charrsid1538329 _x000d__x000a_\par }\pard\plain \ltrpar\s18\ql \li0\ri0\nowidctlpar\wrapdefault\aspalpha\aspnum\faauto\adjustright\rin0\lin0\itap0\pararsid4332527 \rtlch\fcs1 \af0\afs20\alang1025 \ltrch\fcs0 \b\fs24\lang1029\langfe2057\cgrid\langnp1029\langfenp2057 {\rtlch\fcs1 \af0 _x000d__x000a_\ltrch\fcs0 \cs15\b0\v\f1\fs20\cf9\insrsid1925388\charrsid1538329 &lt;Article&gt;}{\rtlch\fcs1 \af0 \ltrch\fcs0 \cf10\insrsid1925388\charrsid11355159 \u9668\'3f}{\rtlch\fcs1 \af0 \ltrch\fcs0 \insrsid1925388\charrsid1538329 #}{\rtlch\fcs1 \af0 \ltrch\fcs0 _x000d__x000a_\cs21\v\cf15\insrsid1925388\charrsid1538329 TVTRESPART@RESPART@}{\rtlch\fcs1 \af0 \ltrch\fcs0 \insrsid1925388\charrsid1538329 #}{\rtlch\fcs1 \af0 \ltrch\fcs0 \cf10\insrsid1925388\charrsid11355159 \u9658\'3f}{\rtlch\fcs1 \af0 \ltrch\fcs0 _x000d__x000a_\cs15\b0\v\f1\fs20\cf9\insrsid1925388\charrsid1538329 &lt;/Article&gt;}{\rtlch\fcs1 \af0 \ltrch\fcs0 \cs19\b0\insrsid1925388\charrsid1538329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29\langfe2057\langnp1029\insrsid1925388\charrsid1538329 \cell }\pard \ltrpar\ql \li0\ri0\widctlpar\intbl\wrapdefault\aspalpha\aspnum\faauto\adjustright\rin0\lin0 _x000d__x000a_{\rtlch\fcs1 \af0 \ltrch\fcs0 \lang1029\langfe2057\langnp1029\insrsid1925388\charrsid1538329 \trowd \ltrrow\ts11\trqc\trgaph340\trleft-340\trftsWidth1\trftsWidthB3\trftsWidthA3\trpaddl340\trpaddr340\trpaddfl3\trpaddfr3\tblrsid14374628\tblind0\tblindtype3 _x000d__x000a_\clvertalt\clbrdrt\brdrtbl \clbrdrl\brdrtbl \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1029\langfe2057\cgrid\langnp1029\langfenp2057 {\rtlch\fcs1 \af0 \ltrch\fcs0 _x000d__x000a_\insrsid1925388\charrsid1538329 N\'e1vrh legislativn\'edho usnesen\'ed\cell }{\rtlch\fcs1 \af314 \ltrch\fcs0 \f314\insrsid1925388\charrsid1538329 Pozm\'ec\'f2ovac\'ed n\'e1vrh\cell }\pard\plain \ltrpar_x000d__x000a_\ql \li0\ri0\widctlpar\intbl\wrapdefault\aspalpha\aspnum\faauto\adjustright\rin0\lin0 \rtlch\fcs1 \af0\afs20\alang1025 \ltrch\fcs0 \fs24\lang2057\langfe2057\cgrid\langnp2057\langfenp2057 {\rtlch\fcs1 \af0 \ltrch\fcs0 _x000d__x000a_\lang1029\langfe2057\langnp1029\insrsid1925388\charrsid1538329 \trowd \ltrrow\ts11\trqc\trgaph340\trleft-340\trftsWidth1\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1029\langfe2057\cgrid\langnp1029\langfenp2057 {\rtlch\fcs1 \af0 _x000d__x000a_\ltrch\fcs0 \insrsid1925388\charrsid1538329 ##\cell ##}{\rtlch\fcs1 \af0\afs24 \ltrch\fcs0 \insrsid1925388\charrsid1538329 \cell }\pard\plain \ltrpar\ql \li0\ri0\widctlpar\intbl\wrapdefault\aspalpha\aspnum\faauto\adjustright\rin0\lin0 \rtlch\fcs1 _x000d__x000a_\af0\afs20\alang1025 \ltrch\fcs0 \fs24\lang2057\langfe2057\cgrid\langnp2057\langfenp2057 {\rtlch\fcs1 \af0 \ltrch\fcs0 \lang1029\langfe2057\langnp1029\insrsid1925388\charrsid1538329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4332527 \rtlch\fcs1 \af0\afs20\alang1025 \ltrch\fcs0 \i\fs24\lang1029\langfe2057\cgrid\langnp1029\langfenp2057 {\rtlch\fcs1 \af0 \ltrch\fcs0 _x000d__x000a_\cs15\i0\v\f1\fs20\cf9\insrsid1925388\charrsid1538329 &lt;TitreJust&gt;}{\rtlch\fcs1 \af314 \ltrch\fcs0 \f314\insrsid1925388\charrsid1538329 Od\'f9vodn\'ecn\'ed}{\rtlch\fcs1 \af0 \ltrch\fcs0 \cs15\i0\v\f1\fs20\cf9\insrsid1925388\charrsid1538329 &lt;/TitreJust&gt;}{_x000d__x000a_\rtlch\fcs1 \af0 \ltrch\fcs0 \insrsid1925388\charrsid1538329 _x000d__x000a_\par }\pard\plain \ltrpar\s20\ql \li0\ri0\sb240\nowidctlpar\wrapdefault\aspalpha\aspnum\faauto\adjustright\rin0\lin0\itap0\pararsid4332527 \rtlch\fcs1 \af0\afs20\alang1025 \ltrch\fcs0 \i\fs24\lang1029\langfe2057\cgrid\langnp1029\langfenp2057 {\rtlch\fcs1 \af0 _x000d__x000a_\ltrch\fcs0 \cs15\i0\v\f1\fs20\cf9\insrsid1925388\charrsid1538329 &lt;OptDelPrev&gt;}{\rtlch\fcs1 \af0 \ltrch\fcs0 \insrsid1925388\charrsid1538329 #}{\rtlch\fcs1 \af0 \ltrch\fcs0 \cs21\v\cf15\insrsid1925388\charrsid1538329 MNU[TEXTJUSTYES][TEXTJUSTNO]@CHOICE@}{_x000d__x000a_\rtlch\fcs1 \af0 \ltrch\fcs0 \insrsid1925388\charrsid1538329 #}{\rtlch\fcs1 \af0 \ltrch\fcs0 \cs15\i0\v\f1\fs20\cf9\insrsid1925388\charrsid1538329 &lt;/OptDelPrev&gt;}{\rtlch\fcs1 \af0 \ltrch\fcs0 \insrsid1925388\charrsid1538329 _x000d__x000a_\par }\pard\plain \ltrpar\ql \li0\ri0\widctlpar\wrapdefault\aspalpha\aspnum\faauto\adjustright\rin0\lin0\itap0\pararsid4332527 \rtlch\fcs1 \af0\afs20\alang1025 \ltrch\fcs0 \fs24\lang2057\langfe2057\cgrid\langnp2057\langfenp2057 {\rtlch\fcs1 \af0 \ltrch\fcs0 _x000d__x000a_\cs15\v\f1\fs20\cf9\lang1029\langfe2057\langnp1029\insrsid1925388\charrsid1538329 &lt;/AmendA&gt;}{\rtlch\fcs1 \af0 \ltrch\fcs0 \insrsid1925388\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8_x000d__x000a_3b05e79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4\fbidi \froman\fcharset238\fprq2 Times New Roman CE;}{\f315\fbidi \froman\fcharset204\fprq2 Times New Roman Cyr;}_x000d__x000a_{\f317\fbidi \froman\fcharset161\fprq2 Times New Roman Greek;}{\f318\fbidi \froman\fcharset162\fprq2 Times New Roman Tur;}{\f319\fbidi \froman\fcharset177\fprq2 Times New Roman (Hebrew);}{\f320\fbidi \froman\fcharset178\fprq2 Times New Roman (Arabic);}_x000d__x000a_{\f321\fbidi \froman\fcharset186\fprq2 Times New Roman Baltic;}{\f322\fbidi \froman\fcharset163\fprq2 Times New Roman (Vietnamese);}{\f324\fbidi \fswiss\fcharset238\fprq2 Arial CE;}{\f325\fbidi \fswiss\fcharset204\fprq2 Arial Cyr;}_x000d__x000a_{\f327\fbidi \fswiss\fcharset161\fprq2 Arial Greek;}{\f328\fbidi \fswiss\fcharset162\fprq2 Arial Tur;}{\f329\fbidi \fswiss\fcharset177\fprq2 Arial (Hebrew);}{\f330\fbidi \fswiss\fcharset178\fprq2 Arial (Arabic);}_x000d__x000a_{\f331\fbidi \fswiss\fcharset186\fprq2 Arial Baltic;}{\f332\fbidi \fswiss\fcharset163\fprq2 Arial (Vietnamese);}{\f654\fbidi \froman\fcharset238\fprq2 Cambria Math CE;}{\f655\fbidi \froman\fcharset204\fprq2 Cambria Math Cyr;}_x000d__x000a_{\f657\fbidi \froman\fcharset161\fprq2 Cambria Math Greek;}{\f658\fbidi \froman\fcharset162\fprq2 Cambria Math Tur;}{\f661\fbidi \froman\fcharset186\fprq2 Cambria Math Baltic;}{\f66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252979 HideTWBExt;}{\s16\ql \li0\ri0\sa120\nowidctlpar\wrapdefault\aspalpha\aspnum\faauto\adjustright\rin0\lin0\itap0 \rtlch\fcs1 \af0\afs20\alang1025 \ltrch\fcs0 _x000d__x000a_\fs24\lang1029\langfe2057\cgrid\langnp1029\langfenp2057 \sbasedon0 \snext16 \slink17 \spriority0 \styrsid13252979 Normal6;}{\*\cs17 \additive \fs24\lang1029\langfe0\langnp1029 \slink16 \slocked \spriority0 \styrsid13252979 Normal6 Char;}{_x000d__x000a_\s18\ql \li0\ri0\nowidctlpar\wrapdefault\aspalpha\aspnum\faauto\adjustright\rin0\lin0\itap0 \rtlch\fcs1 \af0\afs20\alang1025 \ltrch\fcs0 \b\fs24\lang1029\langfe2057\cgrid\langnp1029\langfenp2057 \sbasedon0 \snext18 \slink19 \spriority0 \styrsid13252979 _x000d__x000a_NormalBold;}{\*\cs19 \additive \b\fs24\lang1029\langfe0\langnp1029 \slink18 \slocked \spriority0 \styrsid13252979 NormalBold Char;}{\s20\ql \li0\ri0\sb240\nowidctlpar\wrapdefault\aspalpha\aspnum\faauto\adjustright\rin0\lin0\itap0 \rtlch\fcs1 _x000d__x000a_\af0\afs20\alang1025 \ltrch\fcs0 \i\fs24\lang1029\langfe2057\cgrid\langnp1029\langfenp2057 \sbasedon0 \snext20 \spriority0 \styrsid13252979 Normal12Italic;}{\s21\qc \li0\ri0\sb240\nowidctlpar\wrapdefault\aspalpha\aspnum\faauto\adjustright\rin0\lin0\itap0 _x000d__x000a_\rtlch\fcs1 \af0\afs20\alang1025 \ltrch\fcs0 \i\fs24\lang1029\langfe2057\cgrid\langnp1029\langfenp2057 \sbasedon0 \snext21 \spriority0 \styrsid13252979 CrossRef;}{\*\cs22 \additive \v\cf15 \spriority0 \styrsid13252979 HideTWBInt;}{_x000d__x000a_\s23\qc \li0\ri0\sb240\keepn\nowidctlpar\wrapdefault\aspalpha\aspnum\faauto\adjustright\rin0\lin0\itap0 \rtlch\fcs1 \af0\afs20\alang1025 \ltrch\fcs0 \i\fs24\lang1029\langfe2057\cgrid\langnp1029\langfenp2057 \sbasedon0 \snext0 \spriority0 \styrsid13252979 _x000d__x000a_JustificationTitle;}{\s24\qc \li0\ri0\sa240\nowidctlpar\wrapdefault\aspalpha\aspnum\faauto\adjustright\rin0\lin0\itap0 \rtlch\fcs1 \af0\afs20\alang1025 \ltrch\fcs0 \i\fs24\lang1029\langfe2057\cgrid\langnp1029\langfenp2057 _x000d__x000a_\sbasedon0 \snext24 \spriority0 \styrsid1325297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5 \spriority0 \styrsid13252979 AMNumberTabs;}{\s26\ql \li0\ri0\sb240\nowidctlpar\wrapdefault\aspalpha\aspnum\faauto\adjustright\rin0\lin0\itap0 \rtlch\fcs1 _x000d__x000a_\af0\afs20\alang1025 \ltrch\fcs0 \b\fs24\lang1029\langfe2057\cgrid\langnp1029\langfenp2057 \sbasedon0 \snext26 \spriority0 \styrsid13252979 NormalBold12b;}}{\*\rsidtbl \rsid24658\rsid735077\rsid1848022\rsid2892074\rsid4666813\rsid6641733\rsid9636012_x000d__x000a_\rsid11215221\rsid12154954\rsid13252979\rsid14424199\rsid15204470\rsid15285974\rsid15950462\rsid16324206\rsid16662270}{\mmathPr\mmathFont34\mbrkBin0\mbrkBinSub0\msmallFrac0\mdispDef1\mlMargin0\mrMargin0\mdefJc1\mwrapIndent1440\mintLim0\mnaryLim1}{\info_x000d__x000a_{\author GOESSINGER SKLENAROVA Ruzena}{\operator GOESSINGER SKLENAROVA Ruzena}{\creatim\yr2017\mo3\dy13\hr11\min46}{\revtim\yr2017\mo3\dy13\hr11\min46}{\version1}{\edmins0}{\nofpages1}{\nofwords55}{\nofchars608}{\*\company European Parliament}_x000d__x000a_{\nofcharsws613}{\vern57441}}{\*\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252979\utinl \fet0{\*\wgrffmtfilter 013f}\ilfomacatclnup0{\*\template C:\\Users\\RGOESS~1\\AppData\\Local\\Temp\\Blank1.dot}{\*\ftnsep \ltrpar \pard\plain \ltrpar_x000d__x000a_\ql \li0\ri0\widctlpar\wrapdefault\aspalpha\aspnum\faauto\adjustright\rin0\lin0\itap0 \rtlch\fcs1 \af0\afs20\alang1025 \ltrch\fcs0 \fs24\lang2057\langfe2057\cgrid\langnp2057\langfenp2057 {\rtlch\fcs1 \af0 \ltrch\fcs0 \insrsid1848022 \chftnsep _x000d__x000a_\par }}{\*\ftnsepc \ltrpar \pard\plain \ltrpar\ql \li0\ri0\widctlpar\wrapdefault\aspalpha\aspnum\faauto\adjustright\rin0\lin0\itap0 \rtlch\fcs1 \af0\afs20\alang1025 \ltrch\fcs0 \fs24\lang2057\langfe2057\cgrid\langnp2057\langfenp2057 {\rtlch\fcs1 \af0 _x000d__x000a_\ltrch\fcs0 \insrsid1848022 \chftnsepc _x000d__x000a_\par }}{\*\aftnsep \ltrpar \pard\plain \ltrpar\ql \li0\ri0\widctlpar\wrapdefault\aspalpha\aspnum\faauto\adjustright\rin0\lin0\itap0 \rtlch\fcs1 \af0\afs20\alang1025 \ltrch\fcs0 \fs24\lang2057\langfe2057\cgrid\langnp2057\langfenp2057 {\rtlch\fcs1 \af0 _x000d__x000a_\ltrch\fcs0 \insrsid1848022 \chftnsep _x000d__x000a_\par }}{\*\aftnsepc \ltrpar \pard\plain \ltrpar\ql \li0\ri0\widctlpar\wrapdefault\aspalpha\aspnum\faauto\adjustright\rin0\lin0\itap0 \rtlch\fcs1 \af0\afs20\alang1025 \ltrch\fcs0 \fs24\lang2057\langfe2057\cgrid\langnp2057\langfenp2057 {\rtlch\fcs1 \af0 _x000d__x000a_\ltrch\fcs0 \insrsid184802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63057 \rtlch\fcs1 \af0\afs20\alang1025 \ltrch\fcs0 \b\fs24\lang1029\langfe2057\cgrid\langnp1029\langfenp2057 {\rtlch\fcs1 \af0 \ltrch\fcs0 \cs15\b0\v\f1\fs20\cf9\insrsid13252979\charrsid1538329 {\*\bkmkstart restartB}&lt;AmendB&gt;}{_x000d__x000a_\rtlch\fcs1 \af314 \ltrch\fcs0 \f314\insrsid13252979\charrsid1538329 Pozm\'ec\'f2ovac\'ed n\'e1vrh\tab \tab }{\rtlch\fcs1 \af0 \ltrch\fcs0 \cs15\b0\v\f1\fs20\cf9\insrsid13252979\charrsid1538329 &lt;NumAmB&gt;}{\rtlch\fcs1 \af0 \ltrch\fcs0 _x000d__x000a_\insrsid13252979\charrsid1538329 #}{\rtlch\fcs1 \af0 \ltrch\fcs0 \cs22\v\cf15\insrsid13252979\charrsid1538329 ENMIENDA@NRAM@}{\rtlch\fcs1 \af0 \ltrch\fcs0 \insrsid13252979\charrsid1538329 #}{\rtlch\fcs1 \af0 \ltrch\fcs0 _x000d__x000a_\cs15\b0\v\f1\fs20\cf9\insrsid13252979\charrsid1538329 &lt;/NumAmB&gt;}{\rtlch\fcs1 \af0 \ltrch\fcs0 \insrsid13252979\charrsid1538329 _x000d__x000a_\par }\pard\plain \ltrpar\s26\ql \li0\ri0\sb240\keepn\nowidctlpar\wrapdefault\aspalpha\aspnum\faauto\adjustright\rin0\lin0\itap0\pararsid1663057 \rtlch\fcs1 \af0\afs20\alang1025 \ltrch\fcs0 \b\fs24\lang1029\langfe2057\cgrid\langnp1029\langfenp2057 {_x000d__x000a_\rtlch\fcs1 \af0 \ltrch\fcs0 \cs15\b0\v\f1\fs20\cf9\insrsid13252979\charrsid1538329 &lt;DocAmend&gt;}{\rtlch\fcs1 \af0 \ltrch\fcs0 \insrsid13252979\charrsid1538329 #}{\rtlch\fcs1 \af0 \ltrch\fcs0 \cs22\v\cf15\insrsid13252979\charrsid1538329 _x000d__x000a_MNU[OPTPROPOSALCOD][OPTPROPOSALCNS][OPTPROPOSALNLE]@CHOICE@CODEMNU}{\rtlch\fcs1 \af0 \ltrch\fcs0 \insrsid13252979\charrsid1538329 ##}{\rtlch\fcs1 \af0 \ltrch\fcs0 \cs22\v\cf15\insrsid13252979\charrsid1538329 MNU[AMACTYES][NOTAPP]@CHOICE@AMACTMNU}{_x000d__x000a_\rtlch\fcs1 \af0 \ltrch\fcs0 \insrsid13252979\charrsid1538329 #}{\rtlch\fcs1 \af0 \ltrch\fcs0 \cs15\b0\v\f1\fs20\cf9\insrsid13252979\charrsid1538329 &lt;/DocAmend&gt;}{\rtlch\fcs1 \af0 \ltrch\fcs0 \insrsid13252979\charrsid1538329 _x000d__x000a_\par }\pard\plain \ltrpar\s18\ql \li0\ri0\keepn\nowidctlpar\wrapdefault\aspalpha\aspnum\faauto\adjustright\rin0\lin0\itap0\pararsid1663057 \rtlch\fcs1 \af0\afs20\alang1025 \ltrch\fcs0 \b\fs24\lang1029\langfe2057\cgrid\langnp1029\langfenp2057 {\rtlch\fcs1 \af0 _x000d__x000a_\ltrch\fcs0 \cs15\b0\v\f1\fs20\cf9\insrsid13252979\charrsid1538329 &lt;Article&gt;}{\rtlch\fcs1 \af0 \ltrch\fcs0 \insrsid13252979\charrsid1538329 #}{\rtlch\fcs1 \af0 \ltrch\fcs0 \cs22\v\cf15\insrsid13252979\charrsid1538329 _x000d__x000a_MNU[AMACTPARTYES][AMACTPARTNO]@CHOICE@AMACTMNU}{\rtlch\fcs1 \af0 \ltrch\fcs0 \insrsid13252979\charrsid1538329 #}{\rtlch\fcs1 \af0 \ltrch\fcs0 \cs15\b0\v\f1\fs20\cf9\insrsid13252979\charrsid1538329 &lt;/Article&gt;}{\rtlch\fcs1 \af0 \ltrch\fcs0 _x000d__x000a_\insrsid13252979\charrsid1538329 _x000d__x000a_\par }\pard\plain \ltrpar\ql \li0\ri0\keepn\widctlpar\wrapdefault\aspalpha\aspnum\faauto\adjustright\rin0\lin0\itap0\pararsid1663057 \rtlch\fcs1 \af0\afs20\alang1025 \ltrch\fcs0 \fs24\lang2057\langfe2057\cgrid\langnp2057\langfenp2057 {\rtlch\fcs1 \af0 _x000d__x000a_\ltrch\fcs0 \cs15\v\f1\fs20\cf9\lang1029\langfe2057\langnp1029\insrsid13252979\charrsid1538329 &lt;DocAmend2&gt;&lt;OptDel&gt;}{\rtlch\fcs1 \af0 \ltrch\fcs0 \lang1029\langfe2057\langnp1029\insrsid13252979\charrsid1538329 #}{\rtlch\fcs1 \af0 \ltrch\fcs0 _x000d__x000a_\cs22\v\cf15\lang1029\langfe2057\langnp1029\insrsid13252979\charrsid1538329 MNU[OPTNRACTYES][NOTAPP]@CHOICE@AMACTMNU}{\rtlch\fcs1 \af0 \ltrch\fcs0 \lang1029\langfe2057\langnp1029\insrsid13252979\charrsid1538329 #}{\rtlch\fcs1 \af0 \ltrch\fcs0 _x000d__x000a_\cs15\v\f1\fs20\cf9\lang1029\langfe2057\langnp1029\insrsid13252979\charrsid1538329 &lt;/OptDel&gt;&lt;/DocAmend2&gt;}{\rtlch\fcs1 \af0 \ltrch\fcs0 \lang1029\langfe2057\langnp1029\insrsid13252979\charrsid1538329 _x000d__x000a_\par }\pard \ltrpar\ql \li0\ri0\widctlpar\wrapdefault\aspalpha\aspnum\faauto\adjustright\rin0\lin0\itap0\pararsid1663057 {\rtlch\fcs1 \af0 \ltrch\fcs0 \cs15\v\f1\fs20\cf9\lang1029\langfe2057\langnp1029\insrsid13252979\charrsid1538329 &lt;Article2&gt;&lt;OptDel&gt;}{_x000d__x000a_\rtlch\fcs1 \af0 \ltrch\fcs0 \lang1029\langfe2057\langnp1029\insrsid13252979\charrsid1538329 #}{\rtlch\fcs1 \af0 \ltrch\fcs0 \cs22\v\cf15\lang1029\langfe2057\langnp1029\insrsid13252979\charrsid1538329 MNU[OPTACTPARTYES][NOTAPP]@CHOICE@AMACTMNU}{_x000d__x000a_\rtlch\fcs1 \af0 \ltrch\fcs0 \lang1029\langfe2057\langnp1029\insrsid13252979\charrsid1538329 #}{\rtlch\fcs1 \af0 \ltrch\fcs0 \cs15\v\f1\fs20\cf9\lang1029\langfe2057\langnp1029\insrsid13252979\charrsid1538329 &lt;/OptDel&gt;&lt;/Article2&gt;}{\rtlch\fcs1 \af0 _x000d__x000a_\ltrch\fcs0 \lang1029\langfe2057\langnp1029\insrsid13252979\charrsid1538329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29\langfe2057\langnp1029\insrsid13252979\charrsid1538329 \cell }\pard \ltrpar\ql \li0\ri0\widctlpar\intbl\wrapdefault\aspalpha\aspnum\faauto\adjustright\rin0\lin0 {\rtlch\fcs1 \af0 \ltrch\fcs0 _x000d__x000a_\lang1029\langfe2057\langnp1029\insrsid13252979\charrsid1538329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29\langfe2057\cgrid\langnp1029\langfenp2057 {\rtlch\fcs1 \af0 \ltrch\fcs0 _x000d__x000a_\insrsid13252979\charrsid1538329 #}{\rtlch\fcs1 \af0 \ltrch\fcs0 \cs22\v\cf15\insrsid13252979\charrsid1538329 MNU[OPTLEFTAMACT][LEFTPROP]@CHOICE@AMACTMNU}{\rtlch\fcs1 \af0 \ltrch\fcs0 \insrsid13252979\charrsid1538329 #\cell }{\rtlch\fcs1 \af314 _x000d__x000a_\ltrch\fcs0 \f314\insrsid13252979\charrsid1538329 Pozm\'ec\'f2ovac\'ed n\'e1vrh\cell }\pard\plain \ltrpar\ql \li0\ri0\widctlpar\intbl\wrapdefault\aspalpha\aspnum\faauto\adjustright\rin0\lin0 \rtlch\fcs1 \af0\afs20\alang1025 \ltrch\fcs0 _x000d__x000a_\fs24\lang2057\langfe2057\cgrid\langnp2057\langfenp2057 {\rtlch\fcs1 \af0 \ltrch\fcs0 \lang1029\langfe2057\langnp1029\insrsid13252979\charrsid1538329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29\langfe2057\cgrid\langnp1029\langfenp2057 {\rtlch\fcs1 \af0 \ltrch\fcs0 _x000d__x000a_\insrsid13252979\charrsid1538329 ##\cell ##}{\rtlch\fcs1 \af0\afs24 \ltrch\fcs0 \insrsid13252979\charrsid1538329 \cell }\pard\plain \ltrpar\ql \li0\ri0\widctlpar\intbl\wrapdefault\aspalpha\aspnum\faauto\adjustright\rin0\lin0 \rtlch\fcs1 _x000d__x000a_\af0\afs20\alang1025 \ltrch\fcs0 \fs24\lang2057\langfe2057\cgrid\langnp2057\langfenp2057 {\rtlch\fcs1 \af0 \ltrch\fcs0 \lang1029\langfe2057\langnp1029\insrsid13252979\charrsid1538329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663057 \rtlch\fcs1 \af0\afs20\alang1025 \ltrch\fcs0 \i\fs24\lang1029\langfe2057\cgrid\langnp1029\langfenp2057 {\rtlch\fcs1 \af0 \ltrch\fcs0 _x000d__x000a_\cs15\i0\v\f1\fs20\cf9\insrsid13252979\charrsid1538329 &lt;OptDel&gt;}{\rtlch\fcs1 \af0 \ltrch\fcs0 \insrsid13252979\charrsid1538329 #}{\rtlch\fcs1 \af0 \ltrch\fcs0 \cs22\v\cf15\insrsid13252979\charrsid1538329 MNU[CROSSREFNO][CROSSREFYES]@CHOICE@}{\rtlch\fcs1 _x000d__x000a_\af0 \ltrch\fcs0 \insrsid13252979\charrsid1538329 #}{\rtlch\fcs1 \af0 \ltrch\fcs0 \cs15\i0\v\f1\fs20\cf9\insrsid13252979\charrsid1538329 &lt;/OptDel&gt;}{\rtlch\fcs1 \af0 \ltrch\fcs0 \insrsid13252979\charrsid1538329 _x000d__x000a_\par }\pard\plain \ltrpar\s23\qc \li0\ri0\sb240\keepn\nowidctlpar\wrapdefault\aspalpha\aspnum\faauto\adjustright\rin0\lin0\itap0\pararsid1663057 \rtlch\fcs1 \af0\afs20\alang1025 \ltrch\fcs0 \i\fs24\lang1029\langfe2057\cgrid\langnp1029\langfenp2057 {_x000d__x000a_\rtlch\fcs1 \af0 \ltrch\fcs0 \cs15\i0\v\f1\fs20\cf9\insrsid13252979\charrsid1538329 &lt;TitreJust&gt;}{\rtlch\fcs1 \af314 \ltrch\fcs0 \f314\insrsid13252979\charrsid1538329 Od\'f9vodn\'ecn\'ed}{\rtlch\fcs1 \af0 \ltrch\fcs0 _x000d__x000a_\cs15\i0\v\f1\fs20\cf9\insrsid13252979\charrsid1538329 &lt;/TitreJust&gt;}{\rtlch\fcs1 \af0 \ltrch\fcs0 \insrsid13252979\charrsid1538329 _x000d__x000a_\par }\pard\plain \ltrpar\s20\ql \li0\ri0\sb240\nowidctlpar\wrapdefault\aspalpha\aspnum\faauto\adjustright\rin0\lin0\itap0\pararsid1663057 \rtlch\fcs1 \af0\afs20\alang1025 \ltrch\fcs0 \i\fs24\lang1029\langfe2057\cgrid\langnp1029\langfenp2057 {\rtlch\fcs1 \af0 _x000d__x000a_\ltrch\fcs0 \cs15\i0\v\f1\fs20\cf9\insrsid13252979\charrsid1538329 &lt;OptDelPrev&gt;}{\rtlch\fcs1 \af0 \ltrch\fcs0 \insrsid13252979\charrsid1538329 #}{\rtlch\fcs1 \af0 \ltrch\fcs0 \cs22\v\cf15\insrsid13252979\charrsid1538329 _x000d__x000a_MNU[TEXTJUSTYES][TEXTJUSTNO]@CHOICE@}{\rtlch\fcs1 \af0 \ltrch\fcs0 \insrsid13252979\charrsid1538329 #}{\rtlch\fcs1 \af0 \ltrch\fcs0 \cs15\i0\v\f1\fs20\cf9\insrsid13252979\charrsid1538329 &lt;/OptDelPrev&gt;}{\rtlch\fcs1 \af0 \ltrch\fcs0 _x000d__x000a_\insrsid13252979\charrsid1538329 _x000d__x000a_\par }\pard\plain \ltrpar\ql \li0\ri0\widctlpar\wrapdefault\aspalpha\aspnum\faauto\adjustright\rin0\lin0\itap0\pararsid1663057 \rtlch\fcs1 \af0\afs20\alang1025 \ltrch\fcs0 \fs24\lang2057\langfe2057\cgrid\langnp2057\langfenp2057 {\rtlch\fcs1 \af0 \ltrch\fcs0 _x000d__x000a_\cs15\v\f1\fs20\cf9\lang1029\langfe2057\langnp1029\insrsid13252979\charrsid1538329 &lt;/AmendB&gt;}{\rtlch\fcs1 \af0 \ltrch\fcs0 \insrsid13252979\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56_x000d__x000a_0b07e79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4\fbidi \froman\fcharset238\fprq2 Times New Roman CE;}{\f315\fbidi \froman\fcharset204\fprq2 Times New Roman Cyr;}_x000d__x000a_{\f317\fbidi \froman\fcharset161\fprq2 Times New Roman Greek;}{\f318\fbidi \froman\fcharset162\fprq2 Times New Roman Tur;}{\f319\fbidi \froman\fcharset177\fprq2 Times New Roman (Hebrew);}{\f320\fbidi \froman\fcharset178\fprq2 Times New Roman (Arabic);}_x000d__x000a_{\f321\fbidi \froman\fcharset186\fprq2 Times New Roman Baltic;}{\f322\fbidi \froman\fcharset163\fprq2 Times New Roman (Vietnamese);}{\f324\fbidi \fswiss\fcharset238\fprq2 Arial CE;}{\f325\fbidi \fswiss\fcharset204\fprq2 Arial Cyr;}_x000d__x000a_{\f327\fbidi \fswiss\fcharset161\fprq2 Arial Greek;}{\f328\fbidi \fswiss\fcharset162\fprq2 Arial Tur;}{\f329\fbidi \fswiss\fcharset177\fprq2 Arial (Hebrew);}{\f330\fbidi \fswiss\fcharset178\fprq2 Arial (Arabic);}_x000d__x000a_{\f331\fbidi \fswiss\fcharset186\fprq2 Arial Baltic;}{\f332\fbidi \fswiss\fcharset163\fprq2 Arial (Vietnamese);}{\f654\fbidi \froman\fcharset238\fprq2 Cambria Math CE;}{\f655\fbidi \froman\fcharset204\fprq2 Cambria Math Cyr;}_x000d__x000a_{\f657\fbidi \froman\fcharset161\fprq2 Cambria Math Greek;}{\f658\fbidi \froman\fcharset162\fprq2 Cambria Math Tur;}{\f661\fbidi \froman\fcharset186\fprq2 Cambria Math Baltic;}{\f66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5719881 HideTWBExt;}{\s16\ql \li0\ri0\sa120\nowidctlpar\wrapdefault\aspalpha\aspnum\faauto\adjustright\rin0\lin0\itap0 \rtlch\fcs1 \af0\afs20\alang1025 _x000d__x000a_\ltrch\fcs0 \fs24\lang2057\langfe2057\cgrid\langnp2057\langfenp2057 \sbasedon0 \snext16 \slink21 \styrsid5719881 Normal6;}{\s17\ql \li0\ri0\nowidctlpar\wrapdefault\aspalpha\aspnum\faauto\adjustright\rin0\lin0\itap0 \rtlch\fcs1 \af0\afs20\alang1025 _x000d__x000a_\ltrch\fcs0 \b\fs24\lang2057\langfe2057\cgrid\langnp2057\langfenp2057 \sbasedon0 \snext17 \slink20 \styrsid5719881 NormalBold;}{\s18\ql \li0\ri0\sb240\nowidctlpar\wrapdefault\aspalpha\aspnum\faauto\adjustright\rin0\lin0\itap0 \rtlch\fcs1 _x000d__x000a_\af0\afs20\alang1025 \ltrch\fcs0 \i\fs24\lang2057\langfe2057\cgrid\langnp2057\langfenp2057 \sbasedon0 \snext18 \styrsid5719881 Normal12Italic;}{\s19\qc \li0\ri0\sb240\keepn\nowidctlpar\wrapdefault\aspalpha\aspnum\faauto\adjustright\rin0\lin0\itap0 _x000d__x000a_\rtlch\fcs1 \af0\afs20\alang1025 \ltrch\fcs0 \i\fs24\lang2057\langfe2057\cgrid\langnp2057\langfenp2057 \sbasedon0 \snext0 \styrsid5719881 JustificationTitle;}{\*\cs20 \additive \rtlch\fcs1 \af0 \ltrch\fcs0 \b\fs24 _x000d__x000a_\sbasedon10 \slink17 \slocked \styrsid5719881 NormalBold Char;}{\*\cs21 \additive \rtlch\fcs1 \af0 \ltrch\fcs0 \fs24 \sbasedon10 \slink16 \slocked \styrsid5719881 Normal6 Char;}{_x000d__x000a_\s22\qc \li0\ri0\sa240\nowidctlpar\wrapdefault\aspalpha\aspnum\faauto\adjustright\rin0\lin0\itap0 \rtlch\fcs1 \af0\afs20\alang1025 \ltrch\fcs0 \i\fs24\lang2057\langfe2057\cgrid\langnp2057\langfenp2057 \sbasedon0 \snext22 \styrsid5719881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5719881 AMNumberTabs;}{\s24\ql \li0\ri0\sb240\nowidctlpar\wrapdefault\aspalpha\aspnum\faauto\adjustright\rin0\lin0\itap0 _x000d__x000a_\rtlch\fcs1 \af0\afs20\alang1025 \ltrch\fcs0 \b\fs24\lang2057\langfe2057\cgrid\langnp2057\langfenp2057 \sbasedon0 \snext24 \styrsid5719881 NormalBold12b;}}{\*\rsidtbl \rsid24658\rsid735077\rsid2892074\rsid4666813\rsid5719881\rsid6641733\rsid7219374_x000d__x000a_\rsid9636012\rsid11215221\rsid12154954\rsid14424199\rsid15204470\rsid15285974\rsid15950462\rsid16324206\rsid16662270}{\mmathPr\mmathFont34\mbrkBin0\mbrkBinSub0\msmallFrac0\mdispDef1\mlMargin0\mrMargin0\mdefJc1\mwrapIndent1440\mintLim0\mnaryLim1}{\info_x000d__x000a_{\author GOESSINGER SKLENAROVA Ruzena}{\operator GOESSINGER SKLENAROVA Ruzena}{\creatim\yr2017\mo3\dy13\hr11\min46}{\revtim\yr2017\mo3\dy13\hr11\min46}{\version1}{\edmins0}{\nofpages1}{\nofwords20}{\nofchars220}{\*\company European Parliament}_x000d__x000a_{\nofcharsws222}{\vern57441}}{\*\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719881\utinl \fet0{\*\wgrffmtfilter 013f}\ilfomacatclnup0{\*\template C:\\Users\\RGOESS~1\\AppData\\Local\\Temp\\Blank1.dot}{\*\ftnsep \ltrpar \pard\plain \ltrpar_x000d__x000a_\ql \li0\ri0\widctlpar\wrapdefault\aspalpha\aspnum\faauto\adjustright\rin0\lin0\itap0 \rtlch\fcs1 \af0\afs20\alang1025 \ltrch\fcs0 \fs24\lang2057\langfe2057\cgrid\langnp2057\langfenp2057 {\rtlch\fcs1 \af0 \ltrch\fcs0 \insrsid7219374 \chftnsep _x000d__x000a_\par }}{\*\ftnsepc \ltrpar \pard\plain \ltrpar\ql \li0\ri0\widctlpar\wrapdefault\aspalpha\aspnum\faauto\adjustright\rin0\lin0\itap0 \rtlch\fcs1 \af0\afs20\alang1025 \ltrch\fcs0 \fs24\lang2057\langfe2057\cgrid\langnp2057\langfenp2057 {\rtlch\fcs1 \af0 _x000d__x000a_\ltrch\fcs0 \insrsid7219374 \chftnsepc _x000d__x000a_\par }}{\*\aftnsep \ltrpar \pard\plain \ltrpar\ql \li0\ri0\widctlpar\wrapdefault\aspalpha\aspnum\faauto\adjustright\rin0\lin0\itap0 \rtlch\fcs1 \af0\afs20\alang1025 \ltrch\fcs0 \fs24\lang2057\langfe2057\cgrid\langnp2057\langfenp2057 {\rtlch\fcs1 \af0 _x000d__x000a_\ltrch\fcs0 \insrsid7219374 \chftnsep _x000d__x000a_\par }}{\*\aftnsepc \ltrpar \pard\plain \ltrpar\ql \li0\ri0\widctlpar\wrapdefault\aspalpha\aspnum\faauto\adjustright\rin0\lin0\itap0 \rtlch\fcs1 \af0\afs20\alang1025 \ltrch\fcs0 \fs24\lang2057\langfe2057\cgrid\langnp2057\langfenp2057 {\rtlch\fcs1 \af0 _x000d__x000a_\ltrch\fcs0 \insrsid721937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5719881\charrsid15879488 {\*\bkmkstart restartA}&lt;AmendA&gt;}{_x000d__x000a_\rtlch\fcs1 \af0 \ltrch\fcs0 \insrsid5719881\charrsid15879488 [ZAMENDMENT]\tab \tab }{\rtlch\fcs1 \af0 \ltrch\fcs0 \cs15\b0\v\f1\fs20\cf9\insrsid5719881\charrsid15879488 &lt;NumAmA&gt;}{\rtlch\fcs1 \af0 \ltrch\fcs0 \insrsid5719881\charrsid15879488 [ZNRAM]}{_x000d__x000a_\rtlch\fcs1 \af0 \ltrch\fcs0 \cs15\b0\v\f1\fs20\cf9\insrsid5719881\charrsid15879488 &lt;/NumAmA&gt;}{\rtlch\fcs1 \af0 \ltrch\fcs0 \insrsid5719881\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5719881\charrsid15879488 &lt;DocAmend&gt;}{\rtlch\fcs1 \af0 \ltrch\fcs0 \insrsid5719881\charrsid15879488 [ZRESOLUTION]}{\rtlch\fcs1 \af0 \ltrch\fcs0 _x000d__x000a_\cs15\b0\v\f1\fs20\cf9\insrsid5719881\charrsid15879488 &lt;/DocAmend&gt;}{\rtlch\fcs1 \af0 \ltrch\fcs0 \insrsid5719881\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5719881\charrsid15879488 &lt;Article&gt;}{\rtlch\fcs1 \af0 \ltrch\fcs0 \insrsid5719881\charrsid15879488 [ZRESPART]}{\rtlch\fcs1 \af0 \ltrch\fcs0 \cs15\b0\v\f1\fs20\cf9\insrsid5719881\charrsid15879488 &lt;/Article&gt;}{_x000d__x000a_\rtlch\fcs1 \af0 \ltrch\fcs0 \cs20\insrsid5719881\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5719881\charrsid15879488 \cell }\pard \ltrpar\ql \li0\ri0\widctlpar\intbl\wrapdefault\aspalpha\aspnum\faauto\adjustright\rin0\lin0 {\rtlch\fcs1 \af0 \ltrch\fcs0 _x000d__x000a_\insrsid5719881\charrsid15879488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5719881\charrsid15879488 [ZLEFTA]\cell [ZRIGHT]\cell }\pard\plain \ltrpar\ql \li0\ri0\widctlpar\intbl\wrapdefault\aspalpha\aspnum\faauto\adjustright\rin0\lin0 \rtlch\fcs1 \af0\afs20\alang1025 \ltrch\fcs0 _x000d__x000a_\fs24\lang2057\langfe2057\cgrid\langnp2057\langfenp2057 {\rtlch\fcs1 \af0 \ltrch\fcs0 \insrsid5719881\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5719881\charrsid15879488 [ZTEXTL]\cell [ZTEXTR]}{\rtlch\fcs1 \af0\afs24 \ltrch\fcs0 \insrsid5719881\charrsid15879488 \cell }\pard\plain \ltrpar\ql \li0\ri0\widctlpar\intbl\wrapdefault\aspalpha\aspnum\faauto\adjustright\rin0\lin0 \rtlch\fcs1 _x000d__x000a_\af0\afs20\alang1025 \ltrch\fcs0 \fs24\lang2057\langfe2057\cgrid\langnp2057\langfenp2057 {\rtlch\fcs1 \af0 \ltrch\fcs0 \insrsid5719881\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5719881\charrsid15879488 &lt;TitreJust&gt;}{\rtlch\fcs1 \af0 \ltrch\fcs0 \insrsid5719881\charrsid15879488 [ZJUSTIFICATION]}{\rtlch\fcs1 \af0 \ltrch\fcs0 \cs15\i0\v\f1\fs20\cf9\insrsid5719881\charrsid15879488 &lt;/TitreJust&gt;}{_x000d__x000a_\rtlch\fcs1 \af0 \ltrch\fcs0 \insrsid5719881\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5719881\charrsid15879488 &lt;OptDelPrev&gt;}{\rtlch\fcs1 \af0 \ltrch\fcs0 \insrsid5719881\charrsid15879488 [ZTEXTJUST]}{\rtlch\fcs1 \af0 \ltrch\fcs0 \cs15\i0\v\f1\fs20\cf9\insrsid5719881\charrsid15879488 _x000d__x000a_&lt;/OptDelPrev&gt;}{\rtlch\fcs1 \af0 \ltrch\fcs0 \insrsid5719881\charrsid15879488 _x000d__x000a_\par }\pard\plain \ltrpar\ql \li0\ri0\widctlpar\wrapdefault\aspalpha\aspnum\faauto\adjustright\rin0\lin0\itap0 \rtlch\fcs1 \af0\afs20\alang1025 \ltrch\fcs0 \fs24\lang2057\langfe2057\cgrid\langnp2057\langfenp2057 {\rtlch\fcs1 \af0 \ltrch\fcs0 _x000d__x000a_\cs15\v\f1\fs20\cf9\insrsid5719881\charrsid15879488 &lt;/AmendA&gt;}{\rtlch\fcs1 \af0 \ltrch\fcs0 \insrsid5719881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53_x000d__x000a_a708e79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4\fbidi \froman\fcharset238\fprq2 Times New Roman CE;}{\f315\fbidi \froman\fcharset204\fprq2 Times New Roman Cyr;}_x000d__x000a_{\f317\fbidi \froman\fcharset161\fprq2 Times New Roman Greek;}{\f318\fbidi \froman\fcharset162\fprq2 Times New Roman Tur;}{\f319\fbidi \froman\fcharset177\fprq2 Times New Roman (Hebrew);}{\f320\fbidi \froman\fcharset178\fprq2 Times New Roman (Arabic);}_x000d__x000a_{\f321\fbidi \froman\fcharset186\fprq2 Times New Roman Baltic;}{\f322\fbidi \froman\fcharset163\fprq2 Times New Roman (Vietnamese);}{\f324\fbidi \fswiss\fcharset238\fprq2 Arial CE;}{\f325\fbidi \fswiss\fcharset204\fprq2 Arial Cyr;}_x000d__x000a_{\f327\fbidi \fswiss\fcharset161\fprq2 Arial Greek;}{\f328\fbidi \fswiss\fcharset162\fprq2 Arial Tur;}{\f329\fbidi \fswiss\fcharset177\fprq2 Arial (Hebrew);}{\f330\fbidi \fswiss\fcharset178\fprq2 Arial (Arabic);}_x000d__x000a_{\f331\fbidi \fswiss\fcharset186\fprq2 Arial Baltic;}{\f332\fbidi \fswiss\fcharset163\fprq2 Arial (Vietnamese);}{\f654\fbidi \froman\fcharset238\fprq2 Cambria Math CE;}{\f655\fbidi \froman\fcharset204\fprq2 Cambria Math Cyr;}_x000d__x000a_{\f657\fbidi \froman\fcharset161\fprq2 Cambria Math Greek;}{\f658\fbidi \froman\fcharset162\fprq2 Cambria Math Tur;}{\f661\fbidi \froman\fcharset186\fprq2 Cambria Math Baltic;}{\f66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4602708 HideTWBExt;}{\s16\ql \li0\ri0\sa120\nowidctlpar\wrapdefault\aspalpha\aspnum\faauto\adjustright\rin0\lin0\itap0 \rtlch\fcs1 \af0\afs20\alang1025 _x000d__x000a_\ltrch\fcs0 \fs24\lang2057\langfe2057\cgrid\langnp2057\langfenp2057 \sbasedon0 \snext16 \slink22 \styrsid4602708 Normal6;}{\s17\ql \li0\ri0\nowidctlpar\wrapdefault\aspalpha\aspnum\faauto\adjustright\rin0\lin0\itap0 \rtlch\fcs1 \af0\afs20\alang1025 _x000d__x000a_\ltrch\fcs0 \b\fs24\lang2057\langfe2057\cgrid\langnp2057\langfenp2057 \sbasedon0 \snext17 \slink21 \styrsid4602708 NormalBold;}{\s18\ql \li0\ri0\sb240\nowidctlpar\wrapdefault\aspalpha\aspnum\faauto\adjustright\rin0\lin0\itap0 \rtlch\fcs1 _x000d__x000a_\af0\afs20\alang1025 \ltrch\fcs0 \i\fs24\lang2057\langfe2057\cgrid\langnp2057\langfenp2057 \sbasedon0 \snext18 \styrsid4602708 Normal12Italic;}{\s19\qc \li0\ri0\sb240\nowidctlpar\wrapdefault\aspalpha\aspnum\faauto\adjustright\rin0\lin0\itap0 \rtlch\fcs1 _x000d__x000a_\af0\afs20\alang1025 \ltrch\fcs0 \i\fs24\lang2057\langfe2057\cgrid\langnp2057\langfenp2057 \sbasedon0 \snext19 \styrsid4602708 CrossRef;}{\s20\qc \li0\ri0\sb240\keepn\nowidctlpar\wrapdefault\aspalpha\aspnum\faauto\adjustright\rin0\lin0\itap0 \rtlch\fcs1 _x000d__x000a_\af0\afs20\alang1025 \ltrch\fcs0 \i\fs24\lang2057\langfe2057\cgrid\langnp2057\langfenp2057 \sbasedon0 \snext0 \styrsid4602708 JustificationTitle;}{\*\cs21 \additive \rtlch\fcs1 \af0 \ltrch\fcs0 \b\fs24 \sbasedon10 \slink17 \slocked \styrsid4602708 _x000d__x000a_NormalBold Char;}{\*\cs22 \additive \rtlch\fcs1 \af0 \ltrch\fcs0 \fs24 \sbasedon10 \slink16 \slocked \styrsid4602708 Normal6 Char;}{\s23\qc \li0\ri0\sa240\nowidctlpar\wrapdefault\aspalpha\aspnum\faauto\adjustright\rin0\lin0\itap0 \rtlch\fcs1 _x000d__x000a_\af0\afs20\alang1025 \ltrch\fcs0 \i\fs24\lang2057\langfe2057\cgrid\langnp2057\langfenp2057 \sbasedon0 \snext23 \styrsid4602708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4602708 AMNumberTabs;}{\s25\ql \li0\ri0\sb240\nowidctlpar\wrapdefault\aspalpha\aspnum\faauto\adjustright\rin0\lin0\itap0 \rtlch\fcs1 \af0\afs20\alang1025 _x000d__x000a_\ltrch\fcs0 \b\fs24\lang2057\langfe2057\cgrid\langnp2057\langfenp2057 \sbasedon0 \snext25 \styrsid4602708 NormalBold12b;}}{\*\rsidtbl \rsid24658\rsid735077\rsid2364238\rsid2892074\rsid4602708\rsid4666813\rsid6641733\rsid9636012\rsid11215221\rsid12154954_x000d__x000a_\rsid14424199\rsid15204470\rsid15285974\rsid15950462\rsid16324206\rsid16662270}{\mmathPr\mmathFont34\mbrkBin0\mbrkBinSub0\msmallFrac0\mdispDef1\mlMargin0\mrMargin0\mdefJc1\mwrapIndent1440\mintLim0\mnaryLim1}{\info{\author GOESSINGER SKLENAROVA Ruzena}_x000d__x000a_{\operator GOESSINGER SKLENAROVA Ruzena}{\creatim\yr2017\mo3\dy13\hr11\min46}{\revtim\yr2017\mo3\dy13\hr11\min46}{\version1}{\edmins0}{\nofpages1}{\nofwords31}{\nofchars341}{\*\company European Parliament}{\nofcharsws344}{\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602708\utinl \fet0{\*\wgrffmtfilter 013f}\ilfomacatclnup0{\*\template C:\\Users\\RGOESS~1\\AppData\\Local\\Temp\\Blank1.dot}{\*\ftnsep \ltrpar \pard\plain \ltrpar_x000d__x000a_\ql \li0\ri0\widctlpar\wrapdefault\aspalpha\aspnum\faauto\adjustright\rin0\lin0\itap0 \rtlch\fcs1 \af0\afs20\alang1025 \ltrch\fcs0 \fs24\lang2057\langfe2057\cgrid\langnp2057\langfenp2057 {\rtlch\fcs1 \af0 \ltrch\fcs0 \insrsid2364238 \chftnsep _x000d__x000a_\par }}{\*\ftnsepc \ltrpar \pard\plain \ltrpar\ql \li0\ri0\widctlpar\wrapdefault\aspalpha\aspnum\faauto\adjustright\rin0\lin0\itap0 \rtlch\fcs1 \af0\afs20\alang1025 \ltrch\fcs0 \fs24\lang2057\langfe2057\cgrid\langnp2057\langfenp2057 {\rtlch\fcs1 \af0 _x000d__x000a_\ltrch\fcs0 \insrsid2364238 \chftnsepc _x000d__x000a_\par }}{\*\aftnsep \ltrpar \pard\plain \ltrpar\ql \li0\ri0\widctlpar\wrapdefault\aspalpha\aspnum\faauto\adjustright\rin0\lin0\itap0 \rtlch\fcs1 \af0\afs20\alang1025 \ltrch\fcs0 \fs24\lang2057\langfe2057\cgrid\langnp2057\langfenp2057 {\rtlch\fcs1 \af0 _x000d__x000a_\ltrch\fcs0 \insrsid2364238 \chftnsep _x000d__x000a_\par }}{\*\aftnsepc \ltrpar \pard\plain \ltrpar\ql \li0\ri0\widctlpar\wrapdefault\aspalpha\aspnum\faauto\adjustright\rin0\lin0\itap0 \rtlch\fcs1 \af0\afs20\alang1025 \ltrch\fcs0 \fs24\lang2057\langfe2057\cgrid\langnp2057\langfenp2057 {\rtlch\fcs1 \af0 _x000d__x000a_\ltrch\fcs0 \insrsid236423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4602708\charrsid15879488 {\*\bkmkstart restartB}&lt;AmendB&gt;}{_x000d__x000a_\rtlch\fcs1 \af0 \ltrch\fcs0 \insrsid4602708\charrsid15879488 [ZAMENDMENT]\tab \tab }{\rtlch\fcs1 \af0 \ltrch\fcs0 \cs15\b0\v\f1\fs20\cf9\insrsid4602708\charrsid15879488 &lt;NumAmB&gt;}{\rtlch\fcs1 \af0 \ltrch\fcs0 \insrsid4602708\charrsid15879488 [ZNRAM]}{_x000d__x000a_\rtlch\fcs1 \af0 \ltrch\fcs0 \cs15\b0\v\f1\fs20\cf9\insrsid4602708\charrsid15879488 &lt;/NumAmB&gt;}{\rtlch\fcs1 \af0 \ltrch\fcs0 \insrsid4602708\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4602708\charrsid15879488 &lt;DocAmend&gt;}{\rtlch\fcs1 \af0 \ltrch\fcs0 \insrsid4602708\charrsid15879488 [ZPROPOSAL][ZAMACT]}{\rtlch\fcs1 \af0 \ltrch\fcs0 _x000d__x000a_\cs15\b0\v\f1\fs20\cf9\insrsid4602708\charrsid15879488 &lt;/DocAmend&gt;}{\rtlch\fcs1 \af0 \ltrch\fcs0 \insrsid4602708\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4602708\charrsid15879488 &lt;Article&gt;}{\rtlch\fcs1 \af0 \ltrch\fcs0 \insrsid4602708\charrsid15879488 [ZAMPART]}{\rtlch\fcs1 \af0 \ltrch\fcs0 \cs15\b0\v\f1\fs20\cf9\insrsid4602708\charrsid15879488 &lt;/Article&gt;}{_x000d__x000a_\rtlch\fcs1 \af0 \ltrch\fcs0 \insrsid4602708\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4602708\charrsid15879488 &lt;DocAmend2&gt;&lt;OptDel&gt;}{\rtlch\fcs1 \af0 \ltrch\fcs0 \insrsid4602708\charrsid15879488 [ZNRACT]}{\rtlch\fcs1 \af0 \ltrch\fcs0 \cs15\v\f1\fs20\cf9\insrsid4602708\charrsid15879488 _x000d__x000a_&lt;/OptDel&gt;&lt;/DocAmend2&gt;}{\rtlch\fcs1 \af0 \ltrch\fcs0 \insrsid4602708\charrsid15879488 _x000d__x000a_\par }\pard \ltrpar\ql \li0\ri0\widctlpar\wrapdefault\aspalpha\aspnum\faauto\adjustright\rin0\lin0\itap0\pararsid14374628 {\rtlch\fcs1 \af0 \ltrch\fcs0 \cs15\v\f1\fs20\cf9\insrsid4602708\charrsid15879488 &lt;Article2&gt;&lt;OptDel&gt;}{\rtlch\fcs1 \af0 \ltrch\fcs0 _x000d__x000a_\insrsid4602708\charrsid15879488 [ZACTPART]}{\rtlch\fcs1 \af0 \ltrch\fcs0 \cs15\v\f1\fs20\cf9\insrsid4602708\charrsid15879488 &lt;/OptDel&gt;&lt;/Article2&gt;}{\rtlch\fcs1 \af0 \ltrch\fcs0 \insrsid4602708\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4602708\charrsid15879488 _x000d__x000a_\cell }\pard \ltrpar\ql \li0\ri0\widctlpar\intbl\wrapdefault\aspalpha\aspnum\faauto\adjustright\rin0\lin0 {\rtlch\fcs1 \af0 \ltrch\fcs0 \insrsid4602708\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4602708\charrsid15879488 [ZLEFTB]\cell [ZRIGHT]\cell }\pard\plain \ltrpar\ql \li0\ri0\widctlpar\intbl\wrapdefault\aspalpha\aspnum\faauto\adjustright\rin0\lin0 \rtlch\fcs1 \af0\afs20\alang1025 \ltrch\fcs0 _x000d__x000a_\fs24\lang2057\langfe2057\cgrid\langnp2057\langfenp2057 {\rtlch\fcs1 \af0 \ltrch\fcs0 \insrsid4602708\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602708\charrsid15879488 [ZTEXTL]\cell [ZTEXTR]}{\rtlch\fcs1 \af0\afs24 \ltrch\fcs0 \insrsid4602708\charrsid15879488 \cell }\pard\plain \ltrpar\ql \li0\ri0\widctlpar\intbl\wrapdefault\aspalpha\aspnum\faauto\adjustright\rin0\lin0 \rtlch\fcs1 _x000d__x000a_\af0\afs20\alang1025 \ltrch\fcs0 \fs24\lang2057\langfe2057\cgrid\langnp2057\langfenp2057 {\rtlch\fcs1 \af0 \ltrch\fcs0 \insrsid4602708\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4602708\charrsid15879488 &lt;OptDel&gt;}{\rtlch\fcs1 \af0 \ltrch\fcs0 \insrsid4602708\charrsid15879488 [ZCROSSREF]}{\rtlch\fcs1 \af0 \ltrch\fcs0 \cs15\i0\v\f1\fs20\cf9\insrsid4602708\charrsid15879488 &lt;/OptDel&gt;}{\rtlch\fcs1 \af0 _x000d__x000a_\ltrch\fcs0 \insrsid4602708\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4602708\charrsid15879488 &lt;TitreJust&gt;}{\rtlch\fcs1 \af0 \ltrch\fcs0 \insrsid4602708\charrsid15879488 [ZJUSTIFICATION]}{\rtlch\fcs1 \af0 \ltrch\fcs0 _x000d__x000a_\cs15\i0\v\f1\fs20\cf9\insrsid4602708\charrsid15879488 &lt;/TitreJust&gt;}{\rtlch\fcs1 \af0 \ltrch\fcs0 \insrsid4602708\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4602708\charrsid15879488 &lt;OptDelPrev&gt;}{\rtlch\fcs1 \af0 \ltrch\fcs0 \insrsid4602708\charrsid15879488 [ZTEXTJUST]}{\rtlch\fcs1 \af0 \ltrch\fcs0 \cs15\i0\v\f1\fs20\cf9\insrsid4602708\charrsid15879488 _x000d__x000a_&lt;/OptDelPrev&gt;}{\rtlch\fcs1 \af0 \ltrch\fcs0 \insrsid4602708\charrsid15879488 _x000d__x000a_\par }\pard\plain \ltrpar\ql \li0\ri0\widctlpar\wrapdefault\aspalpha\aspnum\faauto\adjustright\rin0\lin0\itap0 \rtlch\fcs1 \af0\afs20\alang1025 \ltrch\fcs0 \fs24\lang2057\langfe2057\cgrid\langnp2057\langfenp2057 {\rtlch\fcs1 \af0 \ltrch\fcs0 _x000d__x000a_\cs15\v\f1\fs20\cf9\insrsid4602708\charrsid15879488 &lt;/AmendB&gt;}{\rtlch\fcs1 \af0 \ltrch\fcs0 \insrsid4602708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70_x000d__x000a_210ae79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21"/>
    <w:docVar w:name="TITLECODMNU" w:val=" 1"/>
    <w:docVar w:name="TXTLANGUE" w:val="CS"/>
    <w:docVar w:name="TXTLANGUEMIN" w:val="cs"/>
    <w:docVar w:name="TXTNRC" w:val="0387/2015"/>
    <w:docVar w:name="TXTNRCOM" w:val="(2015)0615"/>
    <w:docVar w:name="TXTNRPE" w:val="592.148"/>
    <w:docVar w:name="TXTNRPROC" w:val="2015/0278"/>
    <w:docVar w:name="TXTPEorAP" w:val="PE"/>
    <w:docVar w:name="TXTROUTE" w:val="AD\1121014CS.docx"/>
    <w:docVar w:name="TXTVERSION" w:val="03-00"/>
  </w:docVars>
  <w:rsids>
    <w:rsidRoot w:val="008324F5"/>
    <w:rsid w:val="00000FDE"/>
    <w:rsid w:val="00026559"/>
    <w:rsid w:val="0004474F"/>
    <w:rsid w:val="00092832"/>
    <w:rsid w:val="000A207F"/>
    <w:rsid w:val="00134974"/>
    <w:rsid w:val="00141CD7"/>
    <w:rsid w:val="001820A9"/>
    <w:rsid w:val="001B0A1E"/>
    <w:rsid w:val="002B6BD6"/>
    <w:rsid w:val="00341A99"/>
    <w:rsid w:val="00382450"/>
    <w:rsid w:val="0038294E"/>
    <w:rsid w:val="003A2F84"/>
    <w:rsid w:val="003C7390"/>
    <w:rsid w:val="003E60D2"/>
    <w:rsid w:val="0040055C"/>
    <w:rsid w:val="00405C3A"/>
    <w:rsid w:val="004459D8"/>
    <w:rsid w:val="0048473E"/>
    <w:rsid w:val="00487596"/>
    <w:rsid w:val="004C2A0D"/>
    <w:rsid w:val="004F5EA3"/>
    <w:rsid w:val="00522B51"/>
    <w:rsid w:val="00600C3B"/>
    <w:rsid w:val="00613134"/>
    <w:rsid w:val="006677CE"/>
    <w:rsid w:val="00691B1C"/>
    <w:rsid w:val="006A0F0A"/>
    <w:rsid w:val="006A48AA"/>
    <w:rsid w:val="006B1267"/>
    <w:rsid w:val="006D292E"/>
    <w:rsid w:val="006D7F56"/>
    <w:rsid w:val="00712462"/>
    <w:rsid w:val="00776A84"/>
    <w:rsid w:val="007F187F"/>
    <w:rsid w:val="00817D13"/>
    <w:rsid w:val="00820C7D"/>
    <w:rsid w:val="008324F5"/>
    <w:rsid w:val="00833D11"/>
    <w:rsid w:val="00836FD3"/>
    <w:rsid w:val="008912F2"/>
    <w:rsid w:val="008C779A"/>
    <w:rsid w:val="008D0205"/>
    <w:rsid w:val="00904864"/>
    <w:rsid w:val="009052FE"/>
    <w:rsid w:val="00924555"/>
    <w:rsid w:val="009601FB"/>
    <w:rsid w:val="00982B83"/>
    <w:rsid w:val="00983124"/>
    <w:rsid w:val="009857B4"/>
    <w:rsid w:val="009A2AEB"/>
    <w:rsid w:val="009F4B61"/>
    <w:rsid w:val="00A11883"/>
    <w:rsid w:val="00B37775"/>
    <w:rsid w:val="00B556CD"/>
    <w:rsid w:val="00B6337E"/>
    <w:rsid w:val="00BB53BB"/>
    <w:rsid w:val="00BD1F76"/>
    <w:rsid w:val="00BE20CF"/>
    <w:rsid w:val="00D005E1"/>
    <w:rsid w:val="00D6254D"/>
    <w:rsid w:val="00D74FD1"/>
    <w:rsid w:val="00D943A5"/>
    <w:rsid w:val="00DB56E4"/>
    <w:rsid w:val="00E27F01"/>
    <w:rsid w:val="00E60C22"/>
    <w:rsid w:val="00EE003F"/>
    <w:rsid w:val="00EE06D3"/>
    <w:rsid w:val="00EF33D5"/>
    <w:rsid w:val="00F15744"/>
    <w:rsid w:val="00F23F92"/>
    <w:rsid w:val="00F24D40"/>
    <w:rsid w:val="00F53A2A"/>
    <w:rsid w:val="00F65F9D"/>
    <w:rsid w:val="00FA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58CAF11-F3A2-463A-8071-73294E4E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cs-CZ" w:eastAsia="cs-CZ" w:bidi="cs-CZ"/>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cs-CZ" w:eastAsia="cs-CZ" w:bidi="cs-CZ"/>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Default">
    <w:name w:val="Default"/>
    <w:rsid w:val="008C779A"/>
    <w:pPr>
      <w:autoSpaceDE w:val="0"/>
      <w:autoSpaceDN w:val="0"/>
      <w:adjustRightInd w:val="0"/>
    </w:pPr>
    <w:rPr>
      <w:rFonts w:eastAsia="Calibri"/>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F23F92"/>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rsid w:val="00F23F92"/>
    <w:rPr>
      <w:rFonts w:ascii="Segoe UI" w:hAnsi="Segoe UI" w:cs="Segoe UI"/>
      <w:sz w:val="18"/>
      <w:szCs w:val="18"/>
      <w:lang w:val="cs-CZ" w:eastAsia="cs-CZ" w:bidi="cs-CZ"/>
    </w:rPr>
  </w:style>
  <w:style w:type="paragraph" w:styleId="BalloonText">
    <w:name w:val="Balloon Text"/>
    <w:basedOn w:val="Normal"/>
    <w:link w:val="BalloonTextChar"/>
    <w:rsid w:val="00F23F92"/>
    <w:rPr>
      <w:rFonts w:ascii="Segoe UI" w:hAnsi="Segoe UI" w:cs="Segoe UI"/>
      <w:sz w:val="18"/>
      <w:szCs w:val="18"/>
    </w:rPr>
  </w:style>
  <w:style w:type="character" w:customStyle="1" w:styleId="CommentSubjectChar">
    <w:name w:val="Comment Subject Char"/>
    <w:basedOn w:val="CommentTextChar"/>
    <w:link w:val="CommentSubject"/>
    <w:rsid w:val="00F23F92"/>
    <w:rPr>
      <w:b/>
      <w:bCs/>
      <w:lang w:val="cs-CZ" w:eastAsia="cs-CZ" w:bidi="cs-CZ"/>
    </w:rPr>
  </w:style>
  <w:style w:type="paragraph" w:styleId="CommentSubject">
    <w:name w:val="annotation subject"/>
    <w:basedOn w:val="CommentText"/>
    <w:next w:val="CommentText"/>
    <w:link w:val="CommentSubjectChar"/>
    <w:rsid w:val="00F23F92"/>
    <w:rPr>
      <w:b/>
      <w:bCs/>
    </w:rPr>
  </w:style>
  <w:style w:type="paragraph" w:customStyle="1" w:styleId="NormalTabs">
    <w:name w:val="NormalTabs"/>
    <w:basedOn w:val="Normal"/>
    <w:qFormat/>
    <w:rsid w:val="00B37775"/>
    <w:pPr>
      <w:widowControl w:val="0"/>
      <w:tabs>
        <w:tab w:val="center" w:pos="284"/>
        <w:tab w:val="left" w:pos="426"/>
      </w:tabs>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1D1DD13.dotm</Template>
  <TotalTime>0</TotalTime>
  <Pages>32</Pages>
  <Words>7021</Words>
  <Characters>47619</Characters>
  <Application>Microsoft Office Word</Application>
  <DocSecurity>0</DocSecurity>
  <Lines>1253</Lines>
  <Paragraphs>607</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54033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SODOMKOVA Renata</dc:creator>
  <cp:keywords/>
  <dc:description/>
  <cp:lastModifiedBy>OSLADILOVA Jana</cp:lastModifiedBy>
  <cp:revision>2</cp:revision>
  <cp:lastPrinted>2017-03-23T13:37:00Z</cp:lastPrinted>
  <dcterms:created xsi:type="dcterms:W3CDTF">2017-03-23T15:01:00Z</dcterms:created>
  <dcterms:modified xsi:type="dcterms:W3CDTF">2017-03-23T15:01:00Z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[20170301]</vt:lpwstr>
  </property>
  <property fmtid="{D5CDD505-2E9C-101B-9397-08002B2CF9AE}" pid="4" name="&lt;FdR&gt;">
    <vt:lpwstr>1121014</vt:lpwstr>
  </property>
  <property fmtid="{D5CDD505-2E9C-101B-9397-08002B2CF9AE}" pid="5" name="&lt;Type&gt;">
    <vt:lpwstr>AD</vt:lpwstr>
  </property>
  <property fmtid="{D5CDD505-2E9C-101B-9397-08002B2CF9AE}" pid="6" name="&lt;ModelCod&gt;">
    <vt:lpwstr>\\eiciLUXpr1\pdocep$\DocEP\DOCS\General\PA\PA_Legam.dot(17/02/2016 11:44:22)</vt:lpwstr>
  </property>
  <property fmtid="{D5CDD505-2E9C-101B-9397-08002B2CF9AE}" pid="7" name="&lt;ModelTra&gt;">
    <vt:lpwstr>\\eiciLUXpr1\pdocep$\DocEP\TRANSFIL\CS\PA_Legam.CS(22/09/2016 08:40:12)</vt:lpwstr>
  </property>
  <property fmtid="{D5CDD505-2E9C-101B-9397-08002B2CF9AE}" pid="8" name="&lt;Model&gt;">
    <vt:lpwstr>PA_Legam</vt:lpwstr>
  </property>
  <property fmtid="{D5CDD505-2E9C-101B-9397-08002B2CF9AE}" pid="9" name="FooterPath">
    <vt:lpwstr>AD\1121014CS.docx</vt:lpwstr>
  </property>
  <property fmtid="{D5CDD505-2E9C-101B-9397-08002B2CF9AE}" pid="10" name="PE Number">
    <vt:lpwstr>592.148</vt:lpwstr>
  </property>
  <property fmtid="{D5CDD505-2E9C-101B-9397-08002B2CF9AE}" pid="11" name="Bookout">
    <vt:lpwstr>OK - 2017/03/23 16:00</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