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B00C9" w:rsidRPr="00E033CC" w:rsidTr="005B45C1">
        <w:trPr>
          <w:trHeight w:hRule="exact" w:val="1418"/>
        </w:trPr>
        <w:tc>
          <w:tcPr>
            <w:tcW w:w="6804" w:type="dxa"/>
            <w:shd w:val="clear" w:color="auto" w:fill="auto"/>
            <w:vAlign w:val="center"/>
          </w:tcPr>
          <w:p w:rsidR="001B00C9" w:rsidRPr="00E033CC" w:rsidRDefault="00E033CC" w:rsidP="005B45C1">
            <w:pPr>
              <w:pStyle w:val="EPName"/>
            </w:pPr>
            <w:r>
              <w:t>Eiropas Parlaments</w:t>
            </w:r>
          </w:p>
          <w:p w:rsidR="001B00C9" w:rsidRPr="008A30C3" w:rsidRDefault="008A30C3" w:rsidP="008A30C3">
            <w:pPr>
              <w:pStyle w:val="EPTerm"/>
              <w:rPr>
                <w:rStyle w:val="HideTWBExt"/>
                <w:noProof w:val="0"/>
                <w:vanish w:val="0"/>
                <w:color w:val="auto"/>
              </w:rPr>
            </w:pPr>
            <w:r>
              <w:t>2019-2024</w:t>
            </w:r>
          </w:p>
        </w:tc>
        <w:tc>
          <w:tcPr>
            <w:tcW w:w="2268" w:type="dxa"/>
            <w:shd w:val="clear" w:color="auto" w:fill="auto"/>
          </w:tcPr>
          <w:p w:rsidR="001B00C9" w:rsidRPr="00E033CC" w:rsidRDefault="00130432" w:rsidP="005B45C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C815D0" w:rsidRPr="00E033CC" w:rsidRDefault="00C815D0" w:rsidP="00C815D0">
      <w:pPr>
        <w:pStyle w:val="LineTop"/>
      </w:pPr>
    </w:p>
    <w:p w:rsidR="00C815D0" w:rsidRPr="00E033CC" w:rsidRDefault="00C815D0" w:rsidP="00C815D0">
      <w:pPr>
        <w:pStyle w:val="ZCommittee"/>
      </w:pPr>
      <w:r>
        <w:rPr>
          <w:rStyle w:val="HideTWBExt"/>
        </w:rPr>
        <w:t>&lt;</w:t>
      </w:r>
      <w:r>
        <w:rPr>
          <w:rStyle w:val="HideTWBExt"/>
          <w:i w:val="0"/>
        </w:rPr>
        <w:t>Commission&gt;</w:t>
      </w:r>
      <w:r>
        <w:rPr>
          <w:rStyle w:val="HideTWBInt"/>
        </w:rPr>
        <w:t>{IMCO}</w:t>
      </w:r>
      <w:r>
        <w:t>Iekšējā tirgus un patērētāju aizsardzības komiteja</w:t>
      </w:r>
      <w:r>
        <w:rPr>
          <w:rStyle w:val="HideTWBExt"/>
        </w:rPr>
        <w:t>&lt;/</w:t>
      </w:r>
      <w:r>
        <w:rPr>
          <w:rStyle w:val="HideTWBExt"/>
          <w:i w:val="0"/>
        </w:rPr>
        <w:t>Commission</w:t>
      </w:r>
      <w:r>
        <w:rPr>
          <w:rStyle w:val="HideTWBExt"/>
        </w:rPr>
        <w:t>&gt;</w:t>
      </w:r>
    </w:p>
    <w:p w:rsidR="00C815D0" w:rsidRPr="00E033CC" w:rsidRDefault="00C815D0" w:rsidP="00C815D0">
      <w:pPr>
        <w:pStyle w:val="LineBottom"/>
      </w:pPr>
    </w:p>
    <w:p w:rsidR="008A30C3" w:rsidRPr="008A30C3" w:rsidRDefault="008A30C3" w:rsidP="008A30C3">
      <w:pPr>
        <w:pStyle w:val="RefProc"/>
        <w:spacing w:before="120"/>
      </w:pPr>
      <w:r>
        <w:rPr>
          <w:rStyle w:val="HideTWBExt"/>
          <w:b w:val="0"/>
        </w:rPr>
        <w:t>&lt;</w:t>
      </w:r>
      <w:r>
        <w:rPr>
          <w:rStyle w:val="HideTWBExt"/>
          <w:b w:val="0"/>
          <w:caps w:val="0"/>
        </w:rPr>
        <w:t>RefProc</w:t>
      </w:r>
      <w:r>
        <w:rPr>
          <w:rStyle w:val="HideTWBExt"/>
          <w:b w:val="0"/>
        </w:rPr>
        <w:t>&gt;</w:t>
      </w:r>
      <w:r>
        <w:t>2019/2010(BUD)</w:t>
      </w:r>
      <w:r>
        <w:rPr>
          <w:rStyle w:val="HideTWBExt"/>
          <w:b w:val="0"/>
        </w:rPr>
        <w:t>&lt;/</w:t>
      </w:r>
      <w:r>
        <w:rPr>
          <w:rStyle w:val="HideTWBExt"/>
          <w:b w:val="0"/>
          <w:caps w:val="0"/>
        </w:rPr>
        <w:t>RefProc</w:t>
      </w:r>
      <w:r>
        <w:rPr>
          <w:rStyle w:val="HideTWBExt"/>
          <w:b w:val="0"/>
        </w:rPr>
        <w:t>&gt;</w:t>
      </w:r>
    </w:p>
    <w:p w:rsidR="008A30C3" w:rsidRPr="0006305C" w:rsidRDefault="008A30C3" w:rsidP="008A30C3">
      <w:pPr>
        <w:pStyle w:val="ZDate"/>
      </w:pPr>
      <w:r>
        <w:rPr>
          <w:rStyle w:val="HideTWBExt"/>
        </w:rPr>
        <w:t>&lt;Date&gt;</w:t>
      </w:r>
      <w:r>
        <w:rPr>
          <w:rStyle w:val="HideTWBInt"/>
        </w:rPr>
        <w:t>{25/06/2019}</w:t>
      </w:r>
      <w:r>
        <w:t>25.6.2019</w:t>
      </w:r>
      <w:r>
        <w:rPr>
          <w:rStyle w:val="HideTWBExt"/>
        </w:rPr>
        <w:t>&lt;/Date&gt;</w:t>
      </w:r>
    </w:p>
    <w:p w:rsidR="00E95C2B" w:rsidRPr="00E033CC" w:rsidRDefault="00E95C2B">
      <w:pPr>
        <w:pStyle w:val="TypeDoc"/>
      </w:pPr>
      <w:r>
        <w:rPr>
          <w:rStyle w:val="HideTWBExt"/>
          <w:b w:val="0"/>
        </w:rPr>
        <w:t>&lt;TitreType&gt;</w:t>
      </w:r>
      <w:r>
        <w:t>DARBA DOKUMENTS</w:t>
      </w:r>
      <w:r>
        <w:rPr>
          <w:rStyle w:val="HideTWBExt"/>
          <w:b w:val="0"/>
        </w:rPr>
        <w:t>&lt;/TitreType&gt;</w:t>
      </w:r>
    </w:p>
    <w:p w:rsidR="00E95C2B" w:rsidRPr="00E033CC" w:rsidRDefault="00E95C2B">
      <w:pPr>
        <w:pStyle w:val="Cover24"/>
      </w:pPr>
      <w:r>
        <w:rPr>
          <w:rStyle w:val="HideTWBExt"/>
        </w:rPr>
        <w:t>&lt;Titre&gt;</w:t>
      </w:r>
      <w:r>
        <w:t>Sagatavošanas dokuments attiecībā uz projektu atzinumam par Eiropas Savienības 2020. finanšu gada vispārējā budžeta projektu</w:t>
      </w:r>
      <w:r>
        <w:rPr>
          <w:rStyle w:val="HideTWBExt"/>
        </w:rPr>
        <w:t>&lt;/Titre&gt;</w:t>
      </w:r>
    </w:p>
    <w:p w:rsidR="00E95C2B" w:rsidRPr="00E033CC" w:rsidRDefault="00E95C2B">
      <w:pPr>
        <w:pStyle w:val="Cover24"/>
      </w:pPr>
      <w:r>
        <w:rPr>
          <w:rStyle w:val="HideTWBExt"/>
        </w:rPr>
        <w:t>&lt;Commission&gt;</w:t>
      </w:r>
      <w:r>
        <w:rPr>
          <w:rStyle w:val="HideTWBInt"/>
        </w:rPr>
        <w:t>{IMCO}</w:t>
      </w:r>
      <w:r>
        <w:t>Iekšējā tirgus un patērētāju aizsardzības komiteja</w:t>
      </w:r>
      <w:r>
        <w:rPr>
          <w:rStyle w:val="HideTWBExt"/>
        </w:rPr>
        <w:t>&lt;/Commission&gt;</w:t>
      </w:r>
    </w:p>
    <w:p w:rsidR="00E95C2B" w:rsidRPr="00E033CC" w:rsidRDefault="008A30C3">
      <w:pPr>
        <w:pStyle w:val="Cover24"/>
      </w:pPr>
      <w:r>
        <w:t xml:space="preserve">Referente: </w:t>
      </w:r>
      <w:r>
        <w:rPr>
          <w:rStyle w:val="HideTWBExt"/>
        </w:rPr>
        <w:t>&lt;Depute&gt;</w:t>
      </w:r>
      <w:r>
        <w:rPr>
          <w:i/>
        </w:rPr>
        <w:t>Dita Charanzová</w:t>
      </w:r>
      <w:r>
        <w:rPr>
          <w:rStyle w:val="HideTWBExt"/>
        </w:rPr>
        <w:t>&lt;/Depute&gt;</w:t>
      </w:r>
    </w:p>
    <w:p w:rsidR="009B6CC7" w:rsidRDefault="009B6CC7" w:rsidP="009B6CC7">
      <w:pPr>
        <w:pStyle w:val="Normal12"/>
      </w:pPr>
      <w:r>
        <w:rPr>
          <w:lang w:val="fr-FR"/>
        </w:rPr>
        <w:br w:type="page"/>
      </w:r>
    </w:p>
    <w:p w:rsidR="008A30C3" w:rsidRPr="008A30C3" w:rsidRDefault="009B6CC7" w:rsidP="009B6CC7">
      <w:pPr>
        <w:pStyle w:val="PageHeadingNotTOC"/>
      </w:pPr>
      <w:r>
        <w:br w:type="page"/>
      </w:r>
      <w:r w:rsidR="00E95C2B">
        <w:lastRenderedPageBreak/>
        <w:t>IEROSINĀJUMI</w:t>
      </w:r>
    </w:p>
    <w:p w:rsidR="008A30C3" w:rsidRPr="009043F7" w:rsidRDefault="008A30C3" w:rsidP="008A30C3">
      <w:pPr>
        <w:pStyle w:val="Normal12"/>
      </w:pPr>
      <w:r>
        <w:t>Iekšējā tirgus un patērētāju aizsardzības komiteja aicina par jautājumu atbildīgo Budžeta komiteju rezolūcijas priekšlikumā iekļaut šādus ierosinājumus:</w:t>
      </w:r>
    </w:p>
    <w:p w:rsidR="008A30C3" w:rsidRDefault="008A30C3" w:rsidP="008A30C3">
      <w:pPr>
        <w:tabs>
          <w:tab w:val="left" w:pos="357"/>
        </w:tabs>
        <w:spacing w:after="240"/>
        <w:ind w:left="357" w:hanging="357"/>
      </w:pPr>
      <w:r>
        <w:t>1.</w:t>
      </w:r>
      <w:r>
        <w:rPr>
          <w:b/>
        </w:rPr>
        <w:t xml:space="preserve"> </w:t>
      </w:r>
      <w:r>
        <w:rPr>
          <w:b/>
        </w:rPr>
        <w:tab/>
      </w:r>
      <w:r>
        <w:t xml:space="preserve">norāda, ka Iekšējā tirgus un patērētāju aizsardzības komitejas (IMCO) atbildība budžeta procedūrā ietver budžeta pozīcijas 2. sadaļā („Iekšējais tirgus, rūpniecība, uzņēmējdarbība un MVU”), 14. sadaļā („Nodokļu politika un muitas savienība”) un </w:t>
      </w:r>
      <w:bookmarkStart w:id="0" w:name="_GoBack"/>
      <w:r>
        <w:t>33. sadaļā („Tiesiskums un patērētāji”);</w:t>
      </w:r>
    </w:p>
    <w:bookmarkEnd w:id="0"/>
    <w:p w:rsidR="008A30C3" w:rsidRDefault="008A30C3" w:rsidP="008A30C3">
      <w:pPr>
        <w:tabs>
          <w:tab w:val="left" w:pos="357"/>
        </w:tabs>
        <w:spacing w:after="240"/>
        <w:ind w:left="357" w:hanging="357"/>
      </w:pPr>
      <w:r>
        <w:t xml:space="preserve">2. </w:t>
      </w:r>
      <w:r>
        <w:tab/>
        <w:t>uzsver, ka vienotais tirgus joprojām ir viens no Savienības lielākajiem un taustāmākajiem sasniegumiem, kas sniedz labumu uzņēmumiem, patērētājiem un iedzīvotājiem visā Eiropā; vienotā tirgus turpmāka padziļināšana un digitālā vienotā tirgus attīstība būtu jānosaka par prioritāti 2020. gada budžetā;</w:t>
      </w:r>
    </w:p>
    <w:p w:rsidR="008A30C3" w:rsidRDefault="008A30C3" w:rsidP="008A30C3">
      <w:pPr>
        <w:tabs>
          <w:tab w:val="left" w:pos="357"/>
        </w:tabs>
        <w:spacing w:after="240"/>
        <w:ind w:left="357" w:hanging="357"/>
        <w:rPr>
          <w:b/>
        </w:rPr>
      </w:pPr>
      <w:r>
        <w:t>3.</w:t>
      </w:r>
      <w:r>
        <w:rPr>
          <w:b/>
        </w:rPr>
        <w:t xml:space="preserve"> </w:t>
      </w:r>
      <w:r>
        <w:rPr>
          <w:b/>
        </w:rPr>
        <w:tab/>
      </w:r>
      <w:r>
        <w:t>uzsver, cik svarīga ir spēcīga patērētāju politika, kas nodrošina patērētājiem aizsardzību un paredzamību gan bezsaistē, gan tiešsaistē, kā arī uzticēšanos uzņēmumiem, lai tie varētu piedāvāt savas preces un pakalpojumus visā iekšējā tirgū;</w:t>
      </w:r>
    </w:p>
    <w:p w:rsidR="008A30C3" w:rsidRDefault="008A30C3" w:rsidP="008A30C3">
      <w:pPr>
        <w:tabs>
          <w:tab w:val="left" w:pos="357"/>
        </w:tabs>
        <w:spacing w:after="240"/>
        <w:ind w:left="357" w:hanging="357"/>
      </w:pPr>
      <w:r>
        <w:t>4.</w:t>
      </w:r>
      <w:r>
        <w:rPr>
          <w:b/>
        </w:rPr>
        <w:t xml:space="preserve"> </w:t>
      </w:r>
      <w:r>
        <w:rPr>
          <w:b/>
        </w:rPr>
        <w:tab/>
      </w:r>
      <w:r>
        <w:t>uzsver, ka ir svarīgi pienācīgi finansēt pāreju uz pilnībā automatizētām muitas operācijām, lai palielinātu Eiropas uzņēmumu efektivitāti un pilnveidotu patērētāju tiesību aizsardzību;</w:t>
      </w:r>
    </w:p>
    <w:p w:rsidR="008A30C3" w:rsidRDefault="008A30C3" w:rsidP="008A30C3">
      <w:pPr>
        <w:tabs>
          <w:tab w:val="left" w:pos="357"/>
        </w:tabs>
        <w:spacing w:after="240"/>
        <w:ind w:left="357" w:hanging="357"/>
      </w:pPr>
      <w:r>
        <w:t>6.</w:t>
      </w:r>
      <w:r>
        <w:rPr>
          <w:b/>
        </w:rPr>
        <w:t xml:space="preserve"> </w:t>
      </w:r>
      <w:r>
        <w:rPr>
          <w:b/>
        </w:rPr>
        <w:tab/>
      </w:r>
      <w:r>
        <w:t>konstatē, ka 2020. gads ir pēdējais pašreizējās daudzgadu finanšu shēmas gads, un tādēļ aicina Komisiju 2020. gada budžetā pilnībā izmantot pieejamās DFS rezerves politikas jomās, par kurām ir atbildīga IMCO komiteja;</w:t>
      </w:r>
    </w:p>
    <w:p w:rsidR="008A30C3" w:rsidRDefault="008A30C3" w:rsidP="008A30C3">
      <w:pPr>
        <w:tabs>
          <w:tab w:val="left" w:pos="357"/>
        </w:tabs>
        <w:spacing w:after="240"/>
        <w:ind w:left="357" w:hanging="357"/>
      </w:pPr>
      <w:r>
        <w:t xml:space="preserve">7. </w:t>
      </w:r>
      <w:r>
        <w:tab/>
        <w:t>atzinīgi vērtē to, ka budžeta projektā Komisija ir piešķīrusi pienācīgu budžetu lielākajai daļai IMCO komitejas galveno prioritāšu, un aicina Padomi apstiprināt šīs apropriācijas;</w:t>
      </w:r>
    </w:p>
    <w:p w:rsidR="008A30C3" w:rsidRDefault="008A30C3" w:rsidP="008A30C3">
      <w:pPr>
        <w:tabs>
          <w:tab w:val="left" w:pos="357"/>
        </w:tabs>
        <w:spacing w:after="240"/>
        <w:ind w:left="357" w:hanging="357"/>
      </w:pPr>
      <w:r>
        <w:t xml:space="preserve">8. </w:t>
      </w:r>
      <w:r>
        <w:tab/>
        <w:t>atzinīgi vērtē apropriāciju palielinājumu iekšējā preču un pakalpojumu tirgus darbībai un attīstībai (02 03 01. budžeta pozīcija), kā arī tam, lai uzlabotu finansējuma pieejamību MVU (02 02 02. budžeta pozīcija), jo abām darbībām ir izšķiroša nozīme ekonomikas izaugsmes veicināšanā Savienībā;</w:t>
      </w:r>
    </w:p>
    <w:p w:rsidR="008A30C3" w:rsidRDefault="008A30C3" w:rsidP="008A30C3">
      <w:pPr>
        <w:tabs>
          <w:tab w:val="left" w:pos="357"/>
        </w:tabs>
        <w:spacing w:after="240"/>
        <w:ind w:left="357" w:hanging="357"/>
      </w:pPr>
      <w:r>
        <w:t xml:space="preserve">9. </w:t>
      </w:r>
      <w:r>
        <w:tab/>
        <w:t>atzinīgi vērtē arī maksājumu apropriāciju palielinājumu patērētāju interešu aizsardzībai un to drošības un informēšanas uzlabošanai (33 04 01. budžeta pozīcija), jo patērētāju tiesību uzlabošana un informētības veicināšana par šīm tiesībām ir svarīgs veids, kā palielināt patērētāju uzticēšanos vienotajam tirgum un ES spējai sniegt reālus ieguvumus;</w:t>
      </w:r>
    </w:p>
    <w:p w:rsidR="008A30C3" w:rsidRDefault="008A30C3" w:rsidP="008A30C3">
      <w:pPr>
        <w:tabs>
          <w:tab w:val="left" w:pos="357"/>
        </w:tabs>
        <w:spacing w:after="240"/>
        <w:ind w:left="357" w:hanging="357"/>
      </w:pPr>
      <w:r>
        <w:t>10. pauž nožēlu par budžeta apropriāciju samazinājumu muitas savienības darbības un modernizācijas atbalstam (14 02 01. budžeta pozīcija), kas varētu aizkavēt Savienības Muitas kodeksa pilnīgu īstenošanu;</w:t>
      </w:r>
    </w:p>
    <w:p w:rsidR="008A30C3" w:rsidRDefault="008A30C3" w:rsidP="008A30C3">
      <w:pPr>
        <w:tabs>
          <w:tab w:val="left" w:pos="357"/>
        </w:tabs>
        <w:spacing w:after="240"/>
        <w:ind w:left="357" w:hanging="357"/>
      </w:pPr>
      <w:r>
        <w:t>11. aicina Komisiju finansēt visus izmēģinājuma projektus un sagatavošanas darbības, ko apstiprinājusi IMCO komiteja.</w:t>
      </w:r>
    </w:p>
    <w:p w:rsidR="00E95C2B" w:rsidRPr="00E033CC" w:rsidRDefault="00E95C2B">
      <w:pPr>
        <w:pStyle w:val="Normal12"/>
      </w:pPr>
    </w:p>
    <w:sectPr w:rsidR="00E95C2B" w:rsidRPr="00E033CC" w:rsidSect="007C3AD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3CC" w:rsidRPr="00E033CC" w:rsidRDefault="00E033CC">
      <w:r w:rsidRPr="00E033CC">
        <w:separator/>
      </w:r>
    </w:p>
  </w:endnote>
  <w:endnote w:type="continuationSeparator" w:id="0">
    <w:p w:rsidR="00E033CC" w:rsidRPr="00E033CC" w:rsidRDefault="00E033CC">
      <w:r w:rsidRPr="00E033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2B" w:rsidRPr="00E033CC" w:rsidRDefault="00130432">
    <w:pPr>
      <w:pStyle w:val="Footer"/>
      <w:tabs>
        <w:tab w:val="right" w:pos="9356"/>
      </w:tabs>
    </w:pPr>
    <w:r>
      <w:fldChar w:fldCharType="begin"/>
    </w:r>
    <w:r>
      <w:instrText xml:space="preserve"> REF OutsideFooter </w:instrText>
    </w:r>
    <w:r>
      <w:fldChar w:fldCharType="separate"/>
    </w:r>
    <w:r w:rsidRPr="00E033CC">
      <w:t>PE</w:t>
    </w:r>
    <w:r w:rsidRPr="00E033CC">
      <w:rPr>
        <w:rStyle w:val="HideTWBExt"/>
        <w:noProof w:val="0"/>
      </w:rPr>
      <w:t>&lt;NoPE&gt;</w:t>
    </w:r>
    <w:r>
      <w:t>638.786</w:t>
    </w:r>
    <w:r w:rsidRPr="00E033CC">
      <w:rPr>
        <w:rStyle w:val="HideTWBExt"/>
        <w:noProof w:val="0"/>
      </w:rPr>
      <w:t>&lt;/NoPE&gt;&lt;Version&gt;</w:t>
    </w:r>
    <w:r w:rsidRPr="00E033CC">
      <w:t>v</w:t>
    </w:r>
    <w:r>
      <w:t>01-00</w:t>
    </w:r>
    <w:r w:rsidRPr="00E033CC">
      <w:rPr>
        <w:rStyle w:val="HideTWBExt"/>
        <w:noProof w:val="0"/>
      </w:rPr>
      <w:t>&lt;/Version&gt;</w:t>
    </w:r>
    <w:r>
      <w:rPr>
        <w:rStyle w:val="HideTWBExt"/>
        <w:noProof w:val="0"/>
      </w:rPr>
      <w:fldChar w:fldCharType="end"/>
    </w:r>
    <w:r w:rsidR="00E95C2B" w:rsidRPr="00E033CC">
      <w:tab/>
    </w:r>
    <w:r w:rsidR="00E95C2B" w:rsidRPr="00E033CC">
      <w:fldChar w:fldCharType="begin"/>
    </w:r>
    <w:r w:rsidR="00E95C2B" w:rsidRPr="00E033CC">
      <w:instrText xml:space="preserve"> PAGE </w:instrText>
    </w:r>
    <w:r w:rsidR="00E95C2B" w:rsidRPr="00E033CC">
      <w:fldChar w:fldCharType="separate"/>
    </w:r>
    <w:r>
      <w:rPr>
        <w:noProof/>
      </w:rPr>
      <w:t>2</w:t>
    </w:r>
    <w:r w:rsidR="00E95C2B" w:rsidRPr="00E033CC">
      <w:fldChar w:fldCharType="end"/>
    </w:r>
    <w:r w:rsidR="00E95C2B" w:rsidRPr="00E033CC">
      <w:t>/</w:t>
    </w:r>
    <w:r>
      <w:fldChar w:fldCharType="begin"/>
    </w:r>
    <w:r>
      <w:instrText xml:space="preserve"> NUMPAGES </w:instrText>
    </w:r>
    <w:r>
      <w:fldChar w:fldCharType="separate"/>
    </w:r>
    <w:r>
      <w:rPr>
        <w:noProof/>
      </w:rPr>
      <w:t>3</w:t>
    </w:r>
    <w:r>
      <w:rPr>
        <w:noProof/>
      </w:rPr>
      <w:fldChar w:fldCharType="end"/>
    </w:r>
    <w:r w:rsidR="00E95C2B" w:rsidRPr="00E033CC">
      <w:tab/>
    </w:r>
    <w:r>
      <w:rPr>
        <w:vanish/>
      </w:rPr>
      <w:fldChar w:fldCharType="begin"/>
    </w:r>
    <w:r>
      <w:rPr>
        <w:vanish/>
      </w:rPr>
      <w:instrText xml:space="preserve"> REF InsideFooter </w:instrText>
    </w:r>
    <w:r>
      <w:rPr>
        <w:vanish/>
      </w:rPr>
      <w:fldChar w:fldCharType="separate"/>
    </w:r>
    <w:r w:rsidRPr="00E033CC">
      <w:rPr>
        <w:rStyle w:val="HideTWBExt"/>
        <w:noProof w:val="0"/>
      </w:rPr>
      <w:t>&lt;PathFdR&gt;</w:t>
    </w:r>
    <w:r w:rsidRPr="008A30C3">
      <w:t>DT\1185014LV.docx</w:t>
    </w:r>
    <w:r w:rsidRPr="00E033CC">
      <w:rPr>
        <w:rStyle w:val="HideTWBExt"/>
        <w:noProof w:val="0"/>
      </w:rPr>
      <w:t>&lt;/PathFdR&gt;</w:t>
    </w:r>
    <w:r>
      <w:rPr>
        <w:rStyle w:val="HideTWBExt"/>
        <w:noProof w:val="0"/>
      </w:rPr>
      <w:fldChar w:fldCharType="end"/>
    </w:r>
  </w:p>
  <w:p w:rsidR="00E95C2B" w:rsidRPr="00E033CC" w:rsidRDefault="00130432">
    <w:pPr>
      <w:pStyle w:val="Footer2"/>
    </w:pPr>
    <w:r>
      <w:fldChar w:fldCharType="begin"/>
    </w:r>
    <w:r>
      <w:instrText xml:space="preserve"> DOCPROPERTY "&lt;Extension&gt;" </w:instrText>
    </w:r>
    <w:r>
      <w:fldChar w:fldCharType="separate"/>
    </w:r>
    <w:r>
      <w:t>LV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2B" w:rsidRPr="00E033CC" w:rsidRDefault="00130432">
    <w:pPr>
      <w:pStyle w:val="Footer"/>
      <w:tabs>
        <w:tab w:val="right" w:pos="9356"/>
      </w:tabs>
    </w:pPr>
    <w:r>
      <w:rPr>
        <w:vanish/>
      </w:rPr>
      <w:fldChar w:fldCharType="begin"/>
    </w:r>
    <w:r>
      <w:rPr>
        <w:vanish/>
      </w:rPr>
      <w:instrText xml:space="preserve"> REF InsideFooter </w:instrText>
    </w:r>
    <w:r>
      <w:rPr>
        <w:vanish/>
      </w:rPr>
      <w:fldChar w:fldCharType="separate"/>
    </w:r>
    <w:r w:rsidRPr="00E033CC">
      <w:rPr>
        <w:rStyle w:val="HideTWBExt"/>
        <w:noProof w:val="0"/>
      </w:rPr>
      <w:t>&lt;PathFdR&gt;</w:t>
    </w:r>
    <w:r w:rsidRPr="008A30C3">
      <w:t>DT\1185014LV.docx</w:t>
    </w:r>
    <w:r w:rsidRPr="00E033CC">
      <w:rPr>
        <w:rStyle w:val="HideTWBExt"/>
        <w:noProof w:val="0"/>
      </w:rPr>
      <w:t>&lt;/PathFdR&gt;</w:t>
    </w:r>
    <w:r>
      <w:rPr>
        <w:rStyle w:val="HideTWBExt"/>
        <w:noProof w:val="0"/>
      </w:rPr>
      <w:fldChar w:fldCharType="end"/>
    </w:r>
    <w:r w:rsidR="00E95C2B" w:rsidRPr="00E033CC">
      <w:tab/>
    </w:r>
    <w:r w:rsidR="00E95C2B" w:rsidRPr="00E033CC">
      <w:fldChar w:fldCharType="begin"/>
    </w:r>
    <w:r w:rsidR="00E95C2B" w:rsidRPr="00E033CC">
      <w:instrText xml:space="preserve"> PAGE </w:instrText>
    </w:r>
    <w:r w:rsidR="00E95C2B" w:rsidRPr="00E033CC">
      <w:fldChar w:fldCharType="separate"/>
    </w:r>
    <w:r>
      <w:rPr>
        <w:noProof/>
      </w:rPr>
      <w:t>3</w:t>
    </w:r>
    <w:r w:rsidR="00E95C2B" w:rsidRPr="00E033CC">
      <w:fldChar w:fldCharType="end"/>
    </w:r>
    <w:r w:rsidR="00E95C2B" w:rsidRPr="00E033CC">
      <w:t>/</w:t>
    </w:r>
    <w:r>
      <w:fldChar w:fldCharType="begin"/>
    </w:r>
    <w:r>
      <w:instrText xml:space="preserve"> NUMPAGES </w:instrText>
    </w:r>
    <w:r>
      <w:fldChar w:fldCharType="separate"/>
    </w:r>
    <w:r>
      <w:rPr>
        <w:noProof/>
      </w:rPr>
      <w:t>3</w:t>
    </w:r>
    <w:r>
      <w:rPr>
        <w:noProof/>
      </w:rPr>
      <w:fldChar w:fldCharType="end"/>
    </w:r>
    <w:r w:rsidR="00E95C2B" w:rsidRPr="00E033CC">
      <w:tab/>
    </w:r>
    <w:r>
      <w:fldChar w:fldCharType="begin"/>
    </w:r>
    <w:r>
      <w:instrText xml:space="preserve"> REF OutsideFooter </w:instrText>
    </w:r>
    <w:r>
      <w:fldChar w:fldCharType="separate"/>
    </w:r>
    <w:r w:rsidRPr="00E033CC">
      <w:t>PE</w:t>
    </w:r>
    <w:r w:rsidRPr="00E033CC">
      <w:rPr>
        <w:rStyle w:val="HideTWBExt"/>
        <w:noProof w:val="0"/>
      </w:rPr>
      <w:t>&lt;NoPE&gt;</w:t>
    </w:r>
    <w:r>
      <w:t>638.786</w:t>
    </w:r>
    <w:r w:rsidRPr="00E033CC">
      <w:rPr>
        <w:rStyle w:val="HideTWBExt"/>
        <w:noProof w:val="0"/>
      </w:rPr>
      <w:t>&lt;/NoPE&gt;&lt;Version&gt;</w:t>
    </w:r>
    <w:r w:rsidRPr="00E033CC">
      <w:t>v</w:t>
    </w:r>
    <w:r>
      <w:t>01-00</w:t>
    </w:r>
    <w:r w:rsidRPr="00E033CC">
      <w:rPr>
        <w:rStyle w:val="HideTWBExt"/>
        <w:noProof w:val="0"/>
      </w:rPr>
      <w:t>&lt;/Version&gt;</w:t>
    </w:r>
    <w:r>
      <w:rPr>
        <w:rStyle w:val="HideTWBExt"/>
        <w:noProof w:val="0"/>
      </w:rPr>
      <w:fldChar w:fldCharType="end"/>
    </w:r>
  </w:p>
  <w:p w:rsidR="00E95C2B" w:rsidRPr="00E033CC" w:rsidRDefault="00E95C2B">
    <w:pPr>
      <w:pStyle w:val="Footer2"/>
    </w:pPr>
    <w:r w:rsidRPr="00E033CC">
      <w:tab/>
    </w:r>
    <w:r w:rsidR="00130432">
      <w:fldChar w:fldCharType="begin"/>
    </w:r>
    <w:r w:rsidR="00130432">
      <w:instrText xml:space="preserve"> DOCPROPERTY "&lt;Extension&gt;" </w:instrText>
    </w:r>
    <w:r w:rsidR="00130432">
      <w:fldChar w:fldCharType="separate"/>
    </w:r>
    <w:r w:rsidR="00130432">
      <w:t>LV</w:t>
    </w:r>
    <w:r w:rsidR="0013043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2B" w:rsidRPr="00E033CC" w:rsidRDefault="00E95C2B">
    <w:pPr>
      <w:pStyle w:val="Footer"/>
    </w:pPr>
    <w:bookmarkStart w:id="1" w:name="InsideFooter"/>
    <w:r w:rsidRPr="00E033CC">
      <w:rPr>
        <w:rStyle w:val="HideTWBExt"/>
        <w:noProof w:val="0"/>
      </w:rPr>
      <w:t>&lt;PathFdR&gt;</w:t>
    </w:r>
    <w:r w:rsidR="008A30C3" w:rsidRPr="008A30C3">
      <w:t>DT\1185014LV.docx</w:t>
    </w:r>
    <w:r w:rsidRPr="00E033CC">
      <w:rPr>
        <w:rStyle w:val="HideTWBExt"/>
        <w:noProof w:val="0"/>
      </w:rPr>
      <w:t>&lt;/PathFdR&gt;</w:t>
    </w:r>
    <w:bookmarkEnd w:id="1"/>
    <w:r w:rsidRPr="00E033CC">
      <w:tab/>
    </w:r>
    <w:r w:rsidRPr="00E033CC">
      <w:tab/>
    </w:r>
    <w:bookmarkStart w:id="2" w:name="OutsideFooter"/>
    <w:r w:rsidR="00CE3D6F" w:rsidRPr="00E033CC">
      <w:t>PE</w:t>
    </w:r>
    <w:r w:rsidRPr="00E033CC">
      <w:rPr>
        <w:rStyle w:val="HideTWBExt"/>
        <w:noProof w:val="0"/>
      </w:rPr>
      <w:t>&lt;NoPE&gt;</w:t>
    </w:r>
    <w:r w:rsidR="008A30C3">
      <w:t>638.786</w:t>
    </w:r>
    <w:r w:rsidRPr="00E033CC">
      <w:rPr>
        <w:rStyle w:val="HideTWBExt"/>
        <w:noProof w:val="0"/>
      </w:rPr>
      <w:t>&lt;/NoPE&gt;&lt;Version&gt;</w:t>
    </w:r>
    <w:r w:rsidR="00E033CC" w:rsidRPr="00E033CC">
      <w:t>v</w:t>
    </w:r>
    <w:r w:rsidR="008A30C3">
      <w:t>01-00</w:t>
    </w:r>
    <w:r w:rsidRPr="00E033CC">
      <w:rPr>
        <w:rStyle w:val="HideTWBExt"/>
        <w:noProof w:val="0"/>
      </w:rPr>
      <w:t>&lt;/Version&gt;</w:t>
    </w:r>
    <w:bookmarkEnd w:id="2"/>
  </w:p>
  <w:p w:rsidR="00E95C2B" w:rsidRPr="00E033CC" w:rsidRDefault="00130432" w:rsidP="00C815D0">
    <w:pPr>
      <w:pStyle w:val="Footer2"/>
      <w:tabs>
        <w:tab w:val="center" w:pos="4536"/>
      </w:tabs>
    </w:pPr>
    <w:r>
      <w:fldChar w:fldCharType="begin"/>
    </w:r>
    <w:r>
      <w:instrText xml:space="preserve"> DOCPROPERTY "&lt;Extension&gt;" </w:instrText>
    </w:r>
    <w:r>
      <w:fldChar w:fldCharType="separate"/>
    </w:r>
    <w:r>
      <w:t>LV</w:t>
    </w:r>
    <w:r>
      <w:fldChar w:fldCharType="end"/>
    </w:r>
    <w:r w:rsidR="00C815D0" w:rsidRPr="00E033CC">
      <w:rPr>
        <w:color w:val="C0C0C0"/>
      </w:rPr>
      <w:tab/>
    </w:r>
    <w:r w:rsidR="008A30C3">
      <w:rPr>
        <w:b w:val="0"/>
        <w:i/>
        <w:color w:val="C0C0C0"/>
        <w:sz w:val="22"/>
        <w:szCs w:val="22"/>
      </w:rPr>
      <w:t>Vienoti daudzveidībā</w:t>
    </w:r>
    <w:r w:rsidR="00C815D0" w:rsidRPr="00E033CC">
      <w:rPr>
        <w:color w:val="C0C0C0"/>
      </w:rPr>
      <w:tab/>
    </w:r>
    <w:r>
      <w:fldChar w:fldCharType="begin"/>
    </w:r>
    <w:r>
      <w:instrText xml:space="preserve"> DOCPROPERTY "&lt;Extension&gt;" </w:instrText>
    </w:r>
    <w:r>
      <w:fldChar w:fldCharType="separate"/>
    </w:r>
    <w:r>
      <w:t>LV</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3CC" w:rsidRPr="00E033CC" w:rsidRDefault="00E033CC">
      <w:r w:rsidRPr="00E033CC">
        <w:separator/>
      </w:r>
    </w:p>
  </w:footnote>
  <w:footnote w:type="continuationSeparator" w:id="0">
    <w:p w:rsidR="00E033CC" w:rsidRPr="00E033CC" w:rsidRDefault="00E033CC">
      <w:r w:rsidRPr="00E033C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C3" w:rsidRDefault="008A3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C3" w:rsidRDefault="008A3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C3" w:rsidRDefault="008A3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DYMNU" w:val=" 1"/>
    <w:docVar w:name="COMKEY" w:val="IMCO"/>
    <w:docVar w:name="LastEditedSection" w:val=" 1"/>
    <w:docVar w:name="strDocTypeID" w:val="DT"/>
    <w:docVar w:name="strSubDir" w:val="1185"/>
    <w:docVar w:name="TXTLANGUE" w:val="LV"/>
    <w:docVar w:name="TXTLANGUEMIN" w:val="lv"/>
    <w:docVar w:name="TXTNRPE" w:val="638.786"/>
    <w:docVar w:name="TXTPEorAP" w:val="PE"/>
    <w:docVar w:name="TXTROUTE" w:val="DT\1185014LV.docx"/>
    <w:docVar w:name="TXTTITLE" w:val="Preparatory document for draft opinion on the draft general budget of the European Union for the financial year 2020"/>
    <w:docVar w:name="TXTVERSION" w:val="01-00"/>
  </w:docVars>
  <w:rsids>
    <w:rsidRoot w:val="00E033CC"/>
    <w:rsid w:val="00032638"/>
    <w:rsid w:val="0007415E"/>
    <w:rsid w:val="00130432"/>
    <w:rsid w:val="0013654B"/>
    <w:rsid w:val="00161AF7"/>
    <w:rsid w:val="001A4D74"/>
    <w:rsid w:val="001B00C9"/>
    <w:rsid w:val="002051D5"/>
    <w:rsid w:val="00394A92"/>
    <w:rsid w:val="00426694"/>
    <w:rsid w:val="004D20EF"/>
    <w:rsid w:val="005B45C1"/>
    <w:rsid w:val="0064386E"/>
    <w:rsid w:val="007C3AD2"/>
    <w:rsid w:val="008A30C3"/>
    <w:rsid w:val="009B6CC7"/>
    <w:rsid w:val="00A234E0"/>
    <w:rsid w:val="00A47613"/>
    <w:rsid w:val="00AF0C01"/>
    <w:rsid w:val="00C815D0"/>
    <w:rsid w:val="00C90201"/>
    <w:rsid w:val="00CE3D6F"/>
    <w:rsid w:val="00CF5436"/>
    <w:rsid w:val="00E033CC"/>
    <w:rsid w:val="00E95C2B"/>
    <w:rsid w:val="00EA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8934FFB-7038-483E-8B0B-716A80D1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tabs>
        <w:tab w:val="center" w:pos="4536"/>
        <w:tab w:val="right" w:pos="9072"/>
      </w:tabs>
      <w:spacing w:before="240" w:after="240"/>
    </w:pPr>
    <w:rPr>
      <w:sz w:val="22"/>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PageHeading">
    <w:name w:val="PageHeading"/>
    <w:basedOn w:val="Normal"/>
    <w:pPr>
      <w:keepNext/>
      <w:spacing w:before="240" w:after="240"/>
      <w:jc w:val="center"/>
    </w:pPr>
    <w:rPr>
      <w:rFonts w:ascii="Arial" w:hAnsi="Arial"/>
      <w:b/>
    </w:rPr>
  </w:style>
  <w:style w:type="paragraph" w:customStyle="1" w:styleId="Normal12Hanging">
    <w:name w:val="Normal12Hanging"/>
    <w:basedOn w:val="Normal12"/>
    <w:pPr>
      <w:ind w:left="567" w:hanging="567"/>
    </w:pPr>
  </w:style>
  <w:style w:type="paragraph" w:customStyle="1" w:styleId="EPName">
    <w:name w:val="EPName"/>
    <w:basedOn w:val="Normal"/>
    <w:rsid w:val="001B00C9"/>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8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815D0"/>
    <w:pPr>
      <w:jc w:val="center"/>
    </w:pPr>
    <w:rPr>
      <w:rFonts w:ascii="Arial" w:hAnsi="Arial" w:cs="Arial"/>
      <w:i/>
      <w:sz w:val="22"/>
      <w:szCs w:val="22"/>
    </w:rPr>
  </w:style>
  <w:style w:type="paragraph" w:customStyle="1" w:styleId="LineTop">
    <w:name w:val="LineTop"/>
    <w:basedOn w:val="Normal"/>
    <w:next w:val="ZCommittee"/>
    <w:rsid w:val="00C815D0"/>
    <w:pPr>
      <w:pBdr>
        <w:top w:val="single" w:sz="4" w:space="1" w:color="auto"/>
      </w:pBdr>
      <w:jc w:val="center"/>
    </w:pPr>
    <w:rPr>
      <w:rFonts w:ascii="Arial" w:hAnsi="Arial"/>
      <w:sz w:val="16"/>
      <w:szCs w:val="16"/>
    </w:rPr>
  </w:style>
  <w:style w:type="paragraph" w:customStyle="1" w:styleId="LineBottom">
    <w:name w:val="LineBottom"/>
    <w:basedOn w:val="Normal"/>
    <w:next w:val="Normal"/>
    <w:rsid w:val="00C815D0"/>
    <w:pPr>
      <w:pBdr>
        <w:bottom w:val="single" w:sz="4" w:space="1" w:color="auto"/>
      </w:pBdr>
      <w:spacing w:after="2280"/>
      <w:jc w:val="center"/>
    </w:pPr>
    <w:rPr>
      <w:rFonts w:ascii="Arial" w:hAnsi="Arial"/>
      <w:sz w:val="16"/>
      <w:szCs w:val="16"/>
    </w:rPr>
  </w:style>
  <w:style w:type="paragraph" w:customStyle="1" w:styleId="EPTerm">
    <w:name w:val="EPTerm"/>
    <w:basedOn w:val="Normal"/>
    <w:next w:val="Normal"/>
    <w:rsid w:val="001B00C9"/>
    <w:pPr>
      <w:spacing w:after="80"/>
    </w:pPr>
    <w:rPr>
      <w:rFonts w:ascii="Arial" w:hAnsi="Arial" w:cs="Arial"/>
      <w:sz w:val="20"/>
      <w:szCs w:val="22"/>
    </w:rPr>
  </w:style>
  <w:style w:type="paragraph" w:customStyle="1" w:styleId="EPLogo">
    <w:name w:val="EPLogo"/>
    <w:basedOn w:val="Normal"/>
    <w:qFormat/>
    <w:rsid w:val="001B00C9"/>
    <w:pPr>
      <w:jc w:val="right"/>
    </w:pPr>
  </w:style>
  <w:style w:type="paragraph" w:customStyle="1" w:styleId="PageHeadingNotTOC">
    <w:name w:val="PageHeadingNotTOC"/>
    <w:basedOn w:val="Normal"/>
    <w:rsid w:val="008A30C3"/>
    <w:pPr>
      <w:keepNext/>
      <w:spacing w:before="240" w:after="240"/>
      <w:jc w:val="center"/>
    </w:pPr>
    <w:rPr>
      <w:rFonts w:ascii="Arial" w:hAnsi="Arial"/>
      <w:b/>
    </w:rPr>
  </w:style>
  <w:style w:type="paragraph" w:customStyle="1" w:styleId="RefProc">
    <w:name w:val="RefProc"/>
    <w:basedOn w:val="Normal"/>
    <w:rsid w:val="008A30C3"/>
    <w:pPr>
      <w:spacing w:before="240" w:after="240"/>
      <w:jc w:val="right"/>
    </w:pPr>
    <w:rPr>
      <w:rFonts w:ascii="Arial" w:hAnsi="Arial"/>
      <w:b/>
      <w:caps/>
    </w:rPr>
  </w:style>
  <w:style w:type="paragraph" w:styleId="BalloonText">
    <w:name w:val="Balloon Text"/>
    <w:basedOn w:val="Normal"/>
    <w:link w:val="BalloonTextChar"/>
    <w:rsid w:val="00130432"/>
    <w:rPr>
      <w:rFonts w:ascii="Segoe UI" w:hAnsi="Segoe UI" w:cs="Segoe UI"/>
      <w:sz w:val="18"/>
      <w:szCs w:val="18"/>
    </w:rPr>
  </w:style>
  <w:style w:type="character" w:customStyle="1" w:styleId="BalloonTextChar">
    <w:name w:val="Balloon Text Char"/>
    <w:basedOn w:val="DefaultParagraphFont"/>
    <w:link w:val="BalloonText"/>
    <w:rsid w:val="00130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DT</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dc:title>
  <dc:subject/>
  <dc:creator>LEKA Lilita</dc:creator>
  <cp:keywords/>
  <dc:description/>
  <cp:lastModifiedBy>BALDINA Agnese</cp:lastModifiedBy>
  <cp:revision>2</cp:revision>
  <cp:lastPrinted>2019-07-10T07:30:00Z</cp:lastPrinted>
  <dcterms:created xsi:type="dcterms:W3CDTF">2019-07-10T07:34:00Z</dcterms:created>
  <dcterms:modified xsi:type="dcterms:W3CDTF">2019-07-10T07:34:00Z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1185014</vt:lpwstr>
  </property>
  <property fmtid="{D5CDD505-2E9C-101B-9397-08002B2CF9AE}" pid="5" name="&lt;Type&gt;">
    <vt:lpwstr>DT</vt:lpwstr>
  </property>
  <property fmtid="{D5CDD505-2E9C-101B-9397-08002B2CF9AE}" pid="6" name="&lt;ModelCod&gt;">
    <vt:lpwstr>\\eiciLUXpr1\pdocep$\DocEP\DOCS\General\DT\DT.dot(06/02/2019 08:44:04)</vt:lpwstr>
  </property>
  <property fmtid="{D5CDD505-2E9C-101B-9397-08002B2CF9AE}" pid="7" name="&lt;ModelTra&gt;">
    <vt:lpwstr>\\eiciLUXpr1\pdocep$\DocEP\TRANSFIL\LV\DT.LV(22/03/2016 08:29:52)</vt:lpwstr>
  </property>
  <property fmtid="{D5CDD505-2E9C-101B-9397-08002B2CF9AE}" pid="8" name="&lt;Model&gt;">
    <vt:lpwstr>DT</vt:lpwstr>
  </property>
  <property fmtid="{D5CDD505-2E9C-101B-9397-08002B2CF9AE}" pid="9" name="FooterPath">
    <vt:lpwstr>DT\1185014LV.docx</vt:lpwstr>
  </property>
  <property fmtid="{D5CDD505-2E9C-101B-9397-08002B2CF9AE}" pid="10" name="PE number">
    <vt:lpwstr>638.786</vt:lpwstr>
  </property>
  <property fmtid="{D5CDD505-2E9C-101B-9397-08002B2CF9AE}" pid="11" name="Bookout">
    <vt:lpwstr>OK - 2019/07/10 09:34</vt:lpwstr>
  </property>
  <property fmtid="{D5CDD505-2E9C-101B-9397-08002B2CF9AE}" pid="12" name="SDLStudio">
    <vt:lpwstr/>
  </property>
  <property fmtid="{D5CDD505-2E9C-101B-9397-08002B2CF9AE}" pid="13" name="&lt;Extension&gt;">
    <vt:lpwstr>LV</vt:lpwstr>
  </property>
</Properties>
</file>