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5E1CB9" w:rsidTr="00613F2E">
        <w:trPr>
          <w:trHeight w:hRule="exact" w:val="1418"/>
        </w:trPr>
        <w:tc>
          <w:tcPr>
            <w:tcW w:w="6804" w:type="dxa"/>
            <w:vAlign w:val="center"/>
            <w:hideMark/>
          </w:tcPr>
          <w:p w:rsidR="00613F2E" w:rsidRPr="005E1CB9" w:rsidRDefault="00B33BAB">
            <w:pPr>
              <w:pStyle w:val="EPName"/>
              <w:rPr>
                <w:lang w:val="en-GB"/>
              </w:rPr>
            </w:pPr>
            <w:r w:rsidRPr="005E1CB9">
              <w:rPr>
                <w:lang w:val="en-GB"/>
              </w:rPr>
              <w:t>European Parliament</w:t>
            </w:r>
          </w:p>
          <w:p w:rsidR="00613F2E" w:rsidRPr="005E1CB9" w:rsidRDefault="004B721F" w:rsidP="004B721F">
            <w:pPr>
              <w:pStyle w:val="EPTerm"/>
              <w:rPr>
                <w:rStyle w:val="HideTWBExt"/>
                <w:noProof w:val="0"/>
                <w:vanish w:val="0"/>
                <w:color w:val="auto"/>
                <w:lang w:val="en-GB"/>
              </w:rPr>
            </w:pPr>
            <w:r w:rsidRPr="005E1CB9">
              <w:t>2019-2024</w:t>
            </w:r>
          </w:p>
        </w:tc>
        <w:tc>
          <w:tcPr>
            <w:tcW w:w="2268" w:type="dxa"/>
            <w:hideMark/>
          </w:tcPr>
          <w:p w:rsidR="00613F2E" w:rsidRPr="005E1CB9" w:rsidRDefault="00506216">
            <w:pPr>
              <w:pStyle w:val="EPLogo"/>
            </w:pPr>
            <w:r w:rsidRPr="005E1C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50.95pt">
                  <v:imagedata r:id="rId8" o:title="EP logo RGB_Mute"/>
                </v:shape>
              </w:pict>
            </w:r>
          </w:p>
        </w:tc>
      </w:tr>
    </w:tbl>
    <w:p w:rsidR="009612AA" w:rsidRPr="005E1CB9" w:rsidRDefault="009612AA" w:rsidP="009612AA">
      <w:pPr>
        <w:pStyle w:val="LineTop"/>
        <w:rPr>
          <w:lang w:val="en-GB"/>
        </w:rPr>
      </w:pPr>
    </w:p>
    <w:p w:rsidR="009612AA" w:rsidRPr="005E1CB9" w:rsidRDefault="009612AA" w:rsidP="009612AA">
      <w:pPr>
        <w:pStyle w:val="ZCommittee"/>
        <w:rPr>
          <w:lang w:val="en-GB"/>
        </w:rPr>
      </w:pPr>
      <w:r w:rsidRPr="005E1CB9">
        <w:rPr>
          <w:rStyle w:val="HideTWBExt"/>
          <w:noProof w:val="0"/>
          <w:lang w:val="en-GB"/>
        </w:rPr>
        <w:t>&lt;</w:t>
      </w:r>
      <w:r w:rsidRPr="005E1CB9">
        <w:rPr>
          <w:rStyle w:val="HideTWBExt"/>
          <w:i w:val="0"/>
          <w:noProof w:val="0"/>
          <w:lang w:val="en-GB"/>
        </w:rPr>
        <w:t>Commission</w:t>
      </w:r>
      <w:r w:rsidRPr="005E1CB9">
        <w:rPr>
          <w:rStyle w:val="HideTWBExt"/>
          <w:noProof w:val="0"/>
          <w:lang w:val="en-GB"/>
        </w:rPr>
        <w:t>&gt;</w:t>
      </w:r>
      <w:r w:rsidR="004B721F" w:rsidRPr="005E1CB9">
        <w:rPr>
          <w:rStyle w:val="HideTWBInt"/>
          <w:lang w:val="en-GB"/>
        </w:rPr>
        <w:t>{INTA}</w:t>
      </w:r>
      <w:r w:rsidR="004B721F" w:rsidRPr="005E1CB9">
        <w:rPr>
          <w:lang w:val="en-GB"/>
        </w:rPr>
        <w:t>Committee on International Trade</w:t>
      </w:r>
      <w:r w:rsidRPr="005E1CB9">
        <w:rPr>
          <w:rStyle w:val="HideTWBExt"/>
          <w:noProof w:val="0"/>
          <w:lang w:val="en-GB"/>
        </w:rPr>
        <w:t>&lt;/</w:t>
      </w:r>
      <w:r w:rsidRPr="005E1CB9">
        <w:rPr>
          <w:rStyle w:val="HideTWBExt"/>
          <w:i w:val="0"/>
          <w:noProof w:val="0"/>
          <w:lang w:val="en-GB"/>
        </w:rPr>
        <w:t>Commission</w:t>
      </w:r>
      <w:r w:rsidRPr="005E1CB9">
        <w:rPr>
          <w:rStyle w:val="HideTWBExt"/>
          <w:noProof w:val="0"/>
          <w:lang w:val="en-GB"/>
        </w:rPr>
        <w:t>&gt;</w:t>
      </w:r>
    </w:p>
    <w:p w:rsidR="009612AA" w:rsidRPr="005E1CB9" w:rsidRDefault="009612AA" w:rsidP="009612AA">
      <w:pPr>
        <w:pStyle w:val="LineBottom"/>
      </w:pPr>
    </w:p>
    <w:p w:rsidR="00363B94" w:rsidRPr="005E1CB9" w:rsidRDefault="00363B94">
      <w:pPr>
        <w:pStyle w:val="RefProc"/>
      </w:pPr>
      <w:r w:rsidRPr="005E1CB9">
        <w:rPr>
          <w:rStyle w:val="HideTWBExt"/>
          <w:b w:val="0"/>
          <w:noProof w:val="0"/>
        </w:rPr>
        <w:t>&lt;</w:t>
      </w:r>
      <w:r w:rsidRPr="005E1CB9">
        <w:rPr>
          <w:rStyle w:val="HideTWBExt"/>
          <w:b w:val="0"/>
          <w:caps w:val="0"/>
          <w:noProof w:val="0"/>
        </w:rPr>
        <w:t>RefProc</w:t>
      </w:r>
      <w:r w:rsidRPr="005E1CB9">
        <w:rPr>
          <w:rStyle w:val="HideTWBExt"/>
          <w:b w:val="0"/>
          <w:noProof w:val="0"/>
        </w:rPr>
        <w:t>&gt;</w:t>
      </w:r>
      <w:r w:rsidR="004B721F" w:rsidRPr="005E1CB9">
        <w:t>2018/0358</w:t>
      </w:r>
      <w:r w:rsidRPr="005E1CB9">
        <w:rPr>
          <w:rStyle w:val="HideTWBExt"/>
          <w:b w:val="0"/>
          <w:noProof w:val="0"/>
        </w:rPr>
        <w:t>&lt;/</w:t>
      </w:r>
      <w:r w:rsidRPr="005E1CB9">
        <w:rPr>
          <w:rStyle w:val="HideTWBExt"/>
          <w:b w:val="0"/>
          <w:caps w:val="0"/>
          <w:noProof w:val="0"/>
        </w:rPr>
        <w:t>RefProc</w:t>
      </w:r>
      <w:r w:rsidRPr="005E1CB9">
        <w:rPr>
          <w:rStyle w:val="HideTWBExt"/>
          <w:b w:val="0"/>
          <w:noProof w:val="0"/>
        </w:rPr>
        <w:t>&gt;&lt;</w:t>
      </w:r>
      <w:r w:rsidRPr="005E1CB9">
        <w:rPr>
          <w:rStyle w:val="HideTWBExt"/>
          <w:b w:val="0"/>
          <w:caps w:val="0"/>
          <w:noProof w:val="0"/>
        </w:rPr>
        <w:t>RefTypeProc</w:t>
      </w:r>
      <w:r w:rsidRPr="005E1CB9">
        <w:rPr>
          <w:rStyle w:val="HideTWBExt"/>
          <w:b w:val="0"/>
          <w:noProof w:val="0"/>
        </w:rPr>
        <w:t>&gt;</w:t>
      </w:r>
      <w:r w:rsidRPr="005E1CB9">
        <w:t>(</w:t>
      </w:r>
      <w:r w:rsidR="004174FC" w:rsidRPr="005E1CB9">
        <w:t>NLE</w:t>
      </w:r>
      <w:r w:rsidRPr="005E1CB9">
        <w:t>)</w:t>
      </w:r>
      <w:r w:rsidRPr="005E1CB9">
        <w:rPr>
          <w:rStyle w:val="HideTWBExt"/>
          <w:b w:val="0"/>
          <w:noProof w:val="0"/>
        </w:rPr>
        <w:t>&lt;/</w:t>
      </w:r>
      <w:r w:rsidRPr="005E1CB9">
        <w:rPr>
          <w:rStyle w:val="HideTWBExt"/>
          <w:b w:val="0"/>
          <w:caps w:val="0"/>
          <w:noProof w:val="0"/>
        </w:rPr>
        <w:t>RefTypeProc</w:t>
      </w:r>
      <w:r w:rsidRPr="005E1CB9">
        <w:rPr>
          <w:rStyle w:val="HideTWBExt"/>
          <w:b w:val="0"/>
          <w:noProof w:val="0"/>
        </w:rPr>
        <w:t>&gt;</w:t>
      </w:r>
    </w:p>
    <w:p w:rsidR="00363B94" w:rsidRPr="005E1CB9" w:rsidRDefault="00363B94">
      <w:pPr>
        <w:pStyle w:val="ZDate"/>
      </w:pPr>
      <w:r w:rsidRPr="005E1CB9">
        <w:rPr>
          <w:rStyle w:val="HideTWBExt"/>
          <w:noProof w:val="0"/>
        </w:rPr>
        <w:t>&lt;Date&gt;</w:t>
      </w:r>
      <w:r w:rsidR="004B721F" w:rsidRPr="005E1CB9">
        <w:rPr>
          <w:rStyle w:val="HideTWBInt"/>
        </w:rPr>
        <w:t>{14/10/2019}</w:t>
      </w:r>
      <w:r w:rsidR="004B721F" w:rsidRPr="005E1CB9">
        <w:t>14.10.2019</w:t>
      </w:r>
      <w:r w:rsidRPr="005E1CB9">
        <w:rPr>
          <w:rStyle w:val="HideTWBExt"/>
          <w:noProof w:val="0"/>
        </w:rPr>
        <w:t>&lt;/Date&gt;</w:t>
      </w:r>
    </w:p>
    <w:p w:rsidR="00363B94" w:rsidRPr="005E1CB9" w:rsidRDefault="00363B94">
      <w:pPr>
        <w:pStyle w:val="StarsAndIs"/>
      </w:pPr>
      <w:r w:rsidRPr="005E1CB9">
        <w:rPr>
          <w:rStyle w:val="HideTWBExt"/>
          <w:b w:val="0"/>
          <w:noProof w:val="0"/>
        </w:rPr>
        <w:t>&lt;RefProcLect&gt;</w:t>
      </w:r>
      <w:r w:rsidRPr="005E1CB9">
        <w:t>***</w:t>
      </w:r>
      <w:r w:rsidRPr="005E1CB9">
        <w:rPr>
          <w:rStyle w:val="HideTWBExt"/>
          <w:b w:val="0"/>
          <w:noProof w:val="0"/>
        </w:rPr>
        <w:t>&lt;/RefProcLect&gt;</w:t>
      </w:r>
    </w:p>
    <w:p w:rsidR="00363B94" w:rsidRPr="005E1CB9" w:rsidRDefault="00363B94">
      <w:pPr>
        <w:pStyle w:val="TypeDoc"/>
      </w:pPr>
      <w:r w:rsidRPr="005E1CB9">
        <w:rPr>
          <w:rStyle w:val="HideTWBExt"/>
          <w:b w:val="0"/>
          <w:noProof w:val="0"/>
        </w:rPr>
        <w:t>&lt;TitreType&gt;</w:t>
      </w:r>
      <w:r w:rsidR="00B33BAB" w:rsidRPr="005E1CB9">
        <w:t>DRAFT RECOMMENDATION</w:t>
      </w:r>
      <w:r w:rsidRPr="005E1CB9">
        <w:rPr>
          <w:rStyle w:val="HideTWBExt"/>
          <w:b w:val="0"/>
          <w:noProof w:val="0"/>
        </w:rPr>
        <w:t>&lt;/TitreType&gt;</w:t>
      </w:r>
    </w:p>
    <w:p w:rsidR="00363B94" w:rsidRPr="005E1CB9" w:rsidRDefault="00363B94">
      <w:pPr>
        <w:pStyle w:val="CoverNormal"/>
      </w:pPr>
      <w:r w:rsidRPr="005E1CB9">
        <w:rPr>
          <w:rStyle w:val="HideTWBExt"/>
          <w:noProof w:val="0"/>
        </w:rPr>
        <w:t>&lt;Titre&gt;</w:t>
      </w:r>
      <w:r w:rsidR="00B33BAB" w:rsidRPr="005E1CB9">
        <w:t xml:space="preserve">on </w:t>
      </w:r>
      <w:r w:rsidR="004B721F" w:rsidRPr="005E1CB9">
        <w:t xml:space="preserve">the </w:t>
      </w:r>
      <w:r w:rsidR="00600A71" w:rsidRPr="005E1CB9">
        <w:t>draft</w:t>
      </w:r>
      <w:r w:rsidR="00B33BAB" w:rsidRPr="005E1CB9">
        <w:t xml:space="preserve"> Council decision </w:t>
      </w:r>
      <w:r w:rsidR="004B721F" w:rsidRPr="005E1CB9">
        <w:t>on the conclusion</w:t>
      </w:r>
      <w:r w:rsidR="00600A71" w:rsidRPr="005E1CB9">
        <w:t>, on behalf of the Union,</w:t>
      </w:r>
      <w:r w:rsidR="004B721F" w:rsidRPr="005E1CB9">
        <w:t xml:space="preserve"> of the Investment Protection Agreement between the European Union and its Member States, of the one part, and the Socialist Republic of Viet Nam, of the other part </w:t>
      </w:r>
      <w:r w:rsidRPr="005E1CB9">
        <w:rPr>
          <w:rStyle w:val="HideTWBExt"/>
          <w:noProof w:val="0"/>
        </w:rPr>
        <w:t>&lt;/Titre&gt;</w:t>
      </w:r>
    </w:p>
    <w:p w:rsidR="00363B94" w:rsidRPr="005E1CB9" w:rsidRDefault="00363B94">
      <w:pPr>
        <w:pStyle w:val="Cover24"/>
      </w:pPr>
      <w:r w:rsidRPr="005E1CB9">
        <w:rPr>
          <w:rStyle w:val="HideTWBExt"/>
          <w:noProof w:val="0"/>
        </w:rPr>
        <w:t>&lt;DocRef&gt;</w:t>
      </w:r>
      <w:r w:rsidR="00B33BAB" w:rsidRPr="005E1CB9">
        <w:t>(</w:t>
      </w:r>
      <w:r w:rsidR="00600A71" w:rsidRPr="005E1CB9">
        <w:t>05931/2019</w:t>
      </w:r>
      <w:r w:rsidR="00B33BAB" w:rsidRPr="005E1CB9">
        <w:t xml:space="preserve"> </w:t>
      </w:r>
      <w:r w:rsidR="004B721F" w:rsidRPr="005E1CB9">
        <w:t>–</w:t>
      </w:r>
      <w:r w:rsidR="00B33BAB" w:rsidRPr="005E1CB9">
        <w:t xml:space="preserve"> </w:t>
      </w:r>
      <w:r w:rsidR="004B721F" w:rsidRPr="005E1CB9">
        <w:t>C9</w:t>
      </w:r>
      <w:r w:rsidR="004B721F" w:rsidRPr="005E1CB9">
        <w:noBreakHyphen/>
        <w:t>0020/2019</w:t>
      </w:r>
      <w:r w:rsidR="00B33BAB" w:rsidRPr="005E1CB9">
        <w:t xml:space="preserve"> </w:t>
      </w:r>
      <w:r w:rsidR="004B721F" w:rsidRPr="005E1CB9">
        <w:t>–</w:t>
      </w:r>
      <w:r w:rsidR="00B33BAB" w:rsidRPr="005E1CB9">
        <w:t xml:space="preserve"> </w:t>
      </w:r>
      <w:r w:rsidR="004B721F" w:rsidRPr="005E1CB9">
        <w:t>2018/0358</w:t>
      </w:r>
      <w:r w:rsidR="00B33BAB" w:rsidRPr="005E1CB9">
        <w:t>(NLE))</w:t>
      </w:r>
      <w:r w:rsidRPr="005E1CB9">
        <w:rPr>
          <w:rStyle w:val="HideTWBExt"/>
          <w:noProof w:val="0"/>
        </w:rPr>
        <w:t>&lt;/DocRef&gt;</w:t>
      </w:r>
    </w:p>
    <w:p w:rsidR="00363B94" w:rsidRPr="005E1CB9" w:rsidRDefault="00363B94">
      <w:pPr>
        <w:pStyle w:val="Cover24"/>
      </w:pPr>
      <w:r w:rsidRPr="005E1CB9">
        <w:rPr>
          <w:rStyle w:val="HideTWBExt"/>
          <w:noProof w:val="0"/>
        </w:rPr>
        <w:t>&lt;Commission&gt;</w:t>
      </w:r>
      <w:r w:rsidR="004B721F" w:rsidRPr="005E1CB9">
        <w:rPr>
          <w:rStyle w:val="HideTWBInt"/>
        </w:rPr>
        <w:t>{INTA}</w:t>
      </w:r>
      <w:r w:rsidR="004B721F" w:rsidRPr="005E1CB9">
        <w:t>Committee on International Trade</w:t>
      </w:r>
      <w:r w:rsidRPr="005E1CB9">
        <w:rPr>
          <w:rStyle w:val="HideTWBExt"/>
          <w:noProof w:val="0"/>
        </w:rPr>
        <w:t>&lt;/Commission&gt;</w:t>
      </w:r>
    </w:p>
    <w:p w:rsidR="00363B94" w:rsidRPr="005E1CB9" w:rsidRDefault="00B33BAB">
      <w:pPr>
        <w:pStyle w:val="Cover24"/>
        <w:rPr>
          <w:lang w:val="fr-FR"/>
        </w:rPr>
      </w:pPr>
      <w:r w:rsidRPr="005E1CB9">
        <w:rPr>
          <w:lang w:val="fr-FR"/>
        </w:rPr>
        <w:t>Rapporteur:</w:t>
      </w:r>
      <w:r w:rsidR="00363B94" w:rsidRPr="005E1CB9">
        <w:rPr>
          <w:lang w:val="fr-FR"/>
        </w:rPr>
        <w:t xml:space="preserve"> </w:t>
      </w:r>
      <w:r w:rsidR="00363B94" w:rsidRPr="005E1CB9">
        <w:rPr>
          <w:rStyle w:val="HideTWBExt"/>
          <w:noProof w:val="0"/>
          <w:lang w:val="fr-FR"/>
        </w:rPr>
        <w:t>&lt;Depute&gt;</w:t>
      </w:r>
      <w:r w:rsidR="004B721F" w:rsidRPr="005E1CB9">
        <w:rPr>
          <w:lang w:val="fr-FR"/>
        </w:rPr>
        <w:t>Jan Zahradil</w:t>
      </w:r>
      <w:r w:rsidR="00363B94" w:rsidRPr="005E1CB9">
        <w:rPr>
          <w:rStyle w:val="HideTWBExt"/>
          <w:noProof w:val="0"/>
          <w:lang w:val="fr-FR"/>
        </w:rPr>
        <w:t>&lt;/Depute&gt;</w:t>
      </w:r>
    </w:p>
    <w:p w:rsidR="00B42885" w:rsidRPr="005E1CB9" w:rsidRDefault="00B42885" w:rsidP="00B42885">
      <w:pPr>
        <w:pStyle w:val="CoverNormal"/>
        <w:rPr>
          <w:lang w:val="fr-FR"/>
        </w:rPr>
      </w:pPr>
    </w:p>
    <w:p w:rsidR="00363B94" w:rsidRPr="005E1CB9" w:rsidRDefault="00363B94" w:rsidP="00613F2E">
      <w:pPr>
        <w:widowControl/>
        <w:tabs>
          <w:tab w:val="center" w:pos="4677"/>
        </w:tabs>
        <w:rPr>
          <w:lang w:val="fr-FR"/>
        </w:rPr>
      </w:pPr>
      <w:r w:rsidRPr="005E1CB9">
        <w:rPr>
          <w:lang w:val="fr-FR"/>
        </w:rPr>
        <w:br w:type="page"/>
      </w:r>
    </w:p>
    <w:p w:rsidR="004B721F" w:rsidRPr="005E1CB9" w:rsidRDefault="004B721F" w:rsidP="00016E55">
      <w:pPr>
        <w:rPr>
          <w:lang w:val="fr-FR"/>
        </w:rPr>
      </w:pPr>
      <w:r w:rsidRPr="005E1CB9">
        <w:rPr>
          <w:lang w:val="fr-FR"/>
        </w:rPr>
        <w:fldChar w:fldCharType="begin"/>
      </w:r>
      <w:r w:rsidRPr="005E1CB9">
        <w:rPr>
          <w:lang w:val="fr-FR"/>
        </w:rPr>
        <w:instrText xml:space="preserve"> TITLE  \* MERGEFORMAT </w:instrText>
      </w:r>
      <w:r w:rsidRPr="005E1CB9">
        <w:rPr>
          <w:lang w:val="fr-FR"/>
        </w:rPr>
        <w:fldChar w:fldCharType="separate"/>
      </w:r>
      <w:r w:rsidR="00CB06C9">
        <w:rPr>
          <w:lang w:val="fr-FR"/>
        </w:rPr>
        <w:t>PR_NLE-AP_Agreement</w:t>
      </w:r>
      <w:r w:rsidRPr="005E1CB9">
        <w:rPr>
          <w:lang w:val="fr-FR"/>
        </w:rPr>
        <w:fldChar w:fldCharType="end"/>
      </w:r>
    </w:p>
    <w:p w:rsidR="004B721F" w:rsidRPr="005E1CB9" w:rsidRDefault="004B721F" w:rsidP="00016E55">
      <w:pPr>
        <w:rPr>
          <w:lang w:val="fr-FR"/>
        </w:rPr>
      </w:pPr>
    </w:p>
    <w:p w:rsidR="004B721F" w:rsidRPr="005E1CB9" w:rsidRDefault="004B721F" w:rsidP="00016E55">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B721F" w:rsidRPr="005E1CB9">
        <w:tc>
          <w:tcPr>
            <w:tcW w:w="5811" w:type="dxa"/>
          </w:tcPr>
          <w:p w:rsidR="004B721F" w:rsidRPr="005E1CB9" w:rsidRDefault="004B721F" w:rsidP="00016E55">
            <w:pPr>
              <w:pStyle w:val="Lgendetitre"/>
            </w:pPr>
            <w:r w:rsidRPr="005E1CB9">
              <w:rPr>
                <w:lang w:val="fr-FR"/>
              </w:rPr>
              <w:t>Symbols for procedures</w:t>
            </w:r>
          </w:p>
        </w:tc>
      </w:tr>
      <w:tr w:rsidR="004B721F" w:rsidRPr="005E1CB9" w:rsidTr="004247A2">
        <w:trPr>
          <w:cantSplit/>
          <w:trHeight w:val="1807"/>
        </w:trPr>
        <w:tc>
          <w:tcPr>
            <w:tcW w:w="5811" w:type="dxa"/>
            <w:tcBorders>
              <w:bottom w:val="single" w:sz="4" w:space="0" w:color="auto"/>
            </w:tcBorders>
          </w:tcPr>
          <w:p w:rsidR="004B721F" w:rsidRPr="005E1CB9" w:rsidRDefault="004B721F" w:rsidP="00717061">
            <w:pPr>
              <w:pStyle w:val="Lgendesigne"/>
            </w:pPr>
            <w:r w:rsidRPr="005E1CB9">
              <w:tab/>
              <w:t>*</w:t>
            </w:r>
            <w:r w:rsidRPr="005E1CB9">
              <w:tab/>
              <w:t>Consultation procedure</w:t>
            </w:r>
          </w:p>
          <w:p w:rsidR="004B721F" w:rsidRPr="005E1CB9" w:rsidRDefault="004B721F" w:rsidP="00717061">
            <w:pPr>
              <w:pStyle w:val="Lgendesigne"/>
            </w:pPr>
            <w:r w:rsidRPr="005E1CB9">
              <w:tab/>
              <w:t>***</w:t>
            </w:r>
            <w:r w:rsidRPr="005E1CB9">
              <w:tab/>
              <w:t>Consent procedure</w:t>
            </w:r>
          </w:p>
          <w:p w:rsidR="004B721F" w:rsidRPr="005E1CB9" w:rsidRDefault="004B721F" w:rsidP="00717061">
            <w:pPr>
              <w:pStyle w:val="Lgendesigne"/>
            </w:pPr>
            <w:r w:rsidRPr="005E1CB9">
              <w:tab/>
              <w:t>***I</w:t>
            </w:r>
            <w:r w:rsidRPr="005E1CB9">
              <w:tab/>
              <w:t>Ordinary legislative procedure (first reading)</w:t>
            </w:r>
          </w:p>
          <w:p w:rsidR="004B721F" w:rsidRPr="005E1CB9" w:rsidRDefault="004B721F" w:rsidP="00717061">
            <w:pPr>
              <w:pStyle w:val="Lgendesigne"/>
            </w:pPr>
            <w:r w:rsidRPr="005E1CB9">
              <w:tab/>
              <w:t>***II</w:t>
            </w:r>
            <w:r w:rsidRPr="005E1CB9">
              <w:tab/>
              <w:t>Ordinary legislative procedure (second reading)</w:t>
            </w:r>
          </w:p>
          <w:p w:rsidR="004B721F" w:rsidRPr="005E1CB9" w:rsidRDefault="004B721F" w:rsidP="00717061">
            <w:pPr>
              <w:pStyle w:val="Lgendesigne"/>
            </w:pPr>
            <w:r w:rsidRPr="005E1CB9">
              <w:tab/>
              <w:t>***III</w:t>
            </w:r>
            <w:r w:rsidRPr="005E1CB9">
              <w:tab/>
              <w:t>Ordinary legislative procedure (third reading)</w:t>
            </w:r>
          </w:p>
          <w:p w:rsidR="004B721F" w:rsidRPr="005E1CB9" w:rsidRDefault="004B721F" w:rsidP="00717061">
            <w:pPr>
              <w:pStyle w:val="Lgendestandard"/>
            </w:pPr>
          </w:p>
          <w:p w:rsidR="004B721F" w:rsidRPr="005E1CB9" w:rsidRDefault="004B721F" w:rsidP="00717061">
            <w:pPr>
              <w:pStyle w:val="Lgendestandard"/>
            </w:pPr>
            <w:r w:rsidRPr="005E1CB9">
              <w:t>(The type of procedure depends on the legal basis proposed by the draft act.)</w:t>
            </w:r>
          </w:p>
          <w:p w:rsidR="004B721F" w:rsidRPr="005E1CB9" w:rsidRDefault="004B721F" w:rsidP="00B837B7">
            <w:pPr>
              <w:pStyle w:val="Lgendestandard"/>
            </w:pPr>
          </w:p>
        </w:tc>
      </w:tr>
    </w:tbl>
    <w:p w:rsidR="004B721F" w:rsidRPr="005E1CB9" w:rsidRDefault="004B721F" w:rsidP="00016E55"/>
    <w:p w:rsidR="00363B94" w:rsidRPr="005E1CB9" w:rsidRDefault="00363B94" w:rsidP="00613F2E">
      <w:pPr>
        <w:widowControl/>
        <w:tabs>
          <w:tab w:val="center" w:pos="4677"/>
        </w:tabs>
      </w:pPr>
    </w:p>
    <w:p w:rsidR="00E6288E" w:rsidRPr="005E1CB9" w:rsidRDefault="00363B94" w:rsidP="00E6288E">
      <w:pPr>
        <w:pStyle w:val="TOCHeading"/>
        <w:rPr>
          <w:lang w:val="fr-BE"/>
        </w:rPr>
      </w:pPr>
      <w:r w:rsidRPr="005E1CB9">
        <w:rPr>
          <w:lang w:val="fr-FR"/>
        </w:rPr>
        <w:br w:type="page"/>
      </w:r>
      <w:r w:rsidR="00E6288E" w:rsidRPr="005E1CB9">
        <w:rPr>
          <w:lang w:val="fr-BE"/>
        </w:rPr>
        <w:lastRenderedPageBreak/>
        <w:t>CONTENTS</w:t>
      </w:r>
    </w:p>
    <w:p w:rsidR="00E6288E" w:rsidRPr="005E1CB9" w:rsidRDefault="00E6288E" w:rsidP="00E6288E">
      <w:pPr>
        <w:pStyle w:val="TOCPage"/>
        <w:rPr>
          <w:lang w:val="fr-BE"/>
        </w:rPr>
      </w:pPr>
      <w:r w:rsidRPr="005E1CB9">
        <w:rPr>
          <w:lang w:val="fr-BE"/>
        </w:rPr>
        <w:t>Page</w:t>
      </w:r>
    </w:p>
    <w:p w:rsidR="00CB06C9" w:rsidRDefault="00E6288E">
      <w:pPr>
        <w:pStyle w:val="TOC1"/>
        <w:tabs>
          <w:tab w:val="right" w:leader="dot" w:pos="9060"/>
        </w:tabs>
        <w:rPr>
          <w:rFonts w:asciiTheme="minorHAnsi" w:eastAsiaTheme="minorEastAsia" w:hAnsiTheme="minorHAnsi" w:cstheme="minorBidi"/>
          <w:noProof/>
          <w:sz w:val="22"/>
          <w:szCs w:val="22"/>
        </w:rPr>
      </w:pPr>
      <w:r w:rsidRPr="005E1CB9">
        <w:rPr>
          <w:b/>
        </w:rPr>
        <w:fldChar w:fldCharType="begin"/>
      </w:r>
      <w:r w:rsidRPr="005E1CB9">
        <w:rPr>
          <w:b/>
          <w:lang w:val="fr-FR"/>
        </w:rPr>
        <w:instrText xml:space="preserve"> TOC \t "PageHeading</w:instrText>
      </w:r>
      <w:r w:rsidR="005F00FA" w:rsidRPr="005E1CB9">
        <w:rPr>
          <w:b/>
          <w:lang w:val="fr-FR"/>
        </w:rPr>
        <w:instrText>;</w:instrText>
      </w:r>
      <w:r w:rsidRPr="005E1CB9">
        <w:rPr>
          <w:b/>
          <w:lang w:val="fr-FR"/>
        </w:rPr>
        <w:instrText xml:space="preserve">1" </w:instrText>
      </w:r>
      <w:r w:rsidRPr="005E1CB9">
        <w:rPr>
          <w:b/>
        </w:rPr>
        <w:fldChar w:fldCharType="separate"/>
      </w:r>
      <w:r w:rsidR="00CB06C9">
        <w:rPr>
          <w:noProof/>
        </w:rPr>
        <w:t>DRAFT EUROPEAN PARLIAMENT LEGISLATIVE RESOLUTION</w:t>
      </w:r>
      <w:r w:rsidR="00CB06C9">
        <w:rPr>
          <w:noProof/>
        </w:rPr>
        <w:tab/>
      </w:r>
      <w:r w:rsidR="00CB06C9">
        <w:rPr>
          <w:noProof/>
        </w:rPr>
        <w:fldChar w:fldCharType="begin"/>
      </w:r>
      <w:r w:rsidR="00CB06C9">
        <w:rPr>
          <w:noProof/>
        </w:rPr>
        <w:instrText xml:space="preserve"> PAGEREF _Toc22052605 \h </w:instrText>
      </w:r>
      <w:r w:rsidR="00CB06C9">
        <w:rPr>
          <w:noProof/>
        </w:rPr>
      </w:r>
      <w:r w:rsidR="00CB06C9">
        <w:rPr>
          <w:noProof/>
        </w:rPr>
        <w:fldChar w:fldCharType="separate"/>
      </w:r>
      <w:r w:rsidR="00CB06C9">
        <w:rPr>
          <w:noProof/>
        </w:rPr>
        <w:t>5</w:t>
      </w:r>
      <w:r w:rsidR="00CB06C9">
        <w:rPr>
          <w:noProof/>
        </w:rPr>
        <w:fldChar w:fldCharType="end"/>
      </w:r>
    </w:p>
    <w:p w:rsidR="00CB06C9" w:rsidRDefault="00CB06C9">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_Toc22052606 \h </w:instrText>
      </w:r>
      <w:r>
        <w:rPr>
          <w:noProof/>
        </w:rPr>
      </w:r>
      <w:r>
        <w:rPr>
          <w:noProof/>
        </w:rPr>
        <w:fldChar w:fldCharType="separate"/>
      </w:r>
      <w:r>
        <w:rPr>
          <w:noProof/>
        </w:rPr>
        <w:t>6</w:t>
      </w:r>
      <w:r>
        <w:rPr>
          <w:noProof/>
        </w:rPr>
        <w:fldChar w:fldCharType="end"/>
      </w:r>
    </w:p>
    <w:p w:rsidR="00E6288E" w:rsidRPr="005E1CB9" w:rsidRDefault="00E6288E" w:rsidP="00E6288E">
      <w:r w:rsidRPr="005E1CB9">
        <w:rPr>
          <w:b/>
        </w:rPr>
        <w:fldChar w:fldCharType="end"/>
      </w:r>
    </w:p>
    <w:p w:rsidR="00E6288E" w:rsidRPr="005E1CB9" w:rsidRDefault="00E6288E" w:rsidP="00E6288E"/>
    <w:p w:rsidR="00E6288E" w:rsidRPr="005E1CB9" w:rsidRDefault="00E6288E" w:rsidP="00E6288E">
      <w:pPr>
        <w:pStyle w:val="PageHeading"/>
      </w:pPr>
    </w:p>
    <w:p w:rsidR="00E6288E" w:rsidRPr="005E1CB9" w:rsidRDefault="00E6288E" w:rsidP="00E6288E">
      <w:pPr>
        <w:pStyle w:val="Normal12"/>
      </w:pPr>
      <w:r w:rsidRPr="005E1CB9">
        <w:br w:type="page"/>
      </w:r>
    </w:p>
    <w:p w:rsidR="00E6288E" w:rsidRPr="005E1CB9" w:rsidRDefault="00E6288E" w:rsidP="00E6288E">
      <w:pPr>
        <w:pStyle w:val="PageHeading"/>
      </w:pPr>
      <w:r w:rsidRPr="005E1CB9">
        <w:rPr>
          <w:b w:val="0"/>
        </w:rPr>
        <w:br w:type="page"/>
      </w:r>
      <w:bookmarkStart w:id="0" w:name="_Toc22052605"/>
      <w:r w:rsidRPr="005E1CB9">
        <w:lastRenderedPageBreak/>
        <w:t>DRAFT EUROPEAN PARLIAMENT LEGISLATIVE RESOLUTION</w:t>
      </w:r>
      <w:bookmarkEnd w:id="0"/>
    </w:p>
    <w:p w:rsidR="00E6288E" w:rsidRPr="005E1CB9" w:rsidRDefault="00E6288E" w:rsidP="00E6288E">
      <w:pPr>
        <w:pStyle w:val="NormalBold"/>
      </w:pPr>
      <w:r w:rsidRPr="005E1CB9">
        <w:t xml:space="preserve">on the </w:t>
      </w:r>
      <w:r w:rsidR="00600A71" w:rsidRPr="005E1CB9">
        <w:t>draft</w:t>
      </w:r>
      <w:r w:rsidRPr="005E1CB9">
        <w:t xml:space="preserve"> Council decision on the conclusion</w:t>
      </w:r>
      <w:r w:rsidR="00600A71" w:rsidRPr="005E1CB9">
        <w:t>, on behalf of the Union,</w:t>
      </w:r>
      <w:r w:rsidRPr="005E1CB9">
        <w:t xml:space="preserve"> of the Investment Protection Agreement between the European Union and its Member States, of the one part, and the Socialist Republic of Viet Nam, of the other part</w:t>
      </w:r>
    </w:p>
    <w:p w:rsidR="00E6288E" w:rsidRPr="005E1CB9" w:rsidRDefault="00E6288E" w:rsidP="00E6288E">
      <w:pPr>
        <w:pStyle w:val="Normal12Bold"/>
      </w:pPr>
      <w:r w:rsidRPr="005E1CB9">
        <w:t>(</w:t>
      </w:r>
      <w:r w:rsidR="00600A71" w:rsidRPr="005E1CB9">
        <w:t>05931/2019</w:t>
      </w:r>
      <w:r w:rsidRPr="005E1CB9">
        <w:t xml:space="preserve"> – C9</w:t>
      </w:r>
      <w:r w:rsidRPr="005E1CB9">
        <w:noBreakHyphen/>
        <w:t>0020/2019 – 2018/0358(NLE))</w:t>
      </w:r>
    </w:p>
    <w:p w:rsidR="00E6288E" w:rsidRPr="005E1CB9" w:rsidRDefault="00E6288E" w:rsidP="00E6288E">
      <w:pPr>
        <w:pStyle w:val="Normal12Bold"/>
      </w:pPr>
      <w:r w:rsidRPr="005E1CB9">
        <w:t>(Consent)</w:t>
      </w:r>
    </w:p>
    <w:p w:rsidR="00E6288E" w:rsidRPr="005E1CB9" w:rsidRDefault="00E6288E" w:rsidP="00E6288E">
      <w:pPr>
        <w:pStyle w:val="Normal12"/>
      </w:pPr>
      <w:r w:rsidRPr="005E1CB9">
        <w:rPr>
          <w:i/>
        </w:rPr>
        <w:t>The European Parliament</w:t>
      </w:r>
      <w:r w:rsidRPr="005E1CB9">
        <w:t>,</w:t>
      </w:r>
    </w:p>
    <w:p w:rsidR="00E6288E" w:rsidRPr="005E1CB9" w:rsidRDefault="00E6288E" w:rsidP="00E6288E">
      <w:pPr>
        <w:pStyle w:val="Normal12Hanging"/>
      </w:pPr>
      <w:r w:rsidRPr="005E1CB9">
        <w:t>–</w:t>
      </w:r>
      <w:r w:rsidRPr="005E1CB9">
        <w:tab/>
        <w:t xml:space="preserve">having regard to the </w:t>
      </w:r>
      <w:r w:rsidR="00600A71" w:rsidRPr="005E1CB9">
        <w:t>draft</w:t>
      </w:r>
      <w:r w:rsidRPr="005E1CB9">
        <w:t xml:space="preserve"> Council decision (</w:t>
      </w:r>
      <w:r w:rsidR="00600A71" w:rsidRPr="005E1CB9">
        <w:t>05931/2019</w:t>
      </w:r>
      <w:r w:rsidRPr="005E1CB9">
        <w:t>),</w:t>
      </w:r>
    </w:p>
    <w:p w:rsidR="00E6288E" w:rsidRPr="005E1CB9" w:rsidRDefault="00E6288E" w:rsidP="00E6288E">
      <w:pPr>
        <w:pStyle w:val="Normal12Hanging"/>
      </w:pPr>
      <w:r w:rsidRPr="005E1CB9">
        <w:t>–</w:t>
      </w:r>
      <w:r w:rsidRPr="005E1CB9">
        <w:tab/>
        <w:t>having regard to draft Investment Protection Agreement between the European Union and its Member States, of the one part, and the Socialist Republic of Viet Nam, of the other part (</w:t>
      </w:r>
      <w:r w:rsidR="00600A71" w:rsidRPr="005E1CB9">
        <w:t>05932</w:t>
      </w:r>
      <w:r w:rsidRPr="005E1CB9">
        <w:t>/201</w:t>
      </w:r>
      <w:r w:rsidR="00600A71" w:rsidRPr="005E1CB9">
        <w:t>9</w:t>
      </w:r>
      <w:r w:rsidRPr="005E1CB9">
        <w:t>),</w:t>
      </w:r>
    </w:p>
    <w:p w:rsidR="00E6288E" w:rsidRPr="005E1CB9" w:rsidRDefault="00E6288E" w:rsidP="00E6288E">
      <w:pPr>
        <w:pStyle w:val="Normal12Hanging"/>
      </w:pPr>
      <w:r w:rsidRPr="005E1CB9">
        <w:t>–</w:t>
      </w:r>
      <w:r w:rsidRPr="005E1CB9">
        <w:tab/>
      </w:r>
      <w:r w:rsidRPr="005E1CB9">
        <w:rPr>
          <w:szCs w:val="24"/>
        </w:rPr>
        <w:t>having regard to the request for consent submitted by the Council in accordance with Article</w:t>
      </w:r>
      <w:r w:rsidRPr="005E1CB9">
        <w:rPr>
          <w:b/>
          <w:szCs w:val="24"/>
        </w:rPr>
        <w:t xml:space="preserve"> </w:t>
      </w:r>
      <w:r w:rsidRPr="005E1CB9">
        <w:rPr>
          <w:szCs w:val="24"/>
        </w:rPr>
        <w:t>207(4), first subparagraph</w:t>
      </w:r>
      <w:r w:rsidR="00600A71" w:rsidRPr="005E1CB9">
        <w:rPr>
          <w:szCs w:val="24"/>
        </w:rPr>
        <w:t>,</w:t>
      </w:r>
      <w:r w:rsidRPr="005E1CB9">
        <w:rPr>
          <w:szCs w:val="24"/>
        </w:rPr>
        <w:t xml:space="preserve"> and Article 218(6), second subparagraph, point (a)(v) of the Treaty on the Functioning of the European Union</w:t>
      </w:r>
      <w:r w:rsidR="00600A71" w:rsidRPr="005E1CB9">
        <w:rPr>
          <w:szCs w:val="24"/>
        </w:rPr>
        <w:t xml:space="preserve"> (C9-0020/2019)</w:t>
      </w:r>
      <w:r w:rsidRPr="005E1CB9">
        <w:rPr>
          <w:szCs w:val="24"/>
        </w:rPr>
        <w:t>,</w:t>
      </w:r>
    </w:p>
    <w:p w:rsidR="00E6288E" w:rsidRPr="005E1CB9" w:rsidRDefault="00E6288E" w:rsidP="00E6288E">
      <w:pPr>
        <w:pStyle w:val="Normal12Hanging"/>
      </w:pPr>
      <w:r w:rsidRPr="005E1CB9">
        <w:t>–</w:t>
      </w:r>
      <w:r w:rsidRPr="005E1CB9">
        <w:tab/>
        <w:t>having regard to its non-legislative resolution of ...</w:t>
      </w:r>
      <w:r w:rsidRPr="005E1CB9">
        <w:rPr>
          <w:rStyle w:val="FootnoteReference"/>
        </w:rPr>
        <w:footnoteReference w:id="1"/>
      </w:r>
      <w:r w:rsidRPr="005E1CB9">
        <w:t xml:space="preserve"> on the </w:t>
      </w:r>
      <w:r w:rsidR="00600A71" w:rsidRPr="005E1CB9">
        <w:t>draft</w:t>
      </w:r>
      <w:r w:rsidRPr="005E1CB9">
        <w:t xml:space="preserve"> decision,</w:t>
      </w:r>
    </w:p>
    <w:p w:rsidR="00E6288E" w:rsidRPr="005E1CB9" w:rsidRDefault="00E6288E" w:rsidP="00E6288E">
      <w:pPr>
        <w:pStyle w:val="Normal12Hanging"/>
      </w:pPr>
      <w:r w:rsidRPr="005E1CB9">
        <w:t>–</w:t>
      </w:r>
      <w:r w:rsidRPr="005E1CB9">
        <w:tab/>
        <w:t>having regard to Rule 105(1) and (4) and Rule 114(7) of its Rules of Procedure,</w:t>
      </w:r>
    </w:p>
    <w:p w:rsidR="00600A71" w:rsidRPr="005E1CB9" w:rsidRDefault="00600A71" w:rsidP="00E6288E">
      <w:pPr>
        <w:pStyle w:val="Normal12Hanging"/>
      </w:pPr>
      <w:r w:rsidRPr="005E1CB9">
        <w:rPr>
          <w:szCs w:val="24"/>
        </w:rPr>
        <w:t>–</w:t>
      </w:r>
      <w:r w:rsidRPr="005E1CB9">
        <w:rPr>
          <w:szCs w:val="24"/>
        </w:rPr>
        <w:tab/>
        <w:t>having regard to the opinion of the Committee on Development,</w:t>
      </w:r>
    </w:p>
    <w:p w:rsidR="00E6288E" w:rsidRPr="005E1CB9" w:rsidRDefault="00E6288E" w:rsidP="00E6288E">
      <w:pPr>
        <w:pStyle w:val="Normal12Hanging"/>
      </w:pPr>
      <w:r w:rsidRPr="005E1CB9">
        <w:t>–</w:t>
      </w:r>
      <w:r w:rsidRPr="005E1CB9">
        <w:tab/>
        <w:t>having regard to the recommendation of the Committee on International Trade (A9</w:t>
      </w:r>
      <w:r w:rsidRPr="005E1CB9">
        <w:noBreakHyphen/>
        <w:t>0000/2019),</w:t>
      </w:r>
    </w:p>
    <w:p w:rsidR="00E6288E" w:rsidRPr="005E1CB9" w:rsidRDefault="00E6288E" w:rsidP="00E6288E">
      <w:pPr>
        <w:pStyle w:val="Normal12Hanging"/>
      </w:pPr>
      <w:r w:rsidRPr="005E1CB9">
        <w:t>1.</w:t>
      </w:r>
      <w:r w:rsidRPr="005E1CB9">
        <w:tab/>
        <w:t xml:space="preserve">Gives its consent to </w:t>
      </w:r>
      <w:r w:rsidR="00A46F61" w:rsidRPr="005E1CB9">
        <w:t xml:space="preserve">the </w:t>
      </w:r>
      <w:r w:rsidRPr="005E1CB9">
        <w:t>conclusion of the agreement;</w:t>
      </w:r>
    </w:p>
    <w:p w:rsidR="00E6288E" w:rsidRPr="005E1CB9" w:rsidRDefault="00E6288E" w:rsidP="00E6288E">
      <w:pPr>
        <w:widowControl/>
        <w:ind w:left="567" w:hanging="567"/>
        <w:rPr>
          <w:szCs w:val="24"/>
        </w:rPr>
      </w:pPr>
      <w:r w:rsidRPr="005E1CB9">
        <w:t>2.</w:t>
      </w:r>
      <w:r w:rsidRPr="005E1CB9">
        <w:tab/>
        <w:t>Instructs its President to forward its position to the Council, the Commission and the governments and parliaments of the Member States and of the Socialist Republic of Viet Nam.</w:t>
      </w:r>
      <w:r w:rsidRPr="005E1CB9">
        <w:rPr>
          <w:szCs w:val="24"/>
        </w:rPr>
        <w:t xml:space="preserve"> </w:t>
      </w:r>
    </w:p>
    <w:p w:rsidR="00E6288E" w:rsidRPr="005E1CB9" w:rsidRDefault="00E6288E" w:rsidP="00E6288E">
      <w:pPr>
        <w:pStyle w:val="Normal12Hanging"/>
      </w:pPr>
    </w:p>
    <w:p w:rsidR="00E6288E" w:rsidRPr="005E1CB9" w:rsidRDefault="00E6288E" w:rsidP="00E6288E">
      <w:pPr>
        <w:pStyle w:val="PageHeading"/>
      </w:pPr>
      <w:r w:rsidRPr="005E1CB9">
        <w:rPr>
          <w:b w:val="0"/>
        </w:rPr>
        <w:br w:type="page"/>
      </w:r>
      <w:bookmarkStart w:id="1" w:name="_Toc527560720"/>
      <w:bookmarkStart w:id="2" w:name="_Toc22052606"/>
      <w:r w:rsidRPr="005E1CB9">
        <w:lastRenderedPageBreak/>
        <w:t>EXPLANATORY STATEMENT</w:t>
      </w:r>
      <w:bookmarkEnd w:id="1"/>
      <w:bookmarkEnd w:id="2"/>
      <w:r w:rsidRPr="005E1CB9">
        <w:t xml:space="preserve"> </w:t>
      </w:r>
    </w:p>
    <w:p w:rsidR="00E6288E" w:rsidRPr="005E1CB9" w:rsidRDefault="00E6288E" w:rsidP="00E6288E">
      <w:pPr>
        <w:pStyle w:val="Normal12Hanging"/>
        <w:ind w:left="0" w:firstLine="0"/>
        <w:jc w:val="both"/>
        <w:rPr>
          <w:szCs w:val="24"/>
        </w:rPr>
      </w:pPr>
      <w:r w:rsidRPr="005E1CB9">
        <w:rPr>
          <w:szCs w:val="24"/>
        </w:rPr>
        <w:t xml:space="preserve">EU Viet Nam Investment Protection Agreement (EVIPA) will help promote high-quality investment between Viet Nam and the EU. The EU’s updated approach to investment protection strikes a better balance between boosting as well as protecting job-creating investment whilst also protecting the government’s right to pursue policies in the public interest. </w:t>
      </w:r>
    </w:p>
    <w:p w:rsidR="00E6288E" w:rsidRPr="005E1CB9" w:rsidRDefault="00E6288E" w:rsidP="00E6288E">
      <w:pPr>
        <w:pStyle w:val="Normal12Hanging"/>
        <w:ind w:left="0" w:firstLine="0"/>
        <w:jc w:val="both"/>
      </w:pPr>
      <w:r w:rsidRPr="005E1CB9">
        <w:rPr>
          <w:szCs w:val="24"/>
        </w:rPr>
        <w:t>Following the entry into force of the Lisbon Treaty</w:t>
      </w:r>
      <w:r w:rsidRPr="005E1CB9">
        <w:t xml:space="preserve"> and i</w:t>
      </w:r>
      <w:r w:rsidRPr="005E1CB9">
        <w:rPr>
          <w:szCs w:val="24"/>
        </w:rPr>
        <w:t xml:space="preserve">n light of the EU’s exclusive competence on foreign direct investment, including investment protection acquired, EU negotiators included investment protection provisions </w:t>
      </w:r>
      <w:r w:rsidRPr="005E1CB9">
        <w:t xml:space="preserve">in the EU-Viet Nam and in the EU-Singapore FTAs. Both agreements were to a large extent </w:t>
      </w:r>
      <w:r w:rsidRPr="005E1CB9">
        <w:rPr>
          <w:szCs w:val="24"/>
        </w:rPr>
        <w:t>similar and included an identical legal structure</w:t>
      </w:r>
      <w:r w:rsidRPr="005E1CB9">
        <w:t xml:space="preserve">. In 2015, </w:t>
      </w:r>
      <w:r w:rsidRPr="005E1CB9">
        <w:rPr>
          <w:szCs w:val="24"/>
        </w:rPr>
        <w:t>the Commission decided to request the opinion of the Court of Justice of the EU on the EU’s competence to sign and conclude the EU-Singapore FTA by itself or whether the participation of Member States was required</w:t>
      </w:r>
      <w:r w:rsidRPr="005E1CB9">
        <w:t>. The opinion was released on 16 May 2017 and, on that basis, following discussions between the EU institutions on the new architecture of future FTAs, the FTAs with both Viet Nam and with Singapore were split into EU-only free trade agreements and mixed investment protection agreements.</w:t>
      </w:r>
    </w:p>
    <w:p w:rsidR="00E6288E" w:rsidRPr="005E1CB9" w:rsidRDefault="00E6288E" w:rsidP="00E6288E">
      <w:pPr>
        <w:pStyle w:val="Normal12Hanging"/>
        <w:ind w:left="0" w:firstLine="0"/>
        <w:jc w:val="both"/>
      </w:pPr>
      <w:r w:rsidRPr="005E1CB9">
        <w:t>The main elements of the EU Viet Nam Investment Protection Agreement (EVIPA) include:</w:t>
      </w:r>
    </w:p>
    <w:p w:rsidR="00E6288E" w:rsidRPr="005E1CB9" w:rsidRDefault="00E6288E" w:rsidP="00E6288E">
      <w:pPr>
        <w:pStyle w:val="Normal12Hanging"/>
        <w:ind w:left="720" w:hanging="360"/>
        <w:jc w:val="both"/>
      </w:pPr>
      <w:r w:rsidRPr="005E1CB9">
        <w:rPr>
          <w:rFonts w:ascii="Symbol" w:hAnsi="Symbol"/>
        </w:rPr>
        <w:t></w:t>
      </w:r>
      <w:r w:rsidRPr="005E1CB9">
        <w:rPr>
          <w:rFonts w:ascii="Symbol" w:hAnsi="Symbol"/>
        </w:rPr>
        <w:tab/>
      </w:r>
      <w:r w:rsidRPr="005E1CB9">
        <w:t xml:space="preserve">Precise </w:t>
      </w:r>
      <w:r w:rsidRPr="005E1CB9">
        <w:rPr>
          <w:b/>
        </w:rPr>
        <w:t>standards on investment</w:t>
      </w:r>
      <w:r w:rsidRPr="005E1CB9">
        <w:t xml:space="preserve"> such as: non-discrimination; no expropriation without prompt and adequate compensation; possibility to transfer and repatriate funds relating to an investment; a general guarantee of fair and equitable treatment and physical security; a commitment that governments will respect their own written and legally binding contractual obligations towards an investor; a commitment to compensate for losses in certain circumstances linked to war or armed conflict.</w:t>
      </w:r>
    </w:p>
    <w:p w:rsidR="00E6288E" w:rsidRPr="005E1CB9" w:rsidRDefault="00E6288E" w:rsidP="00E6288E">
      <w:pPr>
        <w:pStyle w:val="Normal12Hanging"/>
        <w:ind w:left="709" w:hanging="425"/>
        <w:jc w:val="both"/>
      </w:pPr>
      <w:r w:rsidRPr="005E1CB9">
        <w:rPr>
          <w:rFonts w:ascii="Symbol" w:hAnsi="Symbol"/>
        </w:rPr>
        <w:t></w:t>
      </w:r>
      <w:r w:rsidRPr="005E1CB9">
        <w:rPr>
          <w:rFonts w:ascii="Symbol" w:hAnsi="Symbol"/>
        </w:rPr>
        <w:tab/>
      </w:r>
      <w:r w:rsidRPr="005E1CB9">
        <w:t xml:space="preserve">Effective and, permanent and independent </w:t>
      </w:r>
      <w:r w:rsidRPr="005E1CB9">
        <w:rPr>
          <w:b/>
        </w:rPr>
        <w:t>mechanism for avoiding and settling any dispute</w:t>
      </w:r>
      <w:r w:rsidRPr="005E1CB9">
        <w:t xml:space="preserve"> through a standing international and independent Investment Tribunal System. The Members of the Tribunal System will be appointed in advance by the EU and by Viet Nam and will be subject to strict requirements of independence and integrity. In the second instance, it will be possible to appeal to a permanent Appeal Tribunal. Transparency of the proceedings is ensured through the publication of documents and hearings open to the public. A final award must be enforced- domestic courts will not be allowed to intervene or question the decision of the Tribunal to ensure transparency and fair and equitable treatment.</w:t>
      </w:r>
    </w:p>
    <w:p w:rsidR="00E6288E" w:rsidRPr="005E1CB9" w:rsidRDefault="00E6288E" w:rsidP="00E6288E">
      <w:pPr>
        <w:pStyle w:val="Normal12Hanging"/>
        <w:ind w:left="720" w:hanging="360"/>
        <w:jc w:val="both"/>
      </w:pPr>
      <w:r w:rsidRPr="005E1CB9">
        <w:rPr>
          <w:rFonts w:ascii="Symbol" w:hAnsi="Symbol"/>
        </w:rPr>
        <w:t></w:t>
      </w:r>
      <w:r w:rsidRPr="005E1CB9">
        <w:rPr>
          <w:rFonts w:ascii="Symbol" w:hAnsi="Symbol"/>
        </w:rPr>
        <w:tab/>
      </w:r>
      <w:r w:rsidRPr="005E1CB9">
        <w:t>Precise definitions when governments are in breach of the fair and equitable treatment obligation, which remove the scope for discretionary interpretation.</w:t>
      </w:r>
    </w:p>
    <w:p w:rsidR="00E6288E" w:rsidRPr="005E1CB9" w:rsidRDefault="00E6288E" w:rsidP="00E6288E">
      <w:pPr>
        <w:pStyle w:val="Normal12Hanging"/>
        <w:ind w:left="720" w:hanging="360"/>
        <w:jc w:val="both"/>
      </w:pPr>
      <w:r w:rsidRPr="005E1CB9">
        <w:rPr>
          <w:rFonts w:ascii="Symbol" w:hAnsi="Symbol"/>
        </w:rPr>
        <w:t></w:t>
      </w:r>
      <w:r w:rsidRPr="005E1CB9">
        <w:rPr>
          <w:rFonts w:ascii="Symbol" w:hAnsi="Symbol"/>
        </w:rPr>
        <w:tab/>
      </w:r>
      <w:r w:rsidRPr="005E1CB9">
        <w:t>Safeguards against potential abuses of the system, like the prohibition of multiple and parallel claims, and provisions allowing for the early dismissal of manifestly unfounded claims. The application of the ‘loser-pays principle’ applies to the allocation of procedural costs.</w:t>
      </w:r>
    </w:p>
    <w:p w:rsidR="00E6288E" w:rsidRPr="005E1CB9" w:rsidRDefault="00E6288E" w:rsidP="00E6288E">
      <w:pPr>
        <w:pStyle w:val="Normal12Hanging"/>
        <w:ind w:left="0" w:firstLine="0"/>
        <w:jc w:val="both"/>
      </w:pPr>
      <w:r w:rsidRPr="005E1CB9">
        <w:t>The EVIPA is almost identical to the EU-Singapore IPA and goes beyond the investment protection provisions in CETA (fully functioning Appellate Tribunal, a code of conduct for the members of the Tribunals).</w:t>
      </w:r>
    </w:p>
    <w:p w:rsidR="00E6288E" w:rsidRPr="005E1CB9" w:rsidRDefault="00E6288E" w:rsidP="00E6288E">
      <w:pPr>
        <w:pStyle w:val="Normal12Hanging"/>
        <w:ind w:left="0" w:firstLine="0"/>
        <w:jc w:val="both"/>
      </w:pPr>
      <w:r w:rsidRPr="005E1CB9">
        <w:lastRenderedPageBreak/>
        <w:t>Similar to the Singapore IPA, EVIPA does not include a separate TSD chapter. It does contain, however, in the preamble specific references to the PCA and EUVFTA as well as values and principles that are enshrined therein, including in the TSD chapter.</w:t>
      </w:r>
      <w:r w:rsidRPr="005E1CB9">
        <w:rPr>
          <w:b/>
          <w:i/>
        </w:rPr>
        <w:t xml:space="preserve"> </w:t>
      </w:r>
    </w:p>
    <w:p w:rsidR="00E6288E" w:rsidRPr="005E1CB9" w:rsidRDefault="00E6288E" w:rsidP="00E6288E">
      <w:pPr>
        <w:pStyle w:val="Normal12Hanging"/>
        <w:ind w:left="0" w:firstLine="0"/>
        <w:jc w:val="both"/>
      </w:pPr>
      <w:r w:rsidRPr="005E1CB9">
        <w:rPr>
          <w:szCs w:val="24"/>
        </w:rPr>
        <w:t>The existing 21 Bilateral Investment Treaties (BITs) in force between Viet Nam and EU Member States will be replaced by the EVIPA once it enters into force.</w:t>
      </w:r>
    </w:p>
    <w:p w:rsidR="00E6288E" w:rsidRPr="005E1CB9" w:rsidRDefault="00E6288E" w:rsidP="00E6288E">
      <w:pPr>
        <w:pStyle w:val="Normal12Hanging"/>
      </w:pPr>
      <w:r w:rsidRPr="005E1CB9">
        <w:rPr>
          <w:szCs w:val="24"/>
        </w:rPr>
        <w:t>Your rapporteur recommends to give consent to the agreement.</w:t>
      </w:r>
      <w:bookmarkStart w:id="3" w:name="_GoBack"/>
      <w:bookmarkEnd w:id="3"/>
    </w:p>
    <w:sectPr w:rsidR="00E6288E" w:rsidRPr="005E1CB9" w:rsidSect="005E1CB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AB" w:rsidRPr="00B33BAB" w:rsidRDefault="00B33BAB">
      <w:r w:rsidRPr="00B33BAB">
        <w:separator/>
      </w:r>
    </w:p>
  </w:endnote>
  <w:endnote w:type="continuationSeparator" w:id="0">
    <w:p w:rsidR="00B33BAB" w:rsidRPr="00B33BAB" w:rsidRDefault="00B33BAB">
      <w:r w:rsidRPr="00B33B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B9" w:rsidRDefault="005E1CB9" w:rsidP="005E1CB9">
    <w:pPr>
      <w:pStyle w:val="Footer"/>
      <w:rPr>
        <w:lang w:val="fr-FR"/>
      </w:rPr>
    </w:pPr>
    <w:r>
      <w:rPr>
        <w:lang w:val="fr-FR"/>
      </w:rPr>
      <w:t>PE</w:t>
    </w:r>
    <w:r w:rsidRPr="005E1CB9">
      <w:rPr>
        <w:rStyle w:val="HideTWBExt"/>
      </w:rPr>
      <w:t>&lt;NoPE&gt;</w:t>
    </w:r>
    <w:r>
      <w:rPr>
        <w:lang w:val="fr-FR"/>
      </w:rPr>
      <w:t>642.860</w:t>
    </w:r>
    <w:r w:rsidRPr="005E1CB9">
      <w:rPr>
        <w:rStyle w:val="HideTWBExt"/>
      </w:rPr>
      <w:t>&lt;/NoPE&gt;&lt;Version&gt;</w:t>
    </w:r>
    <w:r>
      <w:rPr>
        <w:lang w:val="fr-FR"/>
      </w:rPr>
      <w:t>v01-00</w:t>
    </w:r>
    <w:r w:rsidRPr="005E1CB9">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CB06C9">
      <w:rPr>
        <w:noProof/>
        <w:lang w:val="fr-FR"/>
      </w:rPr>
      <w:t>6</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CB06C9">
      <w:rPr>
        <w:noProof/>
        <w:lang w:val="fr-FR"/>
      </w:rPr>
      <w:t>7</w:t>
    </w:r>
    <w:r>
      <w:rPr>
        <w:lang w:val="fr-FR"/>
      </w:rPr>
      <w:fldChar w:fldCharType="end"/>
    </w:r>
    <w:r>
      <w:rPr>
        <w:lang w:val="fr-FR"/>
      </w:rPr>
      <w:tab/>
    </w:r>
    <w:r w:rsidRPr="005E1CB9">
      <w:rPr>
        <w:rStyle w:val="HideTWBExt"/>
      </w:rPr>
      <w:t>&lt;PathFdR&gt;</w:t>
    </w:r>
    <w:r>
      <w:rPr>
        <w:lang w:val="fr-FR"/>
      </w:rPr>
      <w:t>PR\1190488EN.docx</w:t>
    </w:r>
    <w:r w:rsidRPr="005E1CB9">
      <w:rPr>
        <w:rStyle w:val="HideTWBExt"/>
      </w:rPr>
      <w:t>&lt;/PathFdR&gt;</w:t>
    </w:r>
  </w:p>
  <w:p w:rsidR="0085501C" w:rsidRPr="005E1CB9" w:rsidRDefault="005E1CB9" w:rsidP="005E1CB9">
    <w:pPr>
      <w:pStyle w:val="Footer2"/>
      <w:rPr>
        <w:lang w:val="fr-FR"/>
      </w:rPr>
    </w:pPr>
    <w:r>
      <w:rPr>
        <w:lang w:val="fr-FR"/>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B9" w:rsidRDefault="005E1CB9" w:rsidP="005E1CB9">
    <w:pPr>
      <w:pStyle w:val="Footer"/>
    </w:pPr>
    <w:r w:rsidRPr="005E1CB9">
      <w:rPr>
        <w:rStyle w:val="HideTWBExt"/>
      </w:rPr>
      <w:t>&lt;PathFdR&gt;</w:t>
    </w:r>
    <w:r>
      <w:t>PR\1190488EN.docx</w:t>
    </w:r>
    <w:r w:rsidRPr="005E1CB9">
      <w:rPr>
        <w:rStyle w:val="HideTWBExt"/>
      </w:rPr>
      <w:t>&lt;/PathFdR&gt;</w:t>
    </w:r>
    <w:r>
      <w:tab/>
    </w:r>
    <w:r>
      <w:fldChar w:fldCharType="begin"/>
    </w:r>
    <w:r>
      <w:instrText xml:space="preserve"> PAGE  \* MERGEFORMAT </w:instrText>
    </w:r>
    <w:r>
      <w:fldChar w:fldCharType="separate"/>
    </w:r>
    <w:r w:rsidR="00CB06C9">
      <w:rPr>
        <w:noProof/>
      </w:rPr>
      <w:t>7</w:t>
    </w:r>
    <w:r>
      <w:fldChar w:fldCharType="end"/>
    </w:r>
    <w:r>
      <w:t>/</w:t>
    </w:r>
    <w:fldSimple w:instr=" NUMPAGES  \* MERGEFORMAT ">
      <w:r w:rsidR="00CB06C9">
        <w:rPr>
          <w:noProof/>
        </w:rPr>
        <w:t>7</w:t>
      </w:r>
    </w:fldSimple>
    <w:r>
      <w:tab/>
      <w:t>PE</w:t>
    </w:r>
    <w:r w:rsidRPr="005E1CB9">
      <w:rPr>
        <w:rStyle w:val="HideTWBExt"/>
      </w:rPr>
      <w:t>&lt;NoPE&gt;</w:t>
    </w:r>
    <w:r>
      <w:t>642.860</w:t>
    </w:r>
    <w:r w:rsidRPr="005E1CB9">
      <w:rPr>
        <w:rStyle w:val="HideTWBExt"/>
      </w:rPr>
      <w:t>&lt;/NoPE&gt;&lt;Version&gt;</w:t>
    </w:r>
    <w:r>
      <w:t>v01-00</w:t>
    </w:r>
    <w:r w:rsidRPr="005E1CB9">
      <w:rPr>
        <w:rStyle w:val="HideTWBExt"/>
      </w:rPr>
      <w:t>&lt;/Version&gt;</w:t>
    </w:r>
  </w:p>
  <w:p w:rsidR="0085501C" w:rsidRPr="00B33BAB" w:rsidRDefault="005E1CB9" w:rsidP="005E1CB9">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B9" w:rsidRDefault="005E1CB9" w:rsidP="005E1CB9">
    <w:pPr>
      <w:pStyle w:val="Footer"/>
    </w:pPr>
    <w:r w:rsidRPr="005E1CB9">
      <w:rPr>
        <w:rStyle w:val="HideTWBExt"/>
      </w:rPr>
      <w:t>&lt;PathFdR&gt;</w:t>
    </w:r>
    <w:r>
      <w:t>PR\1190488EN.docx</w:t>
    </w:r>
    <w:r w:rsidRPr="005E1CB9">
      <w:rPr>
        <w:rStyle w:val="HideTWBExt"/>
      </w:rPr>
      <w:t>&lt;/PathFdR&gt;</w:t>
    </w:r>
    <w:r>
      <w:tab/>
    </w:r>
    <w:r>
      <w:tab/>
      <w:t>PE</w:t>
    </w:r>
    <w:r w:rsidRPr="005E1CB9">
      <w:rPr>
        <w:rStyle w:val="HideTWBExt"/>
      </w:rPr>
      <w:t>&lt;NoPE&gt;</w:t>
    </w:r>
    <w:r>
      <w:t>642.860</w:t>
    </w:r>
    <w:r w:rsidRPr="005E1CB9">
      <w:rPr>
        <w:rStyle w:val="HideTWBExt"/>
      </w:rPr>
      <w:t>&lt;/NoPE&gt;&lt;Version&gt;</w:t>
    </w:r>
    <w:r>
      <w:t>v01-00</w:t>
    </w:r>
    <w:r w:rsidRPr="005E1CB9">
      <w:rPr>
        <w:rStyle w:val="HideTWBExt"/>
      </w:rPr>
      <w:t>&lt;/Version&gt;</w:t>
    </w:r>
  </w:p>
  <w:p w:rsidR="0085501C" w:rsidRPr="00B33BAB" w:rsidRDefault="005E1CB9" w:rsidP="005E1CB9">
    <w:pPr>
      <w:pStyle w:val="Footer2"/>
      <w:tabs>
        <w:tab w:val="center" w:pos="4535"/>
      </w:tabs>
    </w:pPr>
    <w:r>
      <w:t>EN</w:t>
    </w:r>
    <w:r>
      <w:tab/>
    </w:r>
    <w:r w:rsidRPr="005E1CB9">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AB" w:rsidRPr="00B33BAB" w:rsidRDefault="00B33BAB">
      <w:r w:rsidRPr="00B33BAB">
        <w:separator/>
      </w:r>
    </w:p>
  </w:footnote>
  <w:footnote w:type="continuationSeparator" w:id="0">
    <w:p w:rsidR="00B33BAB" w:rsidRPr="00B33BAB" w:rsidRDefault="00B33BAB">
      <w:r w:rsidRPr="00B33BAB">
        <w:continuationSeparator/>
      </w:r>
    </w:p>
  </w:footnote>
  <w:footnote w:id="1">
    <w:p w:rsidR="00E6288E" w:rsidRDefault="00E6288E" w:rsidP="00E6288E">
      <w:pPr>
        <w:pStyle w:val="FootnoteText"/>
      </w:pPr>
      <w:r>
        <w:rPr>
          <w:rStyle w:val="FootnoteReference"/>
        </w:rPr>
        <w:footnoteRef/>
      </w:r>
      <w:r>
        <w:t xml:space="preserve"> Texts adopted of that date, P8_TA(0000)0000.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1F" w:rsidRDefault="004B7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1F" w:rsidRDefault="004B7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1F" w:rsidRDefault="004B7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NTA"/>
    <w:docVar w:name="CopyToNetwork" w:val="-1"/>
    <w:docVar w:name="LastEditedSection" w:val=" 1"/>
    <w:docVar w:name="strDocTypeID" w:val="PR_NLE-AP_Agreement"/>
    <w:docVar w:name="strSubDir" w:val="1190"/>
    <w:docVar w:name="TITLEMNU" w:val=" 1"/>
    <w:docVar w:name="TXTAUTHOR" w:val="Jan Zahradil"/>
    <w:docVar w:name="TXTLANGUE" w:val="EN"/>
    <w:docVar w:name="TXTLANGUEMIN" w:val="en"/>
    <w:docVar w:name="TXTNRC" w:val="0020/2019"/>
    <w:docVar w:name="TXTNRCOM" w:val="2018/0694"/>
    <w:docVar w:name="TXTNRNLE" w:val="2018/0358"/>
    <w:docVar w:name="TXTNRPE" w:val="642.860"/>
    <w:docVar w:name="TXTPEorAP" w:val="PE"/>
    <w:docVar w:name="TXTROUTE" w:val="PR\1190488EN.docx"/>
    <w:docVar w:name="TXTTITLE" w:val=" on the conclusion of the Investment Protection Agreement between the European Union and its Member States, of the one part, and the Socialist Republic of Viet Nam, of the other part "/>
    <w:docVar w:name="TXTVERSION" w:val="01-00"/>
  </w:docVars>
  <w:rsids>
    <w:rsidRoot w:val="00B33BAB"/>
    <w:rsid w:val="00001D52"/>
    <w:rsid w:val="0000443F"/>
    <w:rsid w:val="000C123D"/>
    <w:rsid w:val="000D78AF"/>
    <w:rsid w:val="00180664"/>
    <w:rsid w:val="001D02E3"/>
    <w:rsid w:val="002E2E20"/>
    <w:rsid w:val="003072BE"/>
    <w:rsid w:val="00336372"/>
    <w:rsid w:val="00363B94"/>
    <w:rsid w:val="004174FC"/>
    <w:rsid w:val="00460BD6"/>
    <w:rsid w:val="004859B3"/>
    <w:rsid w:val="004B721F"/>
    <w:rsid w:val="004E1650"/>
    <w:rsid w:val="00506216"/>
    <w:rsid w:val="005D0B97"/>
    <w:rsid w:val="005E1CB9"/>
    <w:rsid w:val="005F00FA"/>
    <w:rsid w:val="005F5D6C"/>
    <w:rsid w:val="00600A71"/>
    <w:rsid w:val="006132CE"/>
    <w:rsid w:val="00613F2E"/>
    <w:rsid w:val="006476C4"/>
    <w:rsid w:val="006776CE"/>
    <w:rsid w:val="006A2CF5"/>
    <w:rsid w:val="006F1B6F"/>
    <w:rsid w:val="0080122F"/>
    <w:rsid w:val="008368CB"/>
    <w:rsid w:val="0085501C"/>
    <w:rsid w:val="008B75A4"/>
    <w:rsid w:val="008D3030"/>
    <w:rsid w:val="00924EE0"/>
    <w:rsid w:val="009612AA"/>
    <w:rsid w:val="00A46F61"/>
    <w:rsid w:val="00B05A5B"/>
    <w:rsid w:val="00B31D18"/>
    <w:rsid w:val="00B33BAB"/>
    <w:rsid w:val="00B42885"/>
    <w:rsid w:val="00B50C20"/>
    <w:rsid w:val="00BB41C8"/>
    <w:rsid w:val="00BE5E72"/>
    <w:rsid w:val="00BF0A0F"/>
    <w:rsid w:val="00BF2E15"/>
    <w:rsid w:val="00BF7F55"/>
    <w:rsid w:val="00C15447"/>
    <w:rsid w:val="00CB06C9"/>
    <w:rsid w:val="00CC20CB"/>
    <w:rsid w:val="00CF44DF"/>
    <w:rsid w:val="00D04E0B"/>
    <w:rsid w:val="00D62DA0"/>
    <w:rsid w:val="00DF594D"/>
    <w:rsid w:val="00E059D9"/>
    <w:rsid w:val="00E14FEE"/>
    <w:rsid w:val="00E6288E"/>
    <w:rsid w:val="00E71368"/>
    <w:rsid w:val="00E93816"/>
    <w:rsid w:val="00EF48F2"/>
    <w:rsid w:val="00F6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1F56B61-5E16-4E5B-8B61-5F4CF093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lang w:val="fr-FR"/>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lang w:val="fr-FR"/>
    </w:rPr>
  </w:style>
  <w:style w:type="paragraph" w:customStyle="1" w:styleId="EPLogo">
    <w:name w:val="EPLogo"/>
    <w:basedOn w:val="Normal"/>
    <w:qFormat/>
    <w:rsid w:val="00613F2E"/>
    <w:pPr>
      <w:jc w:val="right"/>
    </w:pPr>
  </w:style>
  <w:style w:type="paragraph" w:customStyle="1" w:styleId="Lgendesigne">
    <w:name w:val="Légende signe"/>
    <w:basedOn w:val="Normal"/>
    <w:rsid w:val="004B721F"/>
    <w:pPr>
      <w:tabs>
        <w:tab w:val="right" w:pos="454"/>
        <w:tab w:val="left" w:pos="737"/>
      </w:tabs>
      <w:ind w:left="737" w:hanging="737"/>
    </w:pPr>
    <w:rPr>
      <w:snapToGrid w:val="0"/>
      <w:sz w:val="18"/>
      <w:lang w:eastAsia="en-US"/>
    </w:rPr>
  </w:style>
  <w:style w:type="paragraph" w:customStyle="1" w:styleId="Lgendetitre">
    <w:name w:val="Légende titre"/>
    <w:basedOn w:val="Normal"/>
    <w:rsid w:val="004B721F"/>
    <w:pPr>
      <w:spacing w:before="240" w:after="240"/>
    </w:pPr>
    <w:rPr>
      <w:b/>
      <w:i/>
      <w:snapToGrid w:val="0"/>
      <w:lang w:eastAsia="en-US"/>
    </w:rPr>
  </w:style>
  <w:style w:type="paragraph" w:customStyle="1" w:styleId="Lgendestandard">
    <w:name w:val="Légende standard"/>
    <w:basedOn w:val="Normal"/>
    <w:rsid w:val="004B721F"/>
    <w:rPr>
      <w:sz w:val="18"/>
    </w:rPr>
  </w:style>
  <w:style w:type="paragraph" w:styleId="FootnoteText">
    <w:name w:val="footnote text"/>
    <w:basedOn w:val="Normal"/>
    <w:link w:val="FootnoteTextChar"/>
    <w:unhideWhenUsed/>
    <w:rsid w:val="00E6288E"/>
    <w:rPr>
      <w:sz w:val="20"/>
    </w:rPr>
  </w:style>
  <w:style w:type="character" w:customStyle="1" w:styleId="FootnoteTextChar">
    <w:name w:val="Footnote Text Char"/>
    <w:basedOn w:val="DefaultParagraphFont"/>
    <w:link w:val="FootnoteText"/>
    <w:rsid w:val="00E6288E"/>
  </w:style>
  <w:style w:type="character" w:customStyle="1" w:styleId="Normal12HangingChar">
    <w:name w:val="Normal12Hanging Char"/>
    <w:link w:val="Normal12Hanging"/>
    <w:locked/>
    <w:rsid w:val="00E6288E"/>
    <w:rPr>
      <w:sz w:val="24"/>
    </w:rPr>
  </w:style>
  <w:style w:type="character" w:styleId="FootnoteReference">
    <w:name w:val="footnote reference"/>
    <w:unhideWhenUsed/>
    <w:rsid w:val="00E6288E"/>
    <w:rPr>
      <w:vertAlign w:val="superscript"/>
    </w:rPr>
  </w:style>
  <w:style w:type="paragraph" w:styleId="BalloonText">
    <w:name w:val="Balloon Text"/>
    <w:basedOn w:val="Normal"/>
    <w:link w:val="BalloonTextChar"/>
    <w:rsid w:val="00600A71"/>
    <w:rPr>
      <w:rFonts w:ascii="Segoe UI" w:hAnsi="Segoe UI" w:cs="Segoe UI"/>
      <w:sz w:val="18"/>
      <w:szCs w:val="18"/>
    </w:rPr>
  </w:style>
  <w:style w:type="character" w:customStyle="1" w:styleId="BalloonTextChar">
    <w:name w:val="Balloon Text Char"/>
    <w:basedOn w:val="DefaultParagraphFont"/>
    <w:link w:val="BalloonText"/>
    <w:rsid w:val="00600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2466">
      <w:bodyDiv w:val="1"/>
      <w:marLeft w:val="0"/>
      <w:marRight w:val="0"/>
      <w:marTop w:val="0"/>
      <w:marBottom w:val="0"/>
      <w:divBdr>
        <w:top w:val="none" w:sz="0" w:space="0" w:color="auto"/>
        <w:left w:val="none" w:sz="0" w:space="0" w:color="auto"/>
        <w:bottom w:val="none" w:sz="0" w:space="0" w:color="auto"/>
        <w:right w:val="none" w:sz="0" w:space="0" w:color="auto"/>
      </w:divBdr>
    </w:div>
    <w:div w:id="1750347614">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 w:id="21112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RBON~1\AppData\Local\Temp\PR_NLE-AP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BCBE-334C-4F65-84B3-E650F273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PR_NLE-AP_Agreement.dot</Template>
  <TotalTime>0</TotalTime>
  <Pages>7</Pages>
  <Words>944</Words>
  <Characters>5387</Characters>
  <Application>Microsoft Office Word</Application>
  <DocSecurity>0</DocSecurity>
  <Lines>125</Lines>
  <Paragraphs>60</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URBONAVICIUTE Zivile</dc:creator>
  <cp:keywords/>
  <cp:lastModifiedBy>SZILAGYI Judit</cp:lastModifiedBy>
  <cp:revision>3</cp:revision>
  <cp:lastPrinted>2002-12-11T09:25:00Z</cp:lastPrinted>
  <dcterms:created xsi:type="dcterms:W3CDTF">2019-10-15T15:23:00Z</dcterms:created>
  <dcterms:modified xsi:type="dcterms:W3CDTF">2019-10-15T15:23:00Z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9.6.2 Build [20190327]</vt:lpwstr>
  </property>
  <property fmtid="{D5CDD505-2E9C-101B-9397-08002B2CF9AE}" pid="4" name="LastEdited with">
    <vt:lpwstr>9.8.0 Build [20191010]</vt:lpwstr>
  </property>
  <property fmtid="{D5CDD505-2E9C-101B-9397-08002B2CF9AE}" pid="5" name="&lt;FdR&gt;">
    <vt:lpwstr>1190488</vt:lpwstr>
  </property>
  <property fmtid="{D5CDD505-2E9C-101B-9397-08002B2CF9AE}" pid="6" name="&lt;Type&gt;">
    <vt:lpwstr>PR</vt:lpwstr>
  </property>
  <property fmtid="{D5CDD505-2E9C-101B-9397-08002B2CF9AE}" pid="7" name="&lt;ModelCod&gt;">
    <vt:lpwstr>\\eiciBRUpr1\pdocep$\DocEP\DOCS\General\PR\PR_Leg\NLE\PR_NLE-AP_Agreement.dot(08/07/2019 19:18:04)</vt:lpwstr>
  </property>
  <property fmtid="{D5CDD505-2E9C-101B-9397-08002B2CF9AE}" pid="8" name="&lt;ModelTra&gt;">
    <vt:lpwstr>\\eiciBRUpr1\pdocep$\DocEP\TRANSFIL\EN\PR_NLE-AP_Agreement.EN(08/07/2019 19:21:18)</vt:lpwstr>
  </property>
  <property fmtid="{D5CDD505-2E9C-101B-9397-08002B2CF9AE}" pid="9" name="&lt;Model&gt;">
    <vt:lpwstr>PR_NLE-AP_Agreement</vt:lpwstr>
  </property>
  <property fmtid="{D5CDD505-2E9C-101B-9397-08002B2CF9AE}" pid="10" name="FooterPath">
    <vt:lpwstr>PR\1190488EN.docx</vt:lpwstr>
  </property>
  <property fmtid="{D5CDD505-2E9C-101B-9397-08002B2CF9AE}" pid="11" name="PE number">
    <vt:lpwstr>642.860</vt:lpwstr>
  </property>
  <property fmtid="{D5CDD505-2E9C-101B-9397-08002B2CF9AE}" pid="12" name="SubscribeElise">
    <vt:lpwstr/>
  </property>
  <property fmtid="{D5CDD505-2E9C-101B-9397-08002B2CF9AE}" pid="13" name="SendToEpades">
    <vt:lpwstr>OK - 2019/10/15 10:38</vt:lpwstr>
  </property>
</Properties>
</file>