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FB73FB" w14:paraId="7F2D3499" w14:textId="77777777" w:rsidTr="003E2402">
        <w:trPr>
          <w:trHeight w:hRule="exact" w:val="1418"/>
        </w:trPr>
        <w:tc>
          <w:tcPr>
            <w:tcW w:w="6804" w:type="dxa"/>
            <w:shd w:val="clear" w:color="auto" w:fill="auto"/>
            <w:vAlign w:val="center"/>
          </w:tcPr>
          <w:p w14:paraId="04269D9A" w14:textId="77777777" w:rsidR="00E856D2" w:rsidRPr="00FB73FB" w:rsidRDefault="00FB73FB" w:rsidP="003E2402">
            <w:pPr>
              <w:pStyle w:val="EPName"/>
              <w:rPr>
                <w:lang w:val="en-GB"/>
              </w:rPr>
            </w:pPr>
            <w:r w:rsidRPr="00FB73FB">
              <w:rPr>
                <w:lang w:val="en-GB"/>
              </w:rPr>
              <w:t>European Parliament</w:t>
            </w:r>
          </w:p>
          <w:p w14:paraId="5878E03B" w14:textId="77777777" w:rsidR="00E856D2" w:rsidRPr="0074006D" w:rsidRDefault="0074006D" w:rsidP="0074006D">
            <w:pPr>
              <w:pStyle w:val="EPTerm"/>
              <w:rPr>
                <w:rStyle w:val="HideTWBExt"/>
                <w:noProof w:val="0"/>
                <w:vanish w:val="0"/>
                <w:color w:val="auto"/>
                <w:lang w:val="en-GB"/>
              </w:rPr>
            </w:pPr>
            <w:r>
              <w:t>2014-2019</w:t>
            </w:r>
          </w:p>
        </w:tc>
        <w:tc>
          <w:tcPr>
            <w:tcW w:w="2268" w:type="dxa"/>
            <w:shd w:val="clear" w:color="auto" w:fill="auto"/>
          </w:tcPr>
          <w:p w14:paraId="303F159F" w14:textId="72EDD855" w:rsidR="00E856D2" w:rsidRPr="00FB73FB" w:rsidRDefault="001136A2" w:rsidP="003E2402">
            <w:pPr>
              <w:pStyle w:val="EPLogo"/>
            </w:pPr>
            <w:r>
              <w:rPr>
                <w:noProof/>
              </w:rPr>
              <w:drawing>
                <wp:inline distT="0" distB="0" distL="0" distR="0" wp14:anchorId="5961913A" wp14:editId="26FA7F2E">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0447C87F" w14:textId="77777777" w:rsidR="001746D0" w:rsidRPr="00FB73FB" w:rsidRDefault="001746D0" w:rsidP="001746D0">
      <w:pPr>
        <w:pStyle w:val="LineTop"/>
        <w:rPr>
          <w:lang w:val="en-GB"/>
        </w:rPr>
      </w:pPr>
    </w:p>
    <w:p w14:paraId="50E36DCD" w14:textId="77777777" w:rsidR="001746D0" w:rsidRPr="00FB73FB" w:rsidRDefault="001746D0" w:rsidP="001746D0">
      <w:pPr>
        <w:pStyle w:val="ZCommittee"/>
        <w:rPr>
          <w:lang w:val="en-GB"/>
        </w:rPr>
      </w:pPr>
      <w:r w:rsidRPr="00FB73FB">
        <w:rPr>
          <w:rStyle w:val="HideTWBExt"/>
          <w:noProof w:val="0"/>
          <w:lang w:val="en-GB"/>
        </w:rPr>
        <w:t>&lt;</w:t>
      </w:r>
      <w:r w:rsidRPr="00FB73FB">
        <w:rPr>
          <w:rStyle w:val="HideTWBExt"/>
          <w:i w:val="0"/>
          <w:noProof w:val="0"/>
          <w:lang w:val="en-GB"/>
        </w:rPr>
        <w:t>Commission</w:t>
      </w:r>
      <w:r w:rsidRPr="00FB73FB">
        <w:rPr>
          <w:rStyle w:val="HideTWBExt"/>
          <w:noProof w:val="0"/>
          <w:lang w:val="en-GB"/>
        </w:rPr>
        <w:t>&gt;</w:t>
      </w:r>
      <w:r w:rsidR="0074006D" w:rsidRPr="001136A2">
        <w:rPr>
          <w:rStyle w:val="HideTWBInt"/>
          <w:lang w:val="en-GB"/>
        </w:rPr>
        <w:t>{LIBE}</w:t>
      </w:r>
      <w:r w:rsidR="0074006D">
        <w:rPr>
          <w:lang w:val="en-GB"/>
        </w:rPr>
        <w:t>Committee on Civil Liberties, Justice and Home Affairs</w:t>
      </w:r>
      <w:r w:rsidRPr="00FB73FB">
        <w:rPr>
          <w:rStyle w:val="HideTWBExt"/>
          <w:noProof w:val="0"/>
          <w:lang w:val="en-GB"/>
        </w:rPr>
        <w:t>&lt;/</w:t>
      </w:r>
      <w:r w:rsidRPr="00FB73FB">
        <w:rPr>
          <w:rStyle w:val="HideTWBExt"/>
          <w:i w:val="0"/>
          <w:noProof w:val="0"/>
          <w:lang w:val="en-GB"/>
        </w:rPr>
        <w:t>Commission</w:t>
      </w:r>
      <w:r w:rsidRPr="00FB73FB">
        <w:rPr>
          <w:rStyle w:val="HideTWBExt"/>
          <w:noProof w:val="0"/>
          <w:lang w:val="en-GB"/>
        </w:rPr>
        <w:t>&gt;</w:t>
      </w:r>
    </w:p>
    <w:p w14:paraId="3FF83E1E" w14:textId="77777777" w:rsidR="001746D0" w:rsidRPr="00FB73FB" w:rsidRDefault="001746D0" w:rsidP="001746D0">
      <w:pPr>
        <w:pStyle w:val="LineBottom"/>
      </w:pPr>
    </w:p>
    <w:p w14:paraId="3173ED46" w14:textId="77777777" w:rsidR="002E2F2E" w:rsidRPr="00FB73FB" w:rsidRDefault="002E2F2E">
      <w:pPr>
        <w:pStyle w:val="RefProc"/>
      </w:pPr>
      <w:r w:rsidRPr="00FB73FB">
        <w:rPr>
          <w:rStyle w:val="HideTWBExt"/>
          <w:b w:val="0"/>
          <w:noProof w:val="0"/>
        </w:rPr>
        <w:t>&lt;</w:t>
      </w:r>
      <w:r w:rsidRPr="00FB73FB">
        <w:rPr>
          <w:rStyle w:val="HideTWBExt"/>
          <w:b w:val="0"/>
          <w:caps w:val="0"/>
          <w:noProof w:val="0"/>
        </w:rPr>
        <w:t>RefProc</w:t>
      </w:r>
      <w:r w:rsidRPr="00FB73FB">
        <w:rPr>
          <w:rStyle w:val="HideTWBExt"/>
          <w:b w:val="0"/>
          <w:noProof w:val="0"/>
        </w:rPr>
        <w:t>&gt;</w:t>
      </w:r>
      <w:r w:rsidR="0074006D">
        <w:t>2017/2089</w:t>
      </w:r>
      <w:r w:rsidR="00FB73FB" w:rsidRPr="00FB73FB">
        <w:t>(</w:t>
      </w:r>
      <w:r w:rsidR="0074006D">
        <w:t>INI</w:t>
      </w:r>
      <w:r w:rsidR="00FB73FB" w:rsidRPr="00FB73FB">
        <w:t>)</w:t>
      </w:r>
      <w:r w:rsidRPr="00FB73FB">
        <w:rPr>
          <w:rStyle w:val="HideTWBExt"/>
          <w:b w:val="0"/>
          <w:noProof w:val="0"/>
        </w:rPr>
        <w:t>&lt;/</w:t>
      </w:r>
      <w:r w:rsidRPr="00FB73FB">
        <w:rPr>
          <w:rStyle w:val="HideTWBExt"/>
          <w:b w:val="0"/>
          <w:caps w:val="0"/>
          <w:noProof w:val="0"/>
        </w:rPr>
        <w:t>RefProc</w:t>
      </w:r>
      <w:r w:rsidRPr="00FB73FB">
        <w:rPr>
          <w:rStyle w:val="HideTWBExt"/>
          <w:b w:val="0"/>
          <w:noProof w:val="0"/>
        </w:rPr>
        <w:t>&gt;</w:t>
      </w:r>
    </w:p>
    <w:p w14:paraId="4762713E" w14:textId="47B7FADF" w:rsidR="002E2F2E" w:rsidRPr="00FB73FB" w:rsidRDefault="002E2F2E">
      <w:pPr>
        <w:pStyle w:val="ZDate"/>
      </w:pPr>
      <w:r w:rsidRPr="00FB73FB">
        <w:rPr>
          <w:rStyle w:val="HideTWBExt"/>
          <w:noProof w:val="0"/>
        </w:rPr>
        <w:t>&lt;Date&gt;</w:t>
      </w:r>
      <w:r w:rsidR="009014A6" w:rsidRPr="009014A6">
        <w:rPr>
          <w:rStyle w:val="HideTWBInt"/>
        </w:rPr>
        <w:t>{1</w:t>
      </w:r>
      <w:r w:rsidR="00564280">
        <w:rPr>
          <w:rStyle w:val="HideTWBInt"/>
        </w:rPr>
        <w:t>1</w:t>
      </w:r>
      <w:r w:rsidR="009014A6" w:rsidRPr="009014A6">
        <w:rPr>
          <w:rStyle w:val="HideTWBInt"/>
        </w:rPr>
        <w:t>/01/2019}</w:t>
      </w:r>
      <w:r w:rsidR="009014A6" w:rsidRPr="009014A6">
        <w:t>1</w:t>
      </w:r>
      <w:r w:rsidR="00564280">
        <w:t>1</w:t>
      </w:r>
      <w:r w:rsidR="009014A6" w:rsidRPr="009014A6">
        <w:t>.1.2019</w:t>
      </w:r>
      <w:r w:rsidRPr="00FB73FB">
        <w:rPr>
          <w:rStyle w:val="HideTWBExt"/>
          <w:noProof w:val="0"/>
        </w:rPr>
        <w:t>&lt;/Date&gt;</w:t>
      </w:r>
    </w:p>
    <w:p w14:paraId="269F370F" w14:textId="163BD6D4" w:rsidR="002E2F2E" w:rsidRPr="00FB73FB" w:rsidRDefault="002E2F2E">
      <w:pPr>
        <w:pStyle w:val="TypeDoc"/>
      </w:pPr>
      <w:r w:rsidRPr="00FB73FB">
        <w:rPr>
          <w:rStyle w:val="HideTWBExt"/>
          <w:b w:val="0"/>
          <w:noProof w:val="0"/>
        </w:rPr>
        <w:t>&lt;TitreType&gt;</w:t>
      </w:r>
      <w:r w:rsidR="009014A6" w:rsidRPr="009014A6">
        <w:t>OPINION</w:t>
      </w:r>
      <w:r w:rsidRPr="00FB73FB">
        <w:rPr>
          <w:rStyle w:val="HideTWBExt"/>
          <w:b w:val="0"/>
          <w:noProof w:val="0"/>
        </w:rPr>
        <w:t>&lt;/TitreType&gt;</w:t>
      </w:r>
    </w:p>
    <w:p w14:paraId="451004A1" w14:textId="77777777" w:rsidR="002E2F2E" w:rsidRPr="00FB73FB" w:rsidRDefault="002E2F2E">
      <w:pPr>
        <w:pStyle w:val="Cover24"/>
      </w:pPr>
      <w:r w:rsidRPr="00FB73FB">
        <w:rPr>
          <w:rStyle w:val="HideTWBExt"/>
          <w:noProof w:val="0"/>
        </w:rPr>
        <w:t>&lt;CommissionResp&gt;</w:t>
      </w:r>
      <w:r w:rsidR="00FB73FB" w:rsidRPr="00FB73FB">
        <w:t xml:space="preserve">of the </w:t>
      </w:r>
      <w:r w:rsidR="0074006D">
        <w:t>Committee on Civil Liberties, Justice and Home Affairs</w:t>
      </w:r>
      <w:r w:rsidRPr="00FB73FB">
        <w:rPr>
          <w:rStyle w:val="HideTWBExt"/>
          <w:noProof w:val="0"/>
        </w:rPr>
        <w:t>&lt;/CommissionResp&gt;</w:t>
      </w:r>
    </w:p>
    <w:p w14:paraId="128E6796" w14:textId="77777777" w:rsidR="002E2F2E" w:rsidRPr="00FB73FB" w:rsidRDefault="002E2F2E">
      <w:pPr>
        <w:pStyle w:val="Cover24"/>
      </w:pPr>
      <w:r w:rsidRPr="00FB73FB">
        <w:rPr>
          <w:rStyle w:val="HideTWBExt"/>
          <w:noProof w:val="0"/>
        </w:rPr>
        <w:t>&lt;CommissionInt&gt;</w:t>
      </w:r>
      <w:r w:rsidR="00FB73FB" w:rsidRPr="00FB73FB">
        <w:t xml:space="preserve">for the </w:t>
      </w:r>
      <w:r w:rsidR="0074006D">
        <w:t>Committee on Constitutional Affairs</w:t>
      </w:r>
      <w:r w:rsidRPr="00FB73FB">
        <w:rPr>
          <w:rStyle w:val="HideTWBExt"/>
          <w:noProof w:val="0"/>
        </w:rPr>
        <w:t>&lt;/CommissionInt&gt;</w:t>
      </w:r>
    </w:p>
    <w:p w14:paraId="7C28A9D3" w14:textId="77777777" w:rsidR="002E2F2E" w:rsidRPr="00FB73FB" w:rsidRDefault="002E2F2E">
      <w:pPr>
        <w:pStyle w:val="CoverNormal"/>
      </w:pPr>
      <w:r w:rsidRPr="00FB73FB">
        <w:rPr>
          <w:rStyle w:val="HideTWBExt"/>
          <w:noProof w:val="0"/>
        </w:rPr>
        <w:t>&lt;Titre&gt;</w:t>
      </w:r>
      <w:r w:rsidR="00FB73FB" w:rsidRPr="00FB73FB">
        <w:t xml:space="preserve">on </w:t>
      </w:r>
      <w:r w:rsidR="0074006D">
        <w:t>the implementation of the Charter of Fundamental Rights of the European Union in the EU institutional framework</w:t>
      </w:r>
      <w:r w:rsidRPr="00FB73FB">
        <w:rPr>
          <w:rStyle w:val="HideTWBExt"/>
          <w:noProof w:val="0"/>
        </w:rPr>
        <w:t>&lt;/Titre&gt;</w:t>
      </w:r>
    </w:p>
    <w:p w14:paraId="3F07F6AB" w14:textId="77777777" w:rsidR="002E2F2E" w:rsidRPr="001136A2" w:rsidRDefault="002E2F2E">
      <w:pPr>
        <w:pStyle w:val="Cover24"/>
        <w:rPr>
          <w:lang w:val="fr-FR"/>
        </w:rPr>
      </w:pPr>
      <w:r w:rsidRPr="001136A2">
        <w:rPr>
          <w:rStyle w:val="HideTWBExt"/>
          <w:noProof w:val="0"/>
          <w:lang w:val="fr-FR"/>
        </w:rPr>
        <w:t>&lt;DocRef&gt;</w:t>
      </w:r>
      <w:r w:rsidR="00FB73FB" w:rsidRPr="001136A2">
        <w:rPr>
          <w:lang w:val="fr-FR"/>
        </w:rPr>
        <w:t>(</w:t>
      </w:r>
      <w:r w:rsidR="0074006D" w:rsidRPr="001136A2">
        <w:rPr>
          <w:lang w:val="fr-FR"/>
        </w:rPr>
        <w:t>2017/2089</w:t>
      </w:r>
      <w:r w:rsidR="00FB73FB" w:rsidRPr="001136A2">
        <w:rPr>
          <w:lang w:val="fr-FR"/>
        </w:rPr>
        <w:t>(</w:t>
      </w:r>
      <w:r w:rsidR="0074006D" w:rsidRPr="001136A2">
        <w:rPr>
          <w:lang w:val="fr-FR"/>
        </w:rPr>
        <w:t>INI</w:t>
      </w:r>
      <w:r w:rsidR="00FB73FB" w:rsidRPr="001136A2">
        <w:rPr>
          <w:lang w:val="fr-FR"/>
        </w:rPr>
        <w:t>))</w:t>
      </w:r>
      <w:r w:rsidRPr="001136A2">
        <w:rPr>
          <w:rStyle w:val="HideTWBExt"/>
          <w:noProof w:val="0"/>
          <w:lang w:val="fr-FR"/>
        </w:rPr>
        <w:t>&lt;/DocRef&gt;</w:t>
      </w:r>
    </w:p>
    <w:p w14:paraId="2F8ED111" w14:textId="77777777" w:rsidR="002E2F2E" w:rsidRPr="001136A2" w:rsidRDefault="00FB73FB">
      <w:pPr>
        <w:pStyle w:val="Cover24"/>
        <w:rPr>
          <w:lang w:val="fr-FR"/>
        </w:rPr>
      </w:pPr>
      <w:r w:rsidRPr="001136A2">
        <w:rPr>
          <w:lang w:val="fr-FR"/>
        </w:rPr>
        <w:t>Rapporteur for opinion:</w:t>
      </w:r>
      <w:r w:rsidR="002E2F2E" w:rsidRPr="001136A2">
        <w:rPr>
          <w:lang w:val="fr-FR"/>
        </w:rPr>
        <w:t xml:space="preserve"> </w:t>
      </w:r>
      <w:r w:rsidR="002E2F2E" w:rsidRPr="001136A2">
        <w:rPr>
          <w:rStyle w:val="HideTWBExt"/>
          <w:noProof w:val="0"/>
          <w:lang w:val="fr-FR"/>
        </w:rPr>
        <w:t>&lt;Depute&gt;</w:t>
      </w:r>
      <w:r w:rsidR="0074006D" w:rsidRPr="001136A2">
        <w:rPr>
          <w:lang w:val="fr-FR"/>
        </w:rPr>
        <w:t>Dennis de Jong</w:t>
      </w:r>
      <w:r w:rsidR="002E2F2E" w:rsidRPr="001136A2">
        <w:rPr>
          <w:rStyle w:val="HideTWBExt"/>
          <w:noProof w:val="0"/>
          <w:lang w:val="fr-FR"/>
        </w:rPr>
        <w:t>&lt;/Depute&gt;</w:t>
      </w:r>
    </w:p>
    <w:p w14:paraId="14F755F1" w14:textId="77777777" w:rsidR="00A72C35" w:rsidRPr="001136A2" w:rsidRDefault="00A72C35" w:rsidP="00A72C35">
      <w:pPr>
        <w:pStyle w:val="CoverNormal"/>
        <w:rPr>
          <w:lang w:val="fr-FR"/>
        </w:rPr>
      </w:pPr>
    </w:p>
    <w:p w14:paraId="6FA8AD14" w14:textId="77777777" w:rsidR="000E7EBF" w:rsidRPr="001136A2" w:rsidRDefault="002E2F2E" w:rsidP="00E856D2">
      <w:pPr>
        <w:widowControl/>
        <w:tabs>
          <w:tab w:val="center" w:pos="4677"/>
        </w:tabs>
        <w:rPr>
          <w:lang w:val="fr-FR"/>
        </w:rPr>
      </w:pPr>
      <w:r w:rsidRPr="001136A2">
        <w:rPr>
          <w:lang w:val="fr-FR"/>
        </w:rPr>
        <w:br w:type="page"/>
      </w:r>
    </w:p>
    <w:p w14:paraId="3504D0C0" w14:textId="77777777" w:rsidR="002E2F2E" w:rsidRPr="00FB73FB" w:rsidRDefault="00FB73FB" w:rsidP="00E856D2">
      <w:pPr>
        <w:widowControl/>
        <w:tabs>
          <w:tab w:val="center" w:pos="4677"/>
        </w:tabs>
      </w:pPr>
      <w:r w:rsidRPr="00FB73FB">
        <w:lastRenderedPageBreak/>
        <w:t>PA_NonLeg</w:t>
      </w:r>
    </w:p>
    <w:p w14:paraId="14C93297" w14:textId="77777777" w:rsidR="002E2F2E" w:rsidRPr="00FB73FB" w:rsidRDefault="002E2F2E">
      <w:pPr>
        <w:pStyle w:val="PageHeadingNotTOC"/>
      </w:pPr>
      <w:bookmarkStart w:id="0" w:name="_GoBack"/>
      <w:bookmarkEnd w:id="0"/>
      <w:r w:rsidRPr="00FB73FB">
        <w:br w:type="page"/>
      </w:r>
      <w:r w:rsidR="00FB73FB" w:rsidRPr="00FB73FB">
        <w:lastRenderedPageBreak/>
        <w:t>SUGGESTIONS</w:t>
      </w:r>
    </w:p>
    <w:p w14:paraId="05A6805C" w14:textId="70722E77" w:rsidR="002E2F2E" w:rsidRDefault="00FB73FB" w:rsidP="00B2091D">
      <w:pPr>
        <w:pStyle w:val="Normal12Tab"/>
      </w:pPr>
      <w:r w:rsidRPr="00FB73FB">
        <w:t xml:space="preserve">The </w:t>
      </w:r>
      <w:r w:rsidR="0074006D">
        <w:t>Committee on Civil Liberties, Justice and Home Affairs</w:t>
      </w:r>
      <w:r w:rsidRPr="00FB73FB">
        <w:t xml:space="preserve"> calls on the </w:t>
      </w:r>
      <w:r w:rsidR="0074006D">
        <w:t>Committee on Constitutional Affairs</w:t>
      </w:r>
      <w:r w:rsidRPr="00FB73FB">
        <w:t xml:space="preserve">, </w:t>
      </w:r>
      <w:r w:rsidR="0074006D">
        <w:t>as the committee responsible</w:t>
      </w:r>
      <w:r w:rsidRPr="00FB73FB">
        <w:t xml:space="preserve">, to incorporate the following suggestions </w:t>
      </w:r>
      <w:r w:rsidR="0074006D">
        <w:t>into its</w:t>
      </w:r>
      <w:r w:rsidRPr="00FB73FB">
        <w:t xml:space="preserve"> motion for a resolution:</w:t>
      </w:r>
    </w:p>
    <w:p w14:paraId="3D5CC852" w14:textId="6F358FA4" w:rsidR="005D511B" w:rsidRPr="00B2091D" w:rsidRDefault="005D511B" w:rsidP="00B2091D">
      <w:pPr>
        <w:pStyle w:val="Hanging12"/>
        <w:rPr>
          <w:b w:val="0"/>
          <w:i w:val="0"/>
          <w:szCs w:val="24"/>
        </w:rPr>
      </w:pPr>
      <w:r w:rsidRPr="00B2091D">
        <w:rPr>
          <w:b w:val="0"/>
          <w:i w:val="0"/>
        </w:rPr>
        <w:t>–</w:t>
      </w:r>
      <w:r w:rsidRPr="00B2091D">
        <w:rPr>
          <w:b w:val="0"/>
          <w:i w:val="0"/>
        </w:rPr>
        <w:tab/>
        <w:t>having regard to the Charter of Fundamental Rights</w:t>
      </w:r>
      <w:r w:rsidR="00900D21" w:rsidRPr="00B2091D">
        <w:rPr>
          <w:b w:val="0"/>
          <w:i w:val="0"/>
        </w:rPr>
        <w:t xml:space="preserve"> of the European Union</w:t>
      </w:r>
      <w:r w:rsidRPr="00B2091D">
        <w:rPr>
          <w:b w:val="0"/>
          <w:i w:val="0"/>
        </w:rPr>
        <w:t xml:space="preserve">, in particular </w:t>
      </w:r>
      <w:r w:rsidR="00900D21" w:rsidRPr="00B2091D">
        <w:rPr>
          <w:b w:val="0"/>
          <w:i w:val="0"/>
        </w:rPr>
        <w:t xml:space="preserve">Articles </w:t>
      </w:r>
      <w:r w:rsidRPr="00B2091D">
        <w:rPr>
          <w:b w:val="0"/>
          <w:i w:val="0"/>
        </w:rPr>
        <w:t>44 and 51</w:t>
      </w:r>
      <w:r w:rsidR="00900D21" w:rsidRPr="00B2091D">
        <w:rPr>
          <w:b w:val="0"/>
          <w:i w:val="0"/>
        </w:rPr>
        <w:t xml:space="preserve"> thereof</w:t>
      </w:r>
      <w:r w:rsidRPr="00B2091D">
        <w:rPr>
          <w:b w:val="0"/>
          <w:i w:val="0"/>
        </w:rPr>
        <w:t>;</w:t>
      </w:r>
    </w:p>
    <w:p w14:paraId="03E378DB" w14:textId="02F37CEA" w:rsidR="005D511B" w:rsidRPr="00B2091D" w:rsidRDefault="005D511B" w:rsidP="00B2091D">
      <w:pPr>
        <w:pStyle w:val="Hanging12"/>
        <w:rPr>
          <w:b w:val="0"/>
          <w:i w:val="0"/>
          <w:szCs w:val="24"/>
        </w:rPr>
      </w:pPr>
      <w:r w:rsidRPr="00B2091D">
        <w:rPr>
          <w:b w:val="0"/>
          <w:i w:val="0"/>
        </w:rPr>
        <w:t>–</w:t>
      </w:r>
      <w:r w:rsidRPr="00B2091D">
        <w:rPr>
          <w:b w:val="0"/>
          <w:i w:val="0"/>
        </w:rPr>
        <w:tab/>
        <w:t xml:space="preserve">having regard to the </w:t>
      </w:r>
      <w:r w:rsidR="00AA67A1" w:rsidRPr="00B2091D">
        <w:rPr>
          <w:b w:val="0"/>
          <w:i w:val="0"/>
        </w:rPr>
        <w:t xml:space="preserve">study entitled </w:t>
      </w:r>
      <w:r w:rsidR="00B2091D" w:rsidRPr="00B2091D">
        <w:rPr>
          <w:b w:val="0"/>
          <w:i w:val="0"/>
        </w:rPr>
        <w:t>‘</w:t>
      </w:r>
      <w:r w:rsidR="00AA67A1" w:rsidRPr="00B2091D">
        <w:rPr>
          <w:b w:val="0"/>
          <w:i w:val="0"/>
        </w:rPr>
        <w:t>The interpretation of Article 51 of the EU Charter of Fundamental Rights: the dilemma of stricter or broader application of the Charter to national measures</w:t>
      </w:r>
      <w:r w:rsidR="00B2091D" w:rsidRPr="00B2091D">
        <w:rPr>
          <w:b w:val="0"/>
          <w:i w:val="0"/>
        </w:rPr>
        <w:t>’</w:t>
      </w:r>
      <w:r w:rsidR="00AA67A1" w:rsidRPr="00B2091D">
        <w:rPr>
          <w:b w:val="0"/>
          <w:i w:val="0"/>
        </w:rPr>
        <w:t xml:space="preserve">, published </w:t>
      </w:r>
      <w:r w:rsidR="00F31567" w:rsidRPr="00B2091D">
        <w:rPr>
          <w:b w:val="0"/>
          <w:i w:val="0"/>
        </w:rPr>
        <w:t xml:space="preserve">in February 2016 </w:t>
      </w:r>
      <w:r w:rsidRPr="00B2091D">
        <w:rPr>
          <w:b w:val="0"/>
          <w:i w:val="0"/>
        </w:rPr>
        <w:t xml:space="preserve">by Policy Department C </w:t>
      </w:r>
      <w:r w:rsidR="00AA67A1" w:rsidRPr="00B2091D">
        <w:rPr>
          <w:b w:val="0"/>
          <w:i w:val="0"/>
        </w:rPr>
        <w:t xml:space="preserve">of its Directorate-General for Internal </w:t>
      </w:r>
      <w:r w:rsidR="00F31567" w:rsidRPr="00B2091D">
        <w:rPr>
          <w:b w:val="0"/>
          <w:i w:val="0"/>
        </w:rPr>
        <w:t>Policies</w:t>
      </w:r>
      <w:r w:rsidRPr="00B2091D">
        <w:rPr>
          <w:b w:val="0"/>
          <w:i w:val="0"/>
        </w:rPr>
        <w:t>;</w:t>
      </w:r>
    </w:p>
    <w:p w14:paraId="52282950" w14:textId="2C536681" w:rsidR="005D511B" w:rsidRPr="00B2091D" w:rsidRDefault="005D511B" w:rsidP="00B2091D">
      <w:pPr>
        <w:pStyle w:val="Hanging12"/>
        <w:rPr>
          <w:b w:val="0"/>
          <w:i w:val="0"/>
          <w:szCs w:val="24"/>
        </w:rPr>
      </w:pPr>
      <w:r w:rsidRPr="00B2091D">
        <w:rPr>
          <w:b w:val="0"/>
          <w:i w:val="0"/>
        </w:rPr>
        <w:t>–</w:t>
      </w:r>
      <w:r w:rsidRPr="00B2091D">
        <w:rPr>
          <w:b w:val="0"/>
          <w:i w:val="0"/>
        </w:rPr>
        <w:tab/>
      </w:r>
      <w:r w:rsidR="00CC1D63" w:rsidRPr="00B2091D">
        <w:rPr>
          <w:b w:val="0"/>
          <w:i w:val="0"/>
        </w:rPr>
        <w:t>having regard to its resolution of 25 October 2016 on the establishment of an EU mechanism on democracy, the rule of law and fundamental rights</w:t>
      </w:r>
      <w:r w:rsidR="00F93F9B" w:rsidRPr="00B2091D">
        <w:rPr>
          <w:rStyle w:val="FootnoteReference"/>
          <w:b w:val="0"/>
          <w:i w:val="0"/>
        </w:rPr>
        <w:footnoteReference w:id="1"/>
      </w:r>
      <w:r w:rsidR="00CC1D63" w:rsidRPr="00B2091D">
        <w:rPr>
          <w:b w:val="0"/>
          <w:i w:val="0"/>
        </w:rPr>
        <w:t xml:space="preserve">, </w:t>
      </w:r>
      <w:r w:rsidR="00F93F9B" w:rsidRPr="00B2091D">
        <w:rPr>
          <w:b w:val="0"/>
          <w:i w:val="0"/>
        </w:rPr>
        <w:t>in particular</w:t>
      </w:r>
      <w:r w:rsidR="00CC1D63" w:rsidRPr="00B2091D">
        <w:rPr>
          <w:b w:val="0"/>
          <w:i w:val="0"/>
        </w:rPr>
        <w:t xml:space="preserve"> paragraph 20</w:t>
      </w:r>
      <w:r w:rsidR="00F93F9B" w:rsidRPr="00B2091D">
        <w:rPr>
          <w:b w:val="0"/>
          <w:i w:val="0"/>
        </w:rPr>
        <w:t xml:space="preserve"> thereof</w:t>
      </w:r>
      <w:r w:rsidR="00CC1D63" w:rsidRPr="00B2091D">
        <w:rPr>
          <w:b w:val="0"/>
          <w:i w:val="0"/>
        </w:rPr>
        <w:t>;</w:t>
      </w:r>
    </w:p>
    <w:p w14:paraId="676D7A6C" w14:textId="342B3172" w:rsidR="005D511B" w:rsidRPr="00B2091D" w:rsidRDefault="005D511B" w:rsidP="00B2091D">
      <w:pPr>
        <w:pStyle w:val="Hanging12"/>
        <w:rPr>
          <w:b w:val="0"/>
          <w:i w:val="0"/>
        </w:rPr>
      </w:pPr>
      <w:r w:rsidRPr="00B2091D">
        <w:rPr>
          <w:b w:val="0"/>
          <w:i w:val="0"/>
        </w:rPr>
        <w:t>–</w:t>
      </w:r>
      <w:r w:rsidRPr="00B2091D">
        <w:rPr>
          <w:b w:val="0"/>
          <w:i w:val="0"/>
        </w:rPr>
        <w:tab/>
      </w:r>
      <w:r w:rsidR="00CC1D63" w:rsidRPr="00B2091D">
        <w:rPr>
          <w:b w:val="0"/>
          <w:i w:val="0"/>
        </w:rPr>
        <w:t>having regard to its resolution of 16 February 2017 on possible evolutions of and adjustments to the current institutional set-up of the European Union</w:t>
      </w:r>
      <w:r w:rsidR="00F93F9B" w:rsidRPr="00B2091D">
        <w:rPr>
          <w:rStyle w:val="FootnoteReference"/>
          <w:b w:val="0"/>
          <w:i w:val="0"/>
        </w:rPr>
        <w:footnoteReference w:id="2"/>
      </w:r>
      <w:r w:rsidR="00CC1D63" w:rsidRPr="00B2091D">
        <w:rPr>
          <w:b w:val="0"/>
          <w:i w:val="0"/>
        </w:rPr>
        <w:t xml:space="preserve">, </w:t>
      </w:r>
      <w:r w:rsidR="00F93F9B" w:rsidRPr="00B2091D">
        <w:rPr>
          <w:b w:val="0"/>
          <w:i w:val="0"/>
        </w:rPr>
        <w:t>in particular</w:t>
      </w:r>
      <w:r w:rsidR="00CC1D63" w:rsidRPr="00B2091D">
        <w:rPr>
          <w:b w:val="0"/>
          <w:i w:val="0"/>
        </w:rPr>
        <w:t xml:space="preserve"> paragraph 45</w:t>
      </w:r>
      <w:r w:rsidR="00F93F9B" w:rsidRPr="00B2091D">
        <w:rPr>
          <w:b w:val="0"/>
          <w:i w:val="0"/>
        </w:rPr>
        <w:t xml:space="preserve"> thereof</w:t>
      </w:r>
      <w:r w:rsidR="00CC1D63" w:rsidRPr="00B2091D">
        <w:rPr>
          <w:b w:val="0"/>
          <w:i w:val="0"/>
        </w:rPr>
        <w:t>;</w:t>
      </w:r>
    </w:p>
    <w:p w14:paraId="5F96F10F" w14:textId="4DF721C0" w:rsidR="0074006D" w:rsidRPr="00B2091D" w:rsidRDefault="0074006D" w:rsidP="00B2091D">
      <w:pPr>
        <w:pStyle w:val="Hanging12"/>
        <w:rPr>
          <w:b w:val="0"/>
          <w:i w:val="0"/>
        </w:rPr>
      </w:pPr>
      <w:r w:rsidRPr="00B2091D">
        <w:rPr>
          <w:b w:val="0"/>
          <w:i w:val="0"/>
        </w:rPr>
        <w:t>A.</w:t>
      </w:r>
      <w:r w:rsidRPr="00B2091D">
        <w:rPr>
          <w:b w:val="0"/>
          <w:i w:val="0"/>
        </w:rPr>
        <w:tab/>
        <w:t xml:space="preserve">whereas Article 6 of the Treaty on European Union </w:t>
      </w:r>
      <w:r w:rsidR="001136A2" w:rsidRPr="00B2091D">
        <w:rPr>
          <w:b w:val="0"/>
          <w:i w:val="0"/>
        </w:rPr>
        <w:t xml:space="preserve">(TEU) </w:t>
      </w:r>
      <w:r w:rsidRPr="00B2091D">
        <w:rPr>
          <w:b w:val="0"/>
          <w:i w:val="0"/>
        </w:rPr>
        <w:t xml:space="preserve">recognises the rights, freedoms and principles set out in the Charter of Fundamental Rights of the European Union of 7 December 2000, as adapted </w:t>
      </w:r>
      <w:r w:rsidR="00F31567" w:rsidRPr="00B2091D">
        <w:rPr>
          <w:b w:val="0"/>
          <w:i w:val="0"/>
        </w:rPr>
        <w:t xml:space="preserve">in </w:t>
      </w:r>
      <w:r w:rsidRPr="00B2091D">
        <w:rPr>
          <w:b w:val="0"/>
          <w:i w:val="0"/>
        </w:rPr>
        <w:t>Strasbourg on 12 December 2007, which has the same legal value as the Treaties;</w:t>
      </w:r>
    </w:p>
    <w:p w14:paraId="1AFC7E0B" w14:textId="5C53B74B" w:rsidR="005D511B" w:rsidRPr="00B2091D" w:rsidRDefault="005D511B" w:rsidP="00B2091D">
      <w:pPr>
        <w:pStyle w:val="Hanging12"/>
        <w:rPr>
          <w:b w:val="0"/>
          <w:i w:val="0"/>
        </w:rPr>
      </w:pPr>
      <w:r w:rsidRPr="00B2091D">
        <w:rPr>
          <w:b w:val="0"/>
          <w:i w:val="0"/>
        </w:rPr>
        <w:t>B.</w:t>
      </w:r>
      <w:r w:rsidRPr="00B2091D">
        <w:rPr>
          <w:b w:val="0"/>
          <w:i w:val="0"/>
        </w:rPr>
        <w:tab/>
        <w:t xml:space="preserve">whereas in accordance with Article 51 of the Charter, its provisions are addressed, inter alia, to the institutions, bodies, offices and agencies of the Union; whereas Article 51(1) states that the provisions of the Charter are addressed to the Member States </w:t>
      </w:r>
      <w:r w:rsidR="00B2091D" w:rsidRPr="00B2091D">
        <w:rPr>
          <w:b w:val="0"/>
          <w:i w:val="0"/>
        </w:rPr>
        <w:t>‘</w:t>
      </w:r>
      <w:r w:rsidRPr="00B2091D">
        <w:rPr>
          <w:b w:val="0"/>
          <w:i w:val="0"/>
        </w:rPr>
        <w:t>only when they are implementing Union law</w:t>
      </w:r>
      <w:r w:rsidR="00B2091D" w:rsidRPr="00B2091D">
        <w:rPr>
          <w:b w:val="0"/>
          <w:i w:val="0"/>
        </w:rPr>
        <w:t>’;</w:t>
      </w:r>
    </w:p>
    <w:p w14:paraId="23F88F15" w14:textId="4A826E9F" w:rsidR="00CC1D63" w:rsidRPr="00B2091D" w:rsidRDefault="00FC259E" w:rsidP="00B2091D">
      <w:pPr>
        <w:pStyle w:val="Hanging12"/>
        <w:rPr>
          <w:b w:val="0"/>
          <w:i w:val="0"/>
          <w:szCs w:val="24"/>
        </w:rPr>
      </w:pPr>
      <w:r w:rsidRPr="00B2091D">
        <w:rPr>
          <w:b w:val="0"/>
          <w:i w:val="0"/>
        </w:rPr>
        <w:t>C</w:t>
      </w:r>
      <w:r w:rsidR="00CC1D63" w:rsidRPr="00B2091D">
        <w:rPr>
          <w:b w:val="0"/>
          <w:i w:val="0"/>
        </w:rPr>
        <w:t>.</w:t>
      </w:r>
      <w:r w:rsidR="00CC1D63" w:rsidRPr="00B2091D">
        <w:rPr>
          <w:b w:val="0"/>
          <w:i w:val="0"/>
        </w:rPr>
        <w:tab/>
        <w:t xml:space="preserve">whereas Article 51(1) </w:t>
      </w:r>
      <w:r w:rsidR="00F93F9B" w:rsidRPr="00B2091D">
        <w:rPr>
          <w:b w:val="0"/>
          <w:i w:val="0"/>
        </w:rPr>
        <w:t xml:space="preserve">also </w:t>
      </w:r>
      <w:r w:rsidR="00CC1D63" w:rsidRPr="00B2091D">
        <w:rPr>
          <w:b w:val="0"/>
          <w:i w:val="0"/>
        </w:rPr>
        <w:t xml:space="preserve">states that the institutions and bodies of the Union </w:t>
      </w:r>
      <w:r w:rsidR="00B2091D" w:rsidRPr="00B2091D">
        <w:rPr>
          <w:b w:val="0"/>
          <w:i w:val="0"/>
        </w:rPr>
        <w:t>‘</w:t>
      </w:r>
      <w:r w:rsidR="00CC1D63" w:rsidRPr="00B2091D">
        <w:rPr>
          <w:b w:val="0"/>
          <w:i w:val="0"/>
        </w:rPr>
        <w:t>shall</w:t>
      </w:r>
      <w:r w:rsidR="00466311" w:rsidRPr="00B2091D">
        <w:rPr>
          <w:b w:val="0"/>
          <w:i w:val="0"/>
        </w:rPr>
        <w:t xml:space="preserve"> [...] </w:t>
      </w:r>
      <w:r w:rsidR="00CC1D63" w:rsidRPr="00B2091D">
        <w:rPr>
          <w:b w:val="0"/>
          <w:i w:val="0"/>
        </w:rPr>
        <w:t>promote the application</w:t>
      </w:r>
      <w:r w:rsidR="00B2091D" w:rsidRPr="00B2091D">
        <w:rPr>
          <w:b w:val="0"/>
          <w:i w:val="0"/>
        </w:rPr>
        <w:t>’</w:t>
      </w:r>
      <w:r w:rsidR="00CC1D63" w:rsidRPr="00B2091D">
        <w:rPr>
          <w:b w:val="0"/>
          <w:i w:val="0"/>
        </w:rPr>
        <w:t xml:space="preserve"> of the Charter; stresses that the Charter is not merely a set of prohibitions</w:t>
      </w:r>
      <w:r w:rsidR="00634B97" w:rsidRPr="00B2091D">
        <w:rPr>
          <w:b w:val="0"/>
          <w:i w:val="0"/>
        </w:rPr>
        <w:t>,</w:t>
      </w:r>
      <w:r w:rsidR="00CC1D63" w:rsidRPr="00B2091D">
        <w:rPr>
          <w:b w:val="0"/>
          <w:i w:val="0"/>
        </w:rPr>
        <w:t xml:space="preserve"> but </w:t>
      </w:r>
      <w:r w:rsidR="006B2FB6" w:rsidRPr="00B2091D">
        <w:rPr>
          <w:b w:val="0"/>
          <w:i w:val="0"/>
        </w:rPr>
        <w:t xml:space="preserve">that it </w:t>
      </w:r>
      <w:r w:rsidR="00CC1D63" w:rsidRPr="00B2091D">
        <w:rPr>
          <w:b w:val="0"/>
          <w:i w:val="0"/>
        </w:rPr>
        <w:t xml:space="preserve">should </w:t>
      </w:r>
      <w:r w:rsidR="00F93F9B" w:rsidRPr="00B2091D">
        <w:rPr>
          <w:b w:val="0"/>
          <w:i w:val="0"/>
        </w:rPr>
        <w:t>also</w:t>
      </w:r>
      <w:r w:rsidR="00634B97" w:rsidRPr="00B2091D">
        <w:rPr>
          <w:b w:val="0"/>
          <w:i w:val="0"/>
        </w:rPr>
        <w:t xml:space="preserve"> </w:t>
      </w:r>
      <w:r w:rsidR="00CC1D63" w:rsidRPr="00B2091D">
        <w:rPr>
          <w:b w:val="0"/>
          <w:i w:val="0"/>
        </w:rPr>
        <w:t xml:space="preserve">be considered a tool </w:t>
      </w:r>
      <w:r w:rsidR="006B2FB6" w:rsidRPr="00B2091D">
        <w:rPr>
          <w:b w:val="0"/>
          <w:i w:val="0"/>
        </w:rPr>
        <w:t xml:space="preserve">for taking </w:t>
      </w:r>
      <w:r w:rsidR="00CC1D63" w:rsidRPr="00B2091D">
        <w:rPr>
          <w:b w:val="0"/>
          <w:i w:val="0"/>
        </w:rPr>
        <w:t xml:space="preserve">measures to ensure </w:t>
      </w:r>
      <w:r w:rsidR="00634B97" w:rsidRPr="00B2091D">
        <w:rPr>
          <w:b w:val="0"/>
          <w:i w:val="0"/>
        </w:rPr>
        <w:t xml:space="preserve">that </w:t>
      </w:r>
      <w:r w:rsidR="00CC1D63" w:rsidRPr="00B2091D">
        <w:rPr>
          <w:b w:val="0"/>
          <w:i w:val="0"/>
        </w:rPr>
        <w:t>its provisions</w:t>
      </w:r>
      <w:r w:rsidR="00634B97" w:rsidRPr="00B2091D">
        <w:rPr>
          <w:b w:val="0"/>
          <w:i w:val="0"/>
        </w:rPr>
        <w:t xml:space="preserve"> are fulfilled</w:t>
      </w:r>
      <w:r w:rsidR="006B2FB6" w:rsidRPr="00B2091D">
        <w:rPr>
          <w:b w:val="0"/>
          <w:i w:val="0"/>
        </w:rPr>
        <w:t xml:space="preserve"> effectively</w:t>
      </w:r>
      <w:r w:rsidR="00634B97" w:rsidRPr="00B2091D">
        <w:rPr>
          <w:b w:val="0"/>
          <w:i w:val="0"/>
        </w:rPr>
        <w:t>;</w:t>
      </w:r>
    </w:p>
    <w:p w14:paraId="7A3B90BB" w14:textId="456FEBE1" w:rsidR="0074006D" w:rsidRPr="00B2091D" w:rsidRDefault="00FC259E" w:rsidP="00B2091D">
      <w:pPr>
        <w:pStyle w:val="Hanging12"/>
        <w:rPr>
          <w:b w:val="0"/>
          <w:i w:val="0"/>
        </w:rPr>
      </w:pPr>
      <w:r w:rsidRPr="00B2091D">
        <w:rPr>
          <w:b w:val="0"/>
          <w:i w:val="0"/>
        </w:rPr>
        <w:t>D</w:t>
      </w:r>
      <w:r w:rsidR="0074006D" w:rsidRPr="00B2091D">
        <w:rPr>
          <w:b w:val="0"/>
          <w:i w:val="0"/>
        </w:rPr>
        <w:t>.</w:t>
      </w:r>
      <w:r w:rsidR="0074006D" w:rsidRPr="00B2091D">
        <w:rPr>
          <w:b w:val="0"/>
          <w:i w:val="0"/>
        </w:rPr>
        <w:tab/>
        <w:t xml:space="preserve">whereas Article 6 </w:t>
      </w:r>
      <w:r w:rsidR="00365E66" w:rsidRPr="00B2091D">
        <w:rPr>
          <w:b w:val="0"/>
          <w:i w:val="0"/>
        </w:rPr>
        <w:t>TEU</w:t>
      </w:r>
      <w:r w:rsidR="0074006D" w:rsidRPr="00B2091D">
        <w:rPr>
          <w:b w:val="0"/>
          <w:i w:val="0"/>
        </w:rPr>
        <w:t xml:space="preserve"> also emphasises that fundamental rights, as guaranteed by the European Convention on Human Rights</w:t>
      </w:r>
      <w:r w:rsidR="006B2FB6" w:rsidRPr="00B2091D">
        <w:rPr>
          <w:b w:val="0"/>
          <w:i w:val="0"/>
        </w:rPr>
        <w:t xml:space="preserve"> (ECHR)</w:t>
      </w:r>
      <w:r w:rsidR="00365E66" w:rsidRPr="00B2091D">
        <w:rPr>
          <w:b w:val="0"/>
          <w:i w:val="0"/>
        </w:rPr>
        <w:t>,</w:t>
      </w:r>
      <w:r w:rsidR="0074006D" w:rsidRPr="00B2091D">
        <w:rPr>
          <w:b w:val="0"/>
          <w:i w:val="0"/>
        </w:rPr>
        <w:t xml:space="preserve"> </w:t>
      </w:r>
      <w:r w:rsidR="00634B97" w:rsidRPr="00B2091D">
        <w:rPr>
          <w:b w:val="0"/>
          <w:i w:val="0"/>
        </w:rPr>
        <w:t xml:space="preserve">must </w:t>
      </w:r>
      <w:r w:rsidR="0074006D" w:rsidRPr="00B2091D">
        <w:rPr>
          <w:b w:val="0"/>
          <w:i w:val="0"/>
        </w:rPr>
        <w:t>constitute general principles of the Union</w:t>
      </w:r>
      <w:r w:rsidR="00B2091D" w:rsidRPr="00B2091D">
        <w:rPr>
          <w:b w:val="0"/>
          <w:i w:val="0"/>
        </w:rPr>
        <w:t>’</w:t>
      </w:r>
      <w:r w:rsidR="0074006D" w:rsidRPr="00B2091D">
        <w:rPr>
          <w:b w:val="0"/>
          <w:i w:val="0"/>
        </w:rPr>
        <w:t>s law;</w:t>
      </w:r>
    </w:p>
    <w:p w14:paraId="5A2C5C0E" w14:textId="1C49F65D" w:rsidR="0074006D" w:rsidRPr="00B2091D" w:rsidRDefault="00FC259E" w:rsidP="00B2091D">
      <w:pPr>
        <w:pStyle w:val="Hanging12"/>
        <w:rPr>
          <w:b w:val="0"/>
          <w:i w:val="0"/>
        </w:rPr>
      </w:pPr>
      <w:r w:rsidRPr="00B2091D">
        <w:rPr>
          <w:b w:val="0"/>
          <w:i w:val="0"/>
        </w:rPr>
        <w:t>E</w:t>
      </w:r>
      <w:r w:rsidR="0074006D" w:rsidRPr="00B2091D">
        <w:rPr>
          <w:b w:val="0"/>
          <w:i w:val="0"/>
        </w:rPr>
        <w:t>.</w:t>
      </w:r>
      <w:r w:rsidR="0074006D" w:rsidRPr="00B2091D">
        <w:rPr>
          <w:b w:val="0"/>
          <w:i w:val="0"/>
        </w:rPr>
        <w:tab/>
        <w:t xml:space="preserve">whereas Article 151 of the Treaty on the Functioning of the European Union </w:t>
      </w:r>
      <w:r w:rsidR="008B08ED" w:rsidRPr="00B2091D">
        <w:rPr>
          <w:b w:val="0"/>
          <w:i w:val="0"/>
        </w:rPr>
        <w:t xml:space="preserve">(TFEU) </w:t>
      </w:r>
      <w:r w:rsidR="0074006D" w:rsidRPr="00B2091D">
        <w:rPr>
          <w:b w:val="0"/>
          <w:i w:val="0"/>
        </w:rPr>
        <w:t>refers to fundamental social rights such as those set out in the European Social Charter;</w:t>
      </w:r>
    </w:p>
    <w:p w14:paraId="3410FAA9" w14:textId="5D03C5AE" w:rsidR="005D511B" w:rsidRPr="00B2091D" w:rsidRDefault="00FC259E" w:rsidP="00B2091D">
      <w:pPr>
        <w:pStyle w:val="Hanging12"/>
        <w:rPr>
          <w:b w:val="0"/>
          <w:i w:val="0"/>
          <w:szCs w:val="24"/>
        </w:rPr>
      </w:pPr>
      <w:r w:rsidRPr="00B2091D">
        <w:rPr>
          <w:b w:val="0"/>
          <w:i w:val="0"/>
        </w:rPr>
        <w:t>F</w:t>
      </w:r>
      <w:r w:rsidR="005D511B" w:rsidRPr="00B2091D">
        <w:rPr>
          <w:b w:val="0"/>
          <w:i w:val="0"/>
        </w:rPr>
        <w:t>.</w:t>
      </w:r>
      <w:r w:rsidR="005D511B" w:rsidRPr="00B2091D">
        <w:rPr>
          <w:b w:val="0"/>
          <w:i w:val="0"/>
        </w:rPr>
        <w:tab/>
        <w:t>whereas its study of November 2017 on the implementation of the Charter of Fundamental Rights in the EU institutional framework</w:t>
      </w:r>
      <w:r w:rsidR="005D511B" w:rsidRPr="00B2091D">
        <w:rPr>
          <w:b w:val="0"/>
          <w:i w:val="0"/>
          <w:vertAlign w:val="superscript"/>
        </w:rPr>
        <w:footnoteReference w:id="3"/>
      </w:r>
      <w:r w:rsidR="005D511B" w:rsidRPr="00B2091D">
        <w:rPr>
          <w:b w:val="0"/>
          <w:i w:val="0"/>
        </w:rPr>
        <w:t xml:space="preserve"> considers, inter alia, the relevance of the Charter for the Commission</w:t>
      </w:r>
      <w:r w:rsidR="00B2091D" w:rsidRPr="00B2091D">
        <w:rPr>
          <w:b w:val="0"/>
          <w:i w:val="0"/>
        </w:rPr>
        <w:t>’</w:t>
      </w:r>
      <w:r w:rsidR="005D511B" w:rsidRPr="00B2091D">
        <w:rPr>
          <w:b w:val="0"/>
          <w:i w:val="0"/>
        </w:rPr>
        <w:t xml:space="preserve">s activities under the Treaty Establishing the European Stability Mechanism (ESM Treaty) and in the context of the European semester; whereas little attention is being paid to the social rights </w:t>
      </w:r>
      <w:r w:rsidR="00634B97" w:rsidRPr="00B2091D">
        <w:rPr>
          <w:b w:val="0"/>
          <w:i w:val="0"/>
        </w:rPr>
        <w:t xml:space="preserve">set out in </w:t>
      </w:r>
      <w:r w:rsidR="005D511B" w:rsidRPr="00B2091D">
        <w:rPr>
          <w:b w:val="0"/>
          <w:i w:val="0"/>
        </w:rPr>
        <w:t xml:space="preserve">the Charter in the economic governance of the Union; whereas </w:t>
      </w:r>
      <w:r w:rsidR="00BE37B3" w:rsidRPr="00B2091D">
        <w:rPr>
          <w:b w:val="0"/>
          <w:i w:val="0"/>
        </w:rPr>
        <w:t xml:space="preserve">these rights </w:t>
      </w:r>
      <w:r w:rsidR="005D511B" w:rsidRPr="00B2091D">
        <w:rPr>
          <w:b w:val="0"/>
          <w:i w:val="0"/>
        </w:rPr>
        <w:t xml:space="preserve">must be considered </w:t>
      </w:r>
      <w:r w:rsidR="00B2091D" w:rsidRPr="00B2091D">
        <w:rPr>
          <w:b w:val="0"/>
          <w:i w:val="0"/>
        </w:rPr>
        <w:t>genuine fundamental rights;</w:t>
      </w:r>
    </w:p>
    <w:p w14:paraId="59197275" w14:textId="3B2494B9" w:rsidR="0074006D" w:rsidRPr="00B2091D" w:rsidRDefault="00FC259E" w:rsidP="00B2091D">
      <w:pPr>
        <w:pStyle w:val="Hanging12"/>
        <w:rPr>
          <w:b w:val="0"/>
          <w:i w:val="0"/>
        </w:rPr>
      </w:pPr>
      <w:r w:rsidRPr="00B2091D">
        <w:rPr>
          <w:b w:val="0"/>
          <w:i w:val="0"/>
        </w:rPr>
        <w:t>G</w:t>
      </w:r>
      <w:r w:rsidR="0074006D" w:rsidRPr="00B2091D">
        <w:rPr>
          <w:b w:val="0"/>
          <w:i w:val="0"/>
        </w:rPr>
        <w:t>.</w:t>
      </w:r>
      <w:r w:rsidR="0074006D" w:rsidRPr="00B2091D">
        <w:rPr>
          <w:b w:val="0"/>
          <w:i w:val="0"/>
        </w:rPr>
        <w:tab/>
        <w:t xml:space="preserve">whereas the EU Agency for Fundamental </w:t>
      </w:r>
      <w:r w:rsidR="000C728A" w:rsidRPr="00B2091D">
        <w:rPr>
          <w:b w:val="0"/>
          <w:i w:val="0"/>
        </w:rPr>
        <w:t>R</w:t>
      </w:r>
      <w:r w:rsidR="0074006D" w:rsidRPr="00B2091D">
        <w:rPr>
          <w:b w:val="0"/>
          <w:i w:val="0"/>
        </w:rPr>
        <w:t xml:space="preserve">ights </w:t>
      </w:r>
      <w:r w:rsidR="000C728A" w:rsidRPr="00B2091D">
        <w:rPr>
          <w:b w:val="0"/>
          <w:i w:val="0"/>
        </w:rPr>
        <w:t xml:space="preserve">(FRA) </w:t>
      </w:r>
      <w:r w:rsidR="0074006D" w:rsidRPr="00B2091D">
        <w:rPr>
          <w:b w:val="0"/>
          <w:i w:val="0"/>
        </w:rPr>
        <w:t xml:space="preserve">has formulated a number of recommendations for the effective implementation of the Charter of Fundamental Rights in </w:t>
      </w:r>
      <w:r w:rsidR="000C728A" w:rsidRPr="00B2091D">
        <w:rPr>
          <w:b w:val="0"/>
          <w:i w:val="0"/>
        </w:rPr>
        <w:t>its</w:t>
      </w:r>
      <w:r w:rsidR="0074006D" w:rsidRPr="00B2091D">
        <w:rPr>
          <w:b w:val="0"/>
          <w:i w:val="0"/>
        </w:rPr>
        <w:t xml:space="preserve"> </w:t>
      </w:r>
      <w:r w:rsidR="000C728A" w:rsidRPr="00B2091D">
        <w:rPr>
          <w:b w:val="0"/>
          <w:i w:val="0"/>
        </w:rPr>
        <w:t>opinions</w:t>
      </w:r>
      <w:r w:rsidR="0074006D" w:rsidRPr="00B2091D">
        <w:rPr>
          <w:b w:val="0"/>
          <w:i w:val="0"/>
        </w:rPr>
        <w:t xml:space="preserve"> </w:t>
      </w:r>
      <w:r w:rsidR="000C728A" w:rsidRPr="00B2091D">
        <w:rPr>
          <w:b w:val="0"/>
          <w:i w:val="0"/>
        </w:rPr>
        <w:t>entitled</w:t>
      </w:r>
      <w:r w:rsidR="0074006D" w:rsidRPr="00B2091D">
        <w:rPr>
          <w:b w:val="0"/>
          <w:i w:val="0"/>
        </w:rPr>
        <w:t xml:space="preserve"> </w:t>
      </w:r>
      <w:r w:rsidR="00B2091D" w:rsidRPr="00B2091D">
        <w:rPr>
          <w:b w:val="0"/>
          <w:i w:val="0"/>
        </w:rPr>
        <w:t>‘</w:t>
      </w:r>
      <w:r w:rsidR="0074006D" w:rsidRPr="00B2091D">
        <w:rPr>
          <w:b w:val="0"/>
          <w:i w:val="0"/>
        </w:rPr>
        <w:t>Improving access to remedy in the area of business and human rights at the EU level</w:t>
      </w:r>
      <w:r w:rsidR="00B2091D" w:rsidRPr="00B2091D">
        <w:rPr>
          <w:b w:val="0"/>
          <w:i w:val="0"/>
        </w:rPr>
        <w:t>’</w:t>
      </w:r>
      <w:r w:rsidR="0074006D" w:rsidRPr="00B2091D">
        <w:rPr>
          <w:rStyle w:val="FootnoteReference"/>
          <w:b w:val="0"/>
          <w:i w:val="0"/>
        </w:rPr>
        <w:footnoteReference w:id="4"/>
      </w:r>
      <w:r w:rsidR="0074006D" w:rsidRPr="00B2091D">
        <w:rPr>
          <w:b w:val="0"/>
          <w:i w:val="0"/>
        </w:rPr>
        <w:t xml:space="preserve"> and </w:t>
      </w:r>
      <w:r w:rsidR="00B2091D" w:rsidRPr="00B2091D">
        <w:rPr>
          <w:b w:val="0"/>
          <w:i w:val="0"/>
        </w:rPr>
        <w:t>‘</w:t>
      </w:r>
      <w:r w:rsidR="0074006D" w:rsidRPr="00B2091D">
        <w:rPr>
          <w:b w:val="0"/>
          <w:i w:val="0"/>
        </w:rPr>
        <w:t xml:space="preserve">Challenges and </w:t>
      </w:r>
      <w:r w:rsidR="000C728A" w:rsidRPr="00B2091D">
        <w:rPr>
          <w:b w:val="0"/>
          <w:i w:val="0"/>
        </w:rPr>
        <w:t>o</w:t>
      </w:r>
      <w:r w:rsidR="0074006D" w:rsidRPr="00B2091D">
        <w:rPr>
          <w:b w:val="0"/>
          <w:i w:val="0"/>
        </w:rPr>
        <w:t>pportunities for the implementation of the Charter of Fundamental Rights</w:t>
      </w:r>
      <w:r w:rsidR="00B2091D" w:rsidRPr="00B2091D">
        <w:rPr>
          <w:b w:val="0"/>
          <w:i w:val="0"/>
        </w:rPr>
        <w:t>’</w:t>
      </w:r>
      <w:r w:rsidR="0074006D" w:rsidRPr="00B2091D">
        <w:rPr>
          <w:rStyle w:val="FootnoteReference"/>
          <w:b w:val="0"/>
          <w:i w:val="0"/>
        </w:rPr>
        <w:footnoteReference w:id="5"/>
      </w:r>
      <w:r w:rsidR="0074006D" w:rsidRPr="00B2091D">
        <w:rPr>
          <w:b w:val="0"/>
          <w:i w:val="0"/>
        </w:rPr>
        <w:t>;</w:t>
      </w:r>
    </w:p>
    <w:p w14:paraId="4048D63C" w14:textId="58897C56" w:rsidR="0074006D" w:rsidRPr="00B2091D" w:rsidRDefault="0074006D" w:rsidP="00B2091D">
      <w:pPr>
        <w:pStyle w:val="Hanging12"/>
        <w:rPr>
          <w:b w:val="0"/>
          <w:i w:val="0"/>
        </w:rPr>
      </w:pPr>
      <w:r w:rsidRPr="00B2091D">
        <w:rPr>
          <w:b w:val="0"/>
          <w:i w:val="0"/>
        </w:rPr>
        <w:t>1.</w:t>
      </w:r>
      <w:r w:rsidRPr="00B2091D">
        <w:rPr>
          <w:b w:val="0"/>
          <w:i w:val="0"/>
        </w:rPr>
        <w:tab/>
        <w:t xml:space="preserve">States that the Charter of Fundamental Rights has to be applied </w:t>
      </w:r>
      <w:r w:rsidR="00CC7AB8" w:rsidRPr="00B2091D">
        <w:rPr>
          <w:b w:val="0"/>
          <w:i w:val="0"/>
        </w:rPr>
        <w:t>with</w:t>
      </w:r>
      <w:r w:rsidRPr="00B2091D">
        <w:rPr>
          <w:b w:val="0"/>
          <w:i w:val="0"/>
        </w:rPr>
        <w:t xml:space="preserve"> full respect </w:t>
      </w:r>
      <w:r w:rsidR="00CC7AB8" w:rsidRPr="00B2091D">
        <w:rPr>
          <w:b w:val="0"/>
          <w:i w:val="0"/>
        </w:rPr>
        <w:t>for</w:t>
      </w:r>
      <w:r w:rsidRPr="00B2091D">
        <w:rPr>
          <w:b w:val="0"/>
          <w:i w:val="0"/>
        </w:rPr>
        <w:t xml:space="preserve"> the ECHR, while also recognising the importance of the European Social Charter and the European Pillar </w:t>
      </w:r>
      <w:r w:rsidR="00CC7AB8" w:rsidRPr="00B2091D">
        <w:rPr>
          <w:b w:val="0"/>
          <w:i w:val="0"/>
        </w:rPr>
        <w:t>of Social Rights</w:t>
      </w:r>
      <w:r w:rsidR="00BE37B3" w:rsidRPr="00B2091D">
        <w:rPr>
          <w:b w:val="0"/>
          <w:i w:val="0"/>
        </w:rPr>
        <w:t>,</w:t>
      </w:r>
      <w:r w:rsidR="00CC7AB8" w:rsidRPr="00B2091D">
        <w:rPr>
          <w:b w:val="0"/>
          <w:i w:val="0"/>
        </w:rPr>
        <w:t xml:space="preserve"> </w:t>
      </w:r>
      <w:r w:rsidRPr="00B2091D">
        <w:rPr>
          <w:b w:val="0"/>
          <w:i w:val="0"/>
        </w:rPr>
        <w:t xml:space="preserve">and calls on the Commission to speed up the accession procedure of the EU to the ECHR and to give </w:t>
      </w:r>
      <w:r w:rsidR="00CC7AB8" w:rsidRPr="00B2091D">
        <w:rPr>
          <w:b w:val="0"/>
          <w:i w:val="0"/>
        </w:rPr>
        <w:t xml:space="preserve">greater </w:t>
      </w:r>
      <w:r w:rsidRPr="00B2091D">
        <w:rPr>
          <w:b w:val="0"/>
          <w:i w:val="0"/>
        </w:rPr>
        <w:t>priority to the examination of the possibility of the EU</w:t>
      </w:r>
      <w:r w:rsidR="00B2091D" w:rsidRPr="00B2091D">
        <w:rPr>
          <w:b w:val="0"/>
          <w:i w:val="0"/>
        </w:rPr>
        <w:t>’</w:t>
      </w:r>
      <w:r w:rsidRPr="00B2091D">
        <w:rPr>
          <w:b w:val="0"/>
          <w:i w:val="0"/>
        </w:rPr>
        <w:t xml:space="preserve">s accession to the </w:t>
      </w:r>
      <w:r w:rsidRPr="00B2091D">
        <w:rPr>
          <w:b w:val="0"/>
          <w:i w:val="0"/>
        </w:rPr>
        <w:lastRenderedPageBreak/>
        <w:t>European Social Charter;</w:t>
      </w:r>
    </w:p>
    <w:p w14:paraId="0EC98C06" w14:textId="6F057219" w:rsidR="005D511B" w:rsidRPr="00B2091D" w:rsidRDefault="00FC259E" w:rsidP="00B2091D">
      <w:pPr>
        <w:pStyle w:val="Hanging12"/>
        <w:rPr>
          <w:b w:val="0"/>
          <w:i w:val="0"/>
          <w:szCs w:val="24"/>
        </w:rPr>
      </w:pPr>
      <w:r w:rsidRPr="00B2091D">
        <w:rPr>
          <w:b w:val="0"/>
          <w:i w:val="0"/>
        </w:rPr>
        <w:t>2</w:t>
      </w:r>
      <w:r w:rsidR="005D511B" w:rsidRPr="00B2091D">
        <w:rPr>
          <w:b w:val="0"/>
          <w:i w:val="0"/>
        </w:rPr>
        <w:t>.</w:t>
      </w:r>
      <w:r w:rsidR="005D511B" w:rsidRPr="00B2091D">
        <w:rPr>
          <w:b w:val="0"/>
          <w:i w:val="0"/>
        </w:rPr>
        <w:tab/>
        <w:t xml:space="preserve">Urges the Commission to clarify the scope of Article 51 </w:t>
      </w:r>
      <w:r w:rsidR="00BE37B3" w:rsidRPr="00B2091D">
        <w:rPr>
          <w:b w:val="0"/>
          <w:i w:val="0"/>
        </w:rPr>
        <w:t xml:space="preserve">of the Charter of Fundamental Rights, </w:t>
      </w:r>
      <w:r w:rsidR="005D511B" w:rsidRPr="00B2091D">
        <w:rPr>
          <w:b w:val="0"/>
          <w:i w:val="0"/>
        </w:rPr>
        <w:t>since different interpretations add to the confusion and make the application of the Charter unclear and unsatisfactory</w:t>
      </w:r>
      <w:r w:rsidR="005D511B" w:rsidRPr="00B2091D">
        <w:rPr>
          <w:b w:val="0"/>
          <w:i w:val="0"/>
          <w:vertAlign w:val="superscript"/>
        </w:rPr>
        <w:footnoteReference w:id="6"/>
      </w:r>
      <w:r w:rsidR="005D511B" w:rsidRPr="00B2091D">
        <w:rPr>
          <w:b w:val="0"/>
          <w:i w:val="0"/>
        </w:rPr>
        <w:t>;</w:t>
      </w:r>
    </w:p>
    <w:p w14:paraId="70871369" w14:textId="682D15C8" w:rsidR="00CC1D63" w:rsidRPr="00B2091D" w:rsidRDefault="00FC259E" w:rsidP="00B2091D">
      <w:pPr>
        <w:pStyle w:val="Hanging12"/>
        <w:rPr>
          <w:b w:val="0"/>
          <w:i w:val="0"/>
        </w:rPr>
      </w:pPr>
      <w:r w:rsidRPr="00B2091D">
        <w:rPr>
          <w:b w:val="0"/>
          <w:i w:val="0"/>
        </w:rPr>
        <w:t>3</w:t>
      </w:r>
      <w:r w:rsidR="00CC1D63" w:rsidRPr="00B2091D">
        <w:rPr>
          <w:b w:val="0"/>
          <w:i w:val="0"/>
        </w:rPr>
        <w:t>.</w:t>
      </w:r>
      <w:r w:rsidR="00CC1D63" w:rsidRPr="00B2091D">
        <w:rPr>
          <w:b w:val="0"/>
          <w:i w:val="0"/>
        </w:rPr>
        <w:tab/>
        <w:t>Calls on the Commission to provide Member States with guidance as to how fundamental rights should be taken into account when they implement Union law;</w:t>
      </w:r>
    </w:p>
    <w:p w14:paraId="2737F8C3" w14:textId="5E9F243A" w:rsidR="00CC1D63" w:rsidRPr="00B2091D" w:rsidRDefault="00FC259E" w:rsidP="00B2091D">
      <w:pPr>
        <w:pStyle w:val="Hanging12"/>
        <w:rPr>
          <w:b w:val="0"/>
          <w:i w:val="0"/>
        </w:rPr>
      </w:pPr>
      <w:r w:rsidRPr="00B2091D">
        <w:rPr>
          <w:b w:val="0"/>
          <w:i w:val="0"/>
        </w:rPr>
        <w:t>4</w:t>
      </w:r>
      <w:r w:rsidR="00CC1D63" w:rsidRPr="00B2091D">
        <w:rPr>
          <w:b w:val="0"/>
          <w:i w:val="0"/>
        </w:rPr>
        <w:t>.</w:t>
      </w:r>
      <w:r w:rsidR="00CC1D63" w:rsidRPr="00B2091D">
        <w:rPr>
          <w:b w:val="0"/>
          <w:i w:val="0"/>
        </w:rPr>
        <w:tab/>
        <w:t>Stresses that Article 51</w:t>
      </w:r>
      <w:r w:rsidR="00BE37B3" w:rsidRPr="00B2091D">
        <w:rPr>
          <w:b w:val="0"/>
          <w:i w:val="0"/>
        </w:rPr>
        <w:t>(</w:t>
      </w:r>
      <w:r w:rsidR="00CC1D63" w:rsidRPr="00B2091D">
        <w:rPr>
          <w:b w:val="0"/>
          <w:i w:val="0"/>
        </w:rPr>
        <w:t>1</w:t>
      </w:r>
      <w:r w:rsidR="00BE37B3" w:rsidRPr="00B2091D">
        <w:rPr>
          <w:b w:val="0"/>
          <w:i w:val="0"/>
        </w:rPr>
        <w:t>)</w:t>
      </w:r>
      <w:r w:rsidR="00CC1D63" w:rsidRPr="00B2091D">
        <w:rPr>
          <w:b w:val="0"/>
          <w:i w:val="0"/>
        </w:rPr>
        <w:t xml:space="preserve"> of the Charter calls for the promotion of the rights and principles </w:t>
      </w:r>
      <w:r w:rsidR="00BE37B3" w:rsidRPr="00B2091D">
        <w:rPr>
          <w:b w:val="0"/>
          <w:i w:val="0"/>
        </w:rPr>
        <w:t>set out therein</w:t>
      </w:r>
      <w:r w:rsidR="00CC1D63" w:rsidRPr="00B2091D">
        <w:rPr>
          <w:b w:val="0"/>
          <w:i w:val="0"/>
        </w:rPr>
        <w:t xml:space="preserve"> and points to the link between Union values and the Charter, as well as with the Copenhagen criteria for </w:t>
      </w:r>
      <w:r w:rsidR="00BE37B3" w:rsidRPr="00B2091D">
        <w:rPr>
          <w:b w:val="0"/>
          <w:i w:val="0"/>
        </w:rPr>
        <w:t xml:space="preserve">the </w:t>
      </w:r>
      <w:r w:rsidR="00CC1D63" w:rsidRPr="00B2091D">
        <w:rPr>
          <w:b w:val="0"/>
          <w:i w:val="0"/>
        </w:rPr>
        <w:t xml:space="preserve">accession of third countries to the Union; regrets that so far the EU does not have at its disposal a comprehensive mechanism for the protection of democracy, the rule of law and fundamental rights, as advocated by Parliament in its </w:t>
      </w:r>
      <w:r w:rsidR="00BE37B3" w:rsidRPr="00B2091D">
        <w:rPr>
          <w:b w:val="0"/>
          <w:i w:val="0"/>
        </w:rPr>
        <w:t>r</w:t>
      </w:r>
      <w:r w:rsidR="00CC1D63" w:rsidRPr="00B2091D">
        <w:rPr>
          <w:b w:val="0"/>
          <w:i w:val="0"/>
        </w:rPr>
        <w:t>esolution of 14 November 2018</w:t>
      </w:r>
      <w:r w:rsidR="00CC1D63" w:rsidRPr="00B2091D">
        <w:rPr>
          <w:b w:val="0"/>
          <w:i w:val="0"/>
          <w:vertAlign w:val="superscript"/>
        </w:rPr>
        <w:footnoteReference w:id="7"/>
      </w:r>
      <w:r w:rsidR="00CC1D63" w:rsidRPr="00B2091D">
        <w:rPr>
          <w:b w:val="0"/>
          <w:i w:val="0"/>
        </w:rPr>
        <w:t xml:space="preserve">, </w:t>
      </w:r>
      <w:r w:rsidR="002A57E6" w:rsidRPr="00B2091D">
        <w:rPr>
          <w:b w:val="0"/>
          <w:i w:val="0"/>
        </w:rPr>
        <w:t>which</w:t>
      </w:r>
      <w:r w:rsidR="00CC1D63" w:rsidRPr="00B2091D">
        <w:rPr>
          <w:b w:val="0"/>
          <w:i w:val="0"/>
        </w:rPr>
        <w:t xml:space="preserve"> would allow </w:t>
      </w:r>
      <w:r w:rsidR="00BE37B3" w:rsidRPr="00B2091D">
        <w:rPr>
          <w:b w:val="0"/>
          <w:i w:val="0"/>
        </w:rPr>
        <w:t>for the systematic screening of</w:t>
      </w:r>
      <w:r w:rsidR="00CC1D63" w:rsidRPr="00B2091D">
        <w:rPr>
          <w:b w:val="0"/>
          <w:i w:val="0"/>
        </w:rPr>
        <w:t xml:space="preserve"> developments </w:t>
      </w:r>
      <w:r w:rsidR="00DC6723" w:rsidRPr="00B2091D">
        <w:rPr>
          <w:b w:val="0"/>
          <w:i w:val="0"/>
        </w:rPr>
        <w:t>in</w:t>
      </w:r>
      <w:r w:rsidR="00CC1D63" w:rsidRPr="00B2091D">
        <w:rPr>
          <w:b w:val="0"/>
          <w:i w:val="0"/>
        </w:rPr>
        <w:t xml:space="preserve"> the EU institutions and bodies</w:t>
      </w:r>
      <w:r w:rsidR="00DC6723" w:rsidRPr="00B2091D">
        <w:rPr>
          <w:b w:val="0"/>
          <w:i w:val="0"/>
        </w:rPr>
        <w:t xml:space="preserve"> and </w:t>
      </w:r>
      <w:r w:rsidR="00466311" w:rsidRPr="00B2091D">
        <w:rPr>
          <w:b w:val="0"/>
          <w:i w:val="0"/>
        </w:rPr>
        <w:t xml:space="preserve">in </w:t>
      </w:r>
      <w:r w:rsidR="002A57E6" w:rsidRPr="00B2091D">
        <w:rPr>
          <w:b w:val="0"/>
          <w:i w:val="0"/>
        </w:rPr>
        <w:t>the</w:t>
      </w:r>
      <w:r w:rsidR="00CC1D63" w:rsidRPr="00B2091D">
        <w:rPr>
          <w:b w:val="0"/>
          <w:i w:val="0"/>
        </w:rPr>
        <w:t xml:space="preserve"> Member States that call for action to protect and fulfil the rights, freedoms and principles of the Charter; suggests, in particular, that the conditions </w:t>
      </w:r>
      <w:r w:rsidR="00DC6723" w:rsidRPr="00B2091D">
        <w:rPr>
          <w:b w:val="0"/>
          <w:i w:val="0"/>
        </w:rPr>
        <w:t>set out in</w:t>
      </w:r>
      <w:r w:rsidR="00CC1D63" w:rsidRPr="00B2091D">
        <w:rPr>
          <w:b w:val="0"/>
          <w:i w:val="0"/>
        </w:rPr>
        <w:t xml:space="preserve"> the Copenhagen </w:t>
      </w:r>
      <w:r w:rsidR="002A57E6" w:rsidRPr="00B2091D">
        <w:rPr>
          <w:b w:val="0"/>
          <w:i w:val="0"/>
        </w:rPr>
        <w:t>c</w:t>
      </w:r>
      <w:r w:rsidR="00CC1D63" w:rsidRPr="00B2091D">
        <w:rPr>
          <w:b w:val="0"/>
          <w:i w:val="0"/>
        </w:rPr>
        <w:t>riteria relating to fundamental rights not simply</w:t>
      </w:r>
      <w:r w:rsidR="00FF242C" w:rsidRPr="00B2091D">
        <w:rPr>
          <w:b w:val="0"/>
          <w:i w:val="0"/>
        </w:rPr>
        <w:t xml:space="preserve"> be</w:t>
      </w:r>
      <w:r w:rsidR="00CC1D63" w:rsidRPr="00B2091D">
        <w:rPr>
          <w:b w:val="0"/>
          <w:i w:val="0"/>
        </w:rPr>
        <w:t xml:space="preserve"> used once as accession preconditions</w:t>
      </w:r>
      <w:r w:rsidR="002A57E6" w:rsidRPr="00B2091D">
        <w:rPr>
          <w:b w:val="0"/>
          <w:i w:val="0"/>
        </w:rPr>
        <w:t>,</w:t>
      </w:r>
      <w:r w:rsidR="00CC1D63" w:rsidRPr="00B2091D">
        <w:rPr>
          <w:b w:val="0"/>
          <w:i w:val="0"/>
        </w:rPr>
        <w:t xml:space="preserve"> but that Member States</w:t>
      </w:r>
      <w:r w:rsidR="00FF242C" w:rsidRPr="00B2091D">
        <w:rPr>
          <w:b w:val="0"/>
          <w:i w:val="0"/>
        </w:rPr>
        <w:t xml:space="preserve"> be</w:t>
      </w:r>
      <w:r w:rsidR="00CC1D63" w:rsidRPr="00B2091D">
        <w:rPr>
          <w:b w:val="0"/>
          <w:i w:val="0"/>
        </w:rPr>
        <w:t xml:space="preserve"> periodically assessed against </w:t>
      </w:r>
      <w:r w:rsidR="00FF242C" w:rsidRPr="00B2091D">
        <w:rPr>
          <w:b w:val="0"/>
          <w:i w:val="0"/>
        </w:rPr>
        <w:t>them</w:t>
      </w:r>
      <w:r w:rsidR="00CC1D63" w:rsidRPr="00B2091D">
        <w:rPr>
          <w:b w:val="0"/>
          <w:i w:val="0"/>
        </w:rPr>
        <w:t>;</w:t>
      </w:r>
    </w:p>
    <w:p w14:paraId="05FD3F21" w14:textId="4EC489D2" w:rsidR="00CC1D63" w:rsidRPr="00B2091D" w:rsidRDefault="00FC259E" w:rsidP="00B2091D">
      <w:pPr>
        <w:pStyle w:val="Hanging12"/>
        <w:rPr>
          <w:b w:val="0"/>
          <w:i w:val="0"/>
        </w:rPr>
      </w:pPr>
      <w:r w:rsidRPr="00B2091D">
        <w:rPr>
          <w:b w:val="0"/>
          <w:i w:val="0"/>
        </w:rPr>
        <w:t>5</w:t>
      </w:r>
      <w:r w:rsidR="00CC1D63" w:rsidRPr="00B2091D">
        <w:rPr>
          <w:b w:val="0"/>
          <w:i w:val="0"/>
        </w:rPr>
        <w:t>.</w:t>
      </w:r>
      <w:r w:rsidR="00CC1D63" w:rsidRPr="00B2091D">
        <w:rPr>
          <w:b w:val="0"/>
          <w:i w:val="0"/>
        </w:rPr>
        <w:tab/>
        <w:t>Notes with concern that the Charter of Fundamental Rights only applies in Member States when implementing EU law and invites the different EU institutions to consider enhancing the scope of application of the Charter in the next revision of the Treaty;</w:t>
      </w:r>
    </w:p>
    <w:p w14:paraId="11C1645C" w14:textId="79D601A7" w:rsidR="005D511B" w:rsidRPr="00B2091D" w:rsidRDefault="00FC259E" w:rsidP="00B2091D">
      <w:pPr>
        <w:pStyle w:val="Hanging12"/>
        <w:rPr>
          <w:b w:val="0"/>
          <w:i w:val="0"/>
          <w:szCs w:val="24"/>
        </w:rPr>
      </w:pPr>
      <w:r w:rsidRPr="00B2091D">
        <w:rPr>
          <w:b w:val="0"/>
          <w:i w:val="0"/>
        </w:rPr>
        <w:t>6</w:t>
      </w:r>
      <w:r w:rsidR="005D511B" w:rsidRPr="00B2091D">
        <w:rPr>
          <w:b w:val="0"/>
          <w:i w:val="0"/>
        </w:rPr>
        <w:t>.</w:t>
      </w:r>
      <w:r w:rsidR="005D511B" w:rsidRPr="00B2091D">
        <w:rPr>
          <w:b w:val="0"/>
          <w:i w:val="0"/>
        </w:rPr>
        <w:tab/>
        <w:t>Calls on the Commission, the other EU institutions and Member States</w:t>
      </w:r>
      <w:r w:rsidR="00B2091D" w:rsidRPr="00B2091D">
        <w:rPr>
          <w:b w:val="0"/>
          <w:i w:val="0"/>
        </w:rPr>
        <w:t>’</w:t>
      </w:r>
      <w:r w:rsidR="005D511B" w:rsidRPr="00B2091D">
        <w:rPr>
          <w:b w:val="0"/>
          <w:i w:val="0"/>
        </w:rPr>
        <w:t xml:space="preserve"> national and regional governments to regularly consult the </w:t>
      </w:r>
      <w:r w:rsidR="00EB6955" w:rsidRPr="00B2091D">
        <w:rPr>
          <w:b w:val="0"/>
          <w:i w:val="0"/>
        </w:rPr>
        <w:t>FRA</w:t>
      </w:r>
      <w:r w:rsidR="005D511B" w:rsidRPr="00B2091D">
        <w:rPr>
          <w:b w:val="0"/>
          <w:i w:val="0"/>
        </w:rPr>
        <w:t xml:space="preserve"> when fundamental rights are at stake; calls, furthermore, for the introduction within the framework of the European Semester of a compulsory assessment and review of Member States</w:t>
      </w:r>
      <w:r w:rsidR="00B2091D" w:rsidRPr="00B2091D">
        <w:rPr>
          <w:b w:val="0"/>
          <w:i w:val="0"/>
        </w:rPr>
        <w:t>’</w:t>
      </w:r>
      <w:r w:rsidR="005D511B" w:rsidRPr="00B2091D">
        <w:rPr>
          <w:b w:val="0"/>
          <w:i w:val="0"/>
        </w:rPr>
        <w:t xml:space="preserve"> adherence to the provisions of the Charter;</w:t>
      </w:r>
    </w:p>
    <w:p w14:paraId="645293E3" w14:textId="1EFFD0FE" w:rsidR="005D511B" w:rsidRPr="00B2091D" w:rsidRDefault="00FC259E" w:rsidP="00B2091D">
      <w:pPr>
        <w:pStyle w:val="Hanging12"/>
        <w:rPr>
          <w:b w:val="0"/>
          <w:i w:val="0"/>
        </w:rPr>
      </w:pPr>
      <w:r w:rsidRPr="00B2091D">
        <w:rPr>
          <w:b w:val="0"/>
          <w:i w:val="0"/>
        </w:rPr>
        <w:t>7</w:t>
      </w:r>
      <w:r w:rsidR="005D511B" w:rsidRPr="00B2091D">
        <w:rPr>
          <w:b w:val="0"/>
          <w:i w:val="0"/>
        </w:rPr>
        <w:t>.</w:t>
      </w:r>
      <w:r w:rsidR="005D511B" w:rsidRPr="00B2091D">
        <w:rPr>
          <w:b w:val="0"/>
          <w:i w:val="0"/>
        </w:rPr>
        <w:tab/>
        <w:t xml:space="preserve">Expresses its concern about the lack of systematic fundamental rights impact </w:t>
      </w:r>
      <w:r w:rsidR="005D511B" w:rsidRPr="00B2091D">
        <w:rPr>
          <w:b w:val="0"/>
          <w:i w:val="0"/>
        </w:rPr>
        <w:lastRenderedPageBreak/>
        <w:t xml:space="preserve">assessments preceding the adoption by the Commission of its legislative proposals and calls </w:t>
      </w:r>
      <w:r w:rsidR="002A57E6" w:rsidRPr="00B2091D">
        <w:rPr>
          <w:b w:val="0"/>
          <w:i w:val="0"/>
        </w:rPr>
        <w:t>for</w:t>
      </w:r>
      <w:r w:rsidR="005D511B" w:rsidRPr="00B2091D">
        <w:rPr>
          <w:b w:val="0"/>
          <w:i w:val="0"/>
        </w:rPr>
        <w:t xml:space="preserve"> the Commission, the Council and Parliament to hold independent and comprehensive compatibility checks and impact assessments of fundamental rights for each legislative proposal, thus mainstreaming fundamental rights in all relevant policy areas;</w:t>
      </w:r>
    </w:p>
    <w:p w14:paraId="7E80E2B6" w14:textId="0DACC1D5" w:rsidR="005D511B" w:rsidRPr="00B2091D" w:rsidRDefault="00FC259E" w:rsidP="00B2091D">
      <w:pPr>
        <w:pStyle w:val="Hanging12"/>
        <w:rPr>
          <w:b w:val="0"/>
          <w:i w:val="0"/>
          <w:szCs w:val="24"/>
        </w:rPr>
      </w:pPr>
      <w:r w:rsidRPr="00B2091D">
        <w:rPr>
          <w:b w:val="0"/>
          <w:i w:val="0"/>
        </w:rPr>
        <w:t>8</w:t>
      </w:r>
      <w:r w:rsidR="005D511B" w:rsidRPr="00B2091D">
        <w:rPr>
          <w:b w:val="0"/>
          <w:i w:val="0"/>
        </w:rPr>
        <w:t>.</w:t>
      </w:r>
      <w:r w:rsidR="005D511B" w:rsidRPr="00B2091D">
        <w:rPr>
          <w:b w:val="0"/>
          <w:i w:val="0"/>
        </w:rPr>
        <w:tab/>
        <w:t xml:space="preserve">Calls </w:t>
      </w:r>
      <w:r w:rsidR="00C93A02" w:rsidRPr="00B2091D">
        <w:rPr>
          <w:b w:val="0"/>
          <w:i w:val="0"/>
        </w:rPr>
        <w:t>for</w:t>
      </w:r>
      <w:r w:rsidR="005D511B" w:rsidRPr="00B2091D">
        <w:rPr>
          <w:b w:val="0"/>
          <w:i w:val="0"/>
        </w:rPr>
        <w:t xml:space="preserve"> the Commission, the Council and Parliament to provide for systematic forms of consultation of bodies and institutions with expertise on human rights in general and on the Charter of Fundamental Rights in particular; refers</w:t>
      </w:r>
      <w:r w:rsidR="00155E4C" w:rsidRPr="00B2091D">
        <w:rPr>
          <w:b w:val="0"/>
          <w:i w:val="0"/>
        </w:rPr>
        <w:t>,</w:t>
      </w:r>
      <w:r w:rsidR="005D511B" w:rsidRPr="00B2091D">
        <w:rPr>
          <w:b w:val="0"/>
          <w:i w:val="0"/>
        </w:rPr>
        <w:t xml:space="preserve"> in this respect</w:t>
      </w:r>
      <w:r w:rsidR="00155E4C" w:rsidRPr="00B2091D">
        <w:rPr>
          <w:b w:val="0"/>
          <w:i w:val="0"/>
        </w:rPr>
        <w:t>,</w:t>
      </w:r>
      <w:r w:rsidR="005D511B" w:rsidRPr="00B2091D">
        <w:rPr>
          <w:b w:val="0"/>
          <w:i w:val="0"/>
        </w:rPr>
        <w:t xml:space="preserve"> to the </w:t>
      </w:r>
      <w:r w:rsidR="00155E4C" w:rsidRPr="00B2091D">
        <w:rPr>
          <w:b w:val="0"/>
          <w:i w:val="0"/>
        </w:rPr>
        <w:t>FRA</w:t>
      </w:r>
      <w:r w:rsidR="005D511B" w:rsidRPr="00B2091D">
        <w:rPr>
          <w:b w:val="0"/>
          <w:i w:val="0"/>
        </w:rPr>
        <w:t xml:space="preserve"> and to the relevant bodies of the Council of Europe and of the United Nations;</w:t>
      </w:r>
    </w:p>
    <w:p w14:paraId="454F8C92" w14:textId="29FD1DDF" w:rsidR="0074006D" w:rsidRPr="00B2091D" w:rsidRDefault="00FC259E" w:rsidP="00B2091D">
      <w:pPr>
        <w:pStyle w:val="Hanging12"/>
        <w:rPr>
          <w:b w:val="0"/>
          <w:i w:val="0"/>
        </w:rPr>
      </w:pPr>
      <w:r w:rsidRPr="00B2091D">
        <w:rPr>
          <w:b w:val="0"/>
          <w:i w:val="0"/>
        </w:rPr>
        <w:t>9</w:t>
      </w:r>
      <w:r w:rsidR="005D511B" w:rsidRPr="00B2091D">
        <w:rPr>
          <w:b w:val="0"/>
          <w:i w:val="0"/>
        </w:rPr>
        <w:t>.</w:t>
      </w:r>
      <w:r w:rsidR="005D511B" w:rsidRPr="00B2091D">
        <w:rPr>
          <w:b w:val="0"/>
          <w:i w:val="0"/>
        </w:rPr>
        <w:tab/>
        <w:t>Recalls that the Court of Justice ruled</w:t>
      </w:r>
      <w:r w:rsidR="005D511B" w:rsidRPr="00B2091D">
        <w:rPr>
          <w:b w:val="0"/>
          <w:i w:val="0"/>
          <w:vertAlign w:val="superscript"/>
        </w:rPr>
        <w:footnoteReference w:id="8"/>
      </w:r>
      <w:r w:rsidR="005D511B" w:rsidRPr="00B2091D">
        <w:rPr>
          <w:b w:val="0"/>
          <w:i w:val="0"/>
        </w:rPr>
        <w:t xml:space="preserve"> that the Commission must fully respect the Charter also in the tasks allocated to it under the ESM Treaty, in particular when it comes to signing memoranda of understanding, and that the same applies to the country-specific recommendations in the context of the European semester; calls on the Commission to systematically integrate fundamental rights impact assessments into EU socio-economic governance</w:t>
      </w:r>
      <w:r w:rsidR="008C5F90" w:rsidRPr="00B2091D">
        <w:rPr>
          <w:b w:val="0"/>
          <w:i w:val="0"/>
        </w:rPr>
        <w:t>,</w:t>
      </w:r>
      <w:r w:rsidR="005D511B" w:rsidRPr="00B2091D">
        <w:rPr>
          <w:b w:val="0"/>
          <w:i w:val="0"/>
        </w:rPr>
        <w:t xml:space="preserve"> </w:t>
      </w:r>
      <w:r w:rsidR="008C5F90" w:rsidRPr="00B2091D">
        <w:rPr>
          <w:b w:val="0"/>
          <w:i w:val="0"/>
        </w:rPr>
        <w:t xml:space="preserve">paying </w:t>
      </w:r>
      <w:r w:rsidR="005D511B" w:rsidRPr="00B2091D">
        <w:rPr>
          <w:b w:val="0"/>
          <w:i w:val="0"/>
        </w:rPr>
        <w:t>particular attention to compatibility with the social provisions of the Charter</w:t>
      </w:r>
      <w:r w:rsidR="0074006D" w:rsidRPr="00B2091D">
        <w:rPr>
          <w:b w:val="0"/>
          <w:i w:val="0"/>
        </w:rPr>
        <w:t>;</w:t>
      </w:r>
    </w:p>
    <w:p w14:paraId="0471A339" w14:textId="02CE9D63" w:rsidR="005D511B" w:rsidRPr="00B2091D" w:rsidRDefault="00FC259E" w:rsidP="00B2091D">
      <w:pPr>
        <w:pStyle w:val="Hanging12"/>
        <w:rPr>
          <w:b w:val="0"/>
          <w:i w:val="0"/>
          <w:szCs w:val="24"/>
        </w:rPr>
      </w:pPr>
      <w:r w:rsidRPr="00B2091D">
        <w:rPr>
          <w:b w:val="0"/>
          <w:i w:val="0"/>
        </w:rPr>
        <w:t>10</w:t>
      </w:r>
      <w:r w:rsidR="005D511B" w:rsidRPr="00B2091D">
        <w:rPr>
          <w:b w:val="0"/>
          <w:i w:val="0"/>
        </w:rPr>
        <w:t>.</w:t>
      </w:r>
      <w:r w:rsidR="005D511B" w:rsidRPr="00B2091D">
        <w:rPr>
          <w:b w:val="0"/>
          <w:i w:val="0"/>
        </w:rPr>
        <w:tab/>
        <w:t xml:space="preserve">Points out that loopholes in </w:t>
      </w:r>
      <w:r w:rsidR="008C5F90" w:rsidRPr="00B2091D">
        <w:rPr>
          <w:b w:val="0"/>
          <w:i w:val="0"/>
        </w:rPr>
        <w:t xml:space="preserve">the </w:t>
      </w:r>
      <w:r w:rsidR="005D511B" w:rsidRPr="00B2091D">
        <w:rPr>
          <w:b w:val="0"/>
          <w:i w:val="0"/>
        </w:rPr>
        <w:t xml:space="preserve">transposition and proper implementation of EU law in Member States can have </w:t>
      </w:r>
      <w:r w:rsidR="008C5F90" w:rsidRPr="00B2091D">
        <w:rPr>
          <w:b w:val="0"/>
          <w:i w:val="0"/>
        </w:rPr>
        <w:t>a real impact on</w:t>
      </w:r>
      <w:r w:rsidR="005D511B" w:rsidRPr="00B2091D">
        <w:rPr>
          <w:b w:val="0"/>
          <w:i w:val="0"/>
        </w:rPr>
        <w:t xml:space="preserve"> the enjoyment of EU </w:t>
      </w:r>
      <w:r w:rsidR="008C5F90" w:rsidRPr="00B2091D">
        <w:rPr>
          <w:b w:val="0"/>
          <w:i w:val="0"/>
        </w:rPr>
        <w:t>fundamental rights</w:t>
      </w:r>
      <w:r w:rsidR="005D511B" w:rsidRPr="00B2091D">
        <w:rPr>
          <w:b w:val="0"/>
          <w:i w:val="0"/>
        </w:rPr>
        <w:t>; recalls</w:t>
      </w:r>
      <w:r w:rsidR="008C5F90" w:rsidRPr="00B2091D">
        <w:rPr>
          <w:b w:val="0"/>
          <w:i w:val="0"/>
        </w:rPr>
        <w:t>,</w:t>
      </w:r>
      <w:r w:rsidR="005D511B" w:rsidRPr="00B2091D">
        <w:rPr>
          <w:b w:val="0"/>
          <w:i w:val="0"/>
        </w:rPr>
        <w:t xml:space="preserve"> in this sense</w:t>
      </w:r>
      <w:r w:rsidR="008C5F90" w:rsidRPr="00B2091D">
        <w:rPr>
          <w:b w:val="0"/>
          <w:i w:val="0"/>
        </w:rPr>
        <w:t>,</w:t>
      </w:r>
      <w:r w:rsidR="005D511B" w:rsidRPr="00B2091D">
        <w:rPr>
          <w:b w:val="0"/>
          <w:i w:val="0"/>
        </w:rPr>
        <w:t xml:space="preserve"> the </w:t>
      </w:r>
      <w:r w:rsidR="008C5F90" w:rsidRPr="00B2091D">
        <w:rPr>
          <w:b w:val="0"/>
          <w:i w:val="0"/>
        </w:rPr>
        <w:t>Commission</w:t>
      </w:r>
      <w:r w:rsidR="00B2091D" w:rsidRPr="00B2091D">
        <w:rPr>
          <w:b w:val="0"/>
          <w:i w:val="0"/>
        </w:rPr>
        <w:t>’</w:t>
      </w:r>
      <w:r w:rsidR="008C5F90" w:rsidRPr="00B2091D">
        <w:rPr>
          <w:b w:val="0"/>
          <w:i w:val="0"/>
        </w:rPr>
        <w:t xml:space="preserve">s </w:t>
      </w:r>
      <w:r w:rsidR="005D511B" w:rsidRPr="00B2091D">
        <w:rPr>
          <w:b w:val="0"/>
          <w:i w:val="0"/>
        </w:rPr>
        <w:t xml:space="preserve">role as guardian of the </w:t>
      </w:r>
      <w:r w:rsidR="008C5F90" w:rsidRPr="00B2091D">
        <w:rPr>
          <w:b w:val="0"/>
          <w:i w:val="0"/>
        </w:rPr>
        <w:t>Treaties</w:t>
      </w:r>
      <w:r w:rsidR="005D511B" w:rsidRPr="00B2091D">
        <w:rPr>
          <w:b w:val="0"/>
          <w:i w:val="0"/>
        </w:rPr>
        <w:t xml:space="preserve">, </w:t>
      </w:r>
      <w:r w:rsidR="008C5F90" w:rsidRPr="00B2091D">
        <w:rPr>
          <w:b w:val="0"/>
          <w:i w:val="0"/>
        </w:rPr>
        <w:t xml:space="preserve">and that it is </w:t>
      </w:r>
      <w:r w:rsidR="005D511B" w:rsidRPr="00B2091D">
        <w:rPr>
          <w:b w:val="0"/>
          <w:i w:val="0"/>
        </w:rPr>
        <w:t>thus ultimate</w:t>
      </w:r>
      <w:r w:rsidR="008C5F90" w:rsidRPr="00B2091D">
        <w:rPr>
          <w:b w:val="0"/>
          <w:i w:val="0"/>
        </w:rPr>
        <w:t>ly</w:t>
      </w:r>
      <w:r w:rsidR="005D511B" w:rsidRPr="00B2091D">
        <w:rPr>
          <w:b w:val="0"/>
          <w:i w:val="0"/>
        </w:rPr>
        <w:t xml:space="preserve"> </w:t>
      </w:r>
      <w:r w:rsidR="008C5F90" w:rsidRPr="00B2091D">
        <w:rPr>
          <w:b w:val="0"/>
          <w:i w:val="0"/>
        </w:rPr>
        <w:t xml:space="preserve">– </w:t>
      </w:r>
      <w:r w:rsidR="005D511B" w:rsidRPr="00B2091D">
        <w:rPr>
          <w:b w:val="0"/>
          <w:i w:val="0"/>
        </w:rPr>
        <w:t>if not primar</w:t>
      </w:r>
      <w:r w:rsidR="008C5F90" w:rsidRPr="00B2091D">
        <w:rPr>
          <w:b w:val="0"/>
          <w:i w:val="0"/>
        </w:rPr>
        <w:t xml:space="preserve">ily – </w:t>
      </w:r>
      <w:r w:rsidR="005D511B" w:rsidRPr="00B2091D">
        <w:rPr>
          <w:b w:val="0"/>
          <w:i w:val="0"/>
        </w:rPr>
        <w:t xml:space="preserve">responsible </w:t>
      </w:r>
      <w:r w:rsidR="008C5F90" w:rsidRPr="00B2091D">
        <w:rPr>
          <w:b w:val="0"/>
          <w:i w:val="0"/>
        </w:rPr>
        <w:t xml:space="preserve">for </w:t>
      </w:r>
      <w:r w:rsidR="005D511B" w:rsidRPr="00B2091D">
        <w:rPr>
          <w:b w:val="0"/>
          <w:i w:val="0"/>
        </w:rPr>
        <w:t xml:space="preserve">safeguarding </w:t>
      </w:r>
      <w:r w:rsidR="008C5F90" w:rsidRPr="00B2091D">
        <w:rPr>
          <w:b w:val="0"/>
          <w:i w:val="0"/>
        </w:rPr>
        <w:t>fundamental rights</w:t>
      </w:r>
      <w:r w:rsidR="005D511B" w:rsidRPr="00B2091D">
        <w:rPr>
          <w:b w:val="0"/>
          <w:i w:val="0"/>
        </w:rPr>
        <w:t xml:space="preserve">, </w:t>
      </w:r>
      <w:r w:rsidR="008C5F90" w:rsidRPr="00B2091D">
        <w:rPr>
          <w:b w:val="0"/>
          <w:i w:val="0"/>
        </w:rPr>
        <w:t>if necessary</w:t>
      </w:r>
      <w:r w:rsidR="005D511B" w:rsidRPr="00B2091D">
        <w:rPr>
          <w:b w:val="0"/>
          <w:i w:val="0"/>
        </w:rPr>
        <w:t xml:space="preserve"> through infringement procedures; calls</w:t>
      </w:r>
      <w:r w:rsidR="008C5F90" w:rsidRPr="00B2091D">
        <w:rPr>
          <w:b w:val="0"/>
          <w:i w:val="0"/>
        </w:rPr>
        <w:t>,</w:t>
      </w:r>
      <w:r w:rsidR="005D511B" w:rsidRPr="00B2091D">
        <w:rPr>
          <w:b w:val="0"/>
          <w:i w:val="0"/>
        </w:rPr>
        <w:t xml:space="preserve"> in this regard</w:t>
      </w:r>
      <w:r w:rsidR="008C5F90" w:rsidRPr="00B2091D">
        <w:rPr>
          <w:b w:val="0"/>
          <w:i w:val="0"/>
        </w:rPr>
        <w:t>,</w:t>
      </w:r>
      <w:r w:rsidR="005D511B" w:rsidRPr="00B2091D">
        <w:rPr>
          <w:b w:val="0"/>
          <w:i w:val="0"/>
        </w:rPr>
        <w:t xml:space="preserve"> for more determined leadership in ensuring</w:t>
      </w:r>
      <w:r w:rsidR="008C5F90" w:rsidRPr="00B2091D">
        <w:rPr>
          <w:b w:val="0"/>
          <w:i w:val="0"/>
        </w:rPr>
        <w:t xml:space="preserve"> </w:t>
      </w:r>
      <w:r w:rsidR="005D511B" w:rsidRPr="00B2091D">
        <w:rPr>
          <w:b w:val="0"/>
          <w:i w:val="0"/>
        </w:rPr>
        <w:t xml:space="preserve">adequate implementation of EU legislation, notably concerning the right to environmental protection conferred in </w:t>
      </w:r>
      <w:r w:rsidR="008C5F90" w:rsidRPr="00B2091D">
        <w:rPr>
          <w:b w:val="0"/>
          <w:i w:val="0"/>
        </w:rPr>
        <w:t xml:space="preserve">Article </w:t>
      </w:r>
      <w:r w:rsidR="005D511B" w:rsidRPr="00B2091D">
        <w:rPr>
          <w:b w:val="0"/>
          <w:i w:val="0"/>
        </w:rPr>
        <w:t xml:space="preserve">37 of the Charter, by means of more diligent, determined and thorough infringement procedures; recalls the importance of prompt deployment and adequate implementation of the Access to Justice </w:t>
      </w:r>
      <w:r w:rsidR="008C5F90" w:rsidRPr="00B2091D">
        <w:rPr>
          <w:b w:val="0"/>
          <w:i w:val="0"/>
        </w:rPr>
        <w:t>p</w:t>
      </w:r>
      <w:r w:rsidR="005D511B" w:rsidRPr="00B2091D">
        <w:rPr>
          <w:b w:val="0"/>
          <w:i w:val="0"/>
        </w:rPr>
        <w:t>illar of the Aarhus Convention;</w:t>
      </w:r>
    </w:p>
    <w:p w14:paraId="3CCF9BBE" w14:textId="6BD8E7C0" w:rsidR="005D511B" w:rsidRPr="00B2091D" w:rsidRDefault="00FC259E" w:rsidP="00B2091D">
      <w:pPr>
        <w:pStyle w:val="Hanging12"/>
        <w:rPr>
          <w:b w:val="0"/>
          <w:i w:val="0"/>
          <w:szCs w:val="24"/>
        </w:rPr>
      </w:pPr>
      <w:r w:rsidRPr="00B2091D">
        <w:rPr>
          <w:b w:val="0"/>
          <w:i w:val="0"/>
        </w:rPr>
        <w:t>11</w:t>
      </w:r>
      <w:r w:rsidR="005D511B" w:rsidRPr="00B2091D">
        <w:rPr>
          <w:b w:val="0"/>
          <w:i w:val="0"/>
        </w:rPr>
        <w:t>.</w:t>
      </w:r>
      <w:r w:rsidR="005D511B" w:rsidRPr="00B2091D">
        <w:rPr>
          <w:b w:val="0"/>
          <w:i w:val="0"/>
        </w:rPr>
        <w:tab/>
        <w:t>Emphasises that the Charter</w:t>
      </w:r>
      <w:r w:rsidR="00B2091D" w:rsidRPr="00B2091D">
        <w:rPr>
          <w:b w:val="0"/>
          <w:i w:val="0"/>
        </w:rPr>
        <w:t>’</w:t>
      </w:r>
      <w:r w:rsidR="005D511B" w:rsidRPr="00B2091D">
        <w:rPr>
          <w:b w:val="0"/>
          <w:i w:val="0"/>
        </w:rPr>
        <w:t>s application also extends to the EU agencies; states</w:t>
      </w:r>
      <w:r w:rsidR="00C93A02" w:rsidRPr="00B2091D">
        <w:rPr>
          <w:b w:val="0"/>
          <w:i w:val="0"/>
        </w:rPr>
        <w:t>,</w:t>
      </w:r>
      <w:r w:rsidR="005D511B" w:rsidRPr="00B2091D">
        <w:rPr>
          <w:b w:val="0"/>
          <w:i w:val="0"/>
        </w:rPr>
        <w:t xml:space="preserve"> therefore</w:t>
      </w:r>
      <w:r w:rsidR="008C5F90" w:rsidRPr="00B2091D">
        <w:rPr>
          <w:b w:val="0"/>
          <w:i w:val="0"/>
        </w:rPr>
        <w:t>,</w:t>
      </w:r>
      <w:r w:rsidR="005D511B" w:rsidRPr="00B2091D">
        <w:rPr>
          <w:b w:val="0"/>
          <w:i w:val="0"/>
        </w:rPr>
        <w:t xml:space="preserve"> that whenever regulations or decisions setting up agencies are drafted or revised, a reference should be included to the need for agencies to respect, within their respective mandates, the Charter </w:t>
      </w:r>
      <w:r w:rsidR="008C5F90" w:rsidRPr="00B2091D">
        <w:rPr>
          <w:b w:val="0"/>
          <w:i w:val="0"/>
        </w:rPr>
        <w:t>and</w:t>
      </w:r>
      <w:r w:rsidR="005D511B" w:rsidRPr="00B2091D">
        <w:rPr>
          <w:b w:val="0"/>
          <w:i w:val="0"/>
        </w:rPr>
        <w:t xml:space="preserve"> international human rights law; calls on all agencies to adopt a fundamental rights strategy, including a code of conduct for their staff and an independent mechanism to detect and report violations of fundamental rights; encourages, in particular, Frontex and the European Asylum Support Office (EASO) to fully comply with the Charter, not only through their general policies, but also in the daily activities of the border and coast guards, as well as the asylum officers, assigned to these agencies;</w:t>
      </w:r>
    </w:p>
    <w:p w14:paraId="770F73A5" w14:textId="3DC102BA" w:rsidR="005D511B" w:rsidRPr="00B2091D" w:rsidRDefault="00FC259E" w:rsidP="00B2091D">
      <w:pPr>
        <w:pStyle w:val="Hanging12"/>
        <w:rPr>
          <w:b w:val="0"/>
          <w:i w:val="0"/>
          <w:szCs w:val="24"/>
        </w:rPr>
      </w:pPr>
      <w:r w:rsidRPr="00B2091D">
        <w:rPr>
          <w:b w:val="0"/>
          <w:i w:val="0"/>
        </w:rPr>
        <w:t>12</w:t>
      </w:r>
      <w:r w:rsidR="005D511B" w:rsidRPr="00B2091D">
        <w:rPr>
          <w:b w:val="0"/>
          <w:i w:val="0"/>
        </w:rPr>
        <w:t>.</w:t>
      </w:r>
      <w:r w:rsidR="005D511B" w:rsidRPr="00B2091D">
        <w:rPr>
          <w:b w:val="0"/>
          <w:i w:val="0"/>
        </w:rPr>
        <w:tab/>
      </w:r>
      <w:r w:rsidR="00BC6081" w:rsidRPr="00B2091D">
        <w:rPr>
          <w:b w:val="0"/>
          <w:i w:val="0"/>
        </w:rPr>
        <w:t>Calls for</w:t>
      </w:r>
      <w:r w:rsidR="005D511B" w:rsidRPr="00B2091D">
        <w:rPr>
          <w:b w:val="0"/>
          <w:i w:val="0"/>
        </w:rPr>
        <w:t xml:space="preserve"> the adoption of the horizontal EU Anti-</w:t>
      </w:r>
      <w:r w:rsidR="00BC6081" w:rsidRPr="00B2091D">
        <w:rPr>
          <w:b w:val="0"/>
          <w:i w:val="0"/>
        </w:rPr>
        <w:t xml:space="preserve">Discrimination </w:t>
      </w:r>
      <w:r w:rsidR="005D511B" w:rsidRPr="00B2091D">
        <w:rPr>
          <w:b w:val="0"/>
          <w:i w:val="0"/>
        </w:rPr>
        <w:t>Directive</w:t>
      </w:r>
      <w:r w:rsidR="005D511B" w:rsidRPr="00B2091D">
        <w:rPr>
          <w:b w:val="0"/>
          <w:i w:val="0"/>
          <w:vertAlign w:val="superscript"/>
        </w:rPr>
        <w:footnoteReference w:id="9"/>
      </w:r>
      <w:r w:rsidR="004875E4" w:rsidRPr="00B2091D">
        <w:rPr>
          <w:b w:val="0"/>
          <w:i w:val="0"/>
        </w:rPr>
        <w:t xml:space="preserve"> to be concluded without delay</w:t>
      </w:r>
      <w:r w:rsidR="005D511B" w:rsidRPr="00B2091D">
        <w:rPr>
          <w:b w:val="0"/>
          <w:i w:val="0"/>
        </w:rPr>
        <w:t xml:space="preserve">, in order to further guarantee fundamental rights within the Union by means of </w:t>
      </w:r>
      <w:r w:rsidR="00BC6081" w:rsidRPr="00B2091D">
        <w:rPr>
          <w:b w:val="0"/>
          <w:i w:val="0"/>
        </w:rPr>
        <w:t xml:space="preserve">the </w:t>
      </w:r>
      <w:r w:rsidR="005D511B" w:rsidRPr="00B2091D">
        <w:rPr>
          <w:b w:val="0"/>
          <w:i w:val="0"/>
        </w:rPr>
        <w:t xml:space="preserve">adoption of concrete EU legislation, </w:t>
      </w:r>
      <w:r w:rsidR="00BC6081" w:rsidRPr="00B2091D">
        <w:rPr>
          <w:b w:val="0"/>
          <w:i w:val="0"/>
        </w:rPr>
        <w:t>thereby</w:t>
      </w:r>
      <w:r w:rsidR="005D511B" w:rsidRPr="00B2091D">
        <w:rPr>
          <w:b w:val="0"/>
          <w:i w:val="0"/>
        </w:rPr>
        <w:t xml:space="preserve"> avoiding the current interference of Article 51;</w:t>
      </w:r>
    </w:p>
    <w:p w14:paraId="6BAD3C57" w14:textId="5C68E293" w:rsidR="005D511B" w:rsidRPr="00B2091D" w:rsidRDefault="00FC259E" w:rsidP="00B2091D">
      <w:pPr>
        <w:pStyle w:val="Hanging12"/>
        <w:rPr>
          <w:b w:val="0"/>
          <w:i w:val="0"/>
          <w:szCs w:val="24"/>
        </w:rPr>
      </w:pPr>
      <w:r w:rsidRPr="00B2091D">
        <w:rPr>
          <w:b w:val="0"/>
          <w:i w:val="0"/>
        </w:rPr>
        <w:t>13</w:t>
      </w:r>
      <w:r w:rsidR="005D511B" w:rsidRPr="00B2091D">
        <w:rPr>
          <w:b w:val="0"/>
          <w:i w:val="0"/>
        </w:rPr>
        <w:t>.</w:t>
      </w:r>
      <w:r w:rsidR="005D511B" w:rsidRPr="00B2091D">
        <w:rPr>
          <w:b w:val="0"/>
          <w:i w:val="0"/>
        </w:rPr>
        <w:tab/>
      </w:r>
      <w:r w:rsidR="00BC6081" w:rsidRPr="00B2091D">
        <w:rPr>
          <w:b w:val="0"/>
          <w:i w:val="0"/>
        </w:rPr>
        <w:t xml:space="preserve">Recalls </w:t>
      </w:r>
      <w:r w:rsidR="005D511B" w:rsidRPr="00B2091D">
        <w:rPr>
          <w:b w:val="0"/>
          <w:i w:val="0"/>
        </w:rPr>
        <w:t xml:space="preserve">the importance of the principle of subsidiarity, while at the same time </w:t>
      </w:r>
      <w:r w:rsidR="00BC6081" w:rsidRPr="00B2091D">
        <w:rPr>
          <w:b w:val="0"/>
          <w:i w:val="0"/>
        </w:rPr>
        <w:t xml:space="preserve">encouraging </w:t>
      </w:r>
      <w:r w:rsidR="005D511B" w:rsidRPr="00B2091D">
        <w:rPr>
          <w:b w:val="0"/>
          <w:i w:val="0"/>
        </w:rPr>
        <w:t xml:space="preserve">Member States to apply the Charter </w:t>
      </w:r>
      <w:r w:rsidR="00BC6081" w:rsidRPr="00B2091D">
        <w:rPr>
          <w:b w:val="0"/>
          <w:i w:val="0"/>
        </w:rPr>
        <w:t xml:space="preserve">to </w:t>
      </w:r>
      <w:r w:rsidR="005D511B" w:rsidRPr="00B2091D">
        <w:rPr>
          <w:b w:val="0"/>
          <w:i w:val="0"/>
        </w:rPr>
        <w:t>its fullest potential in accordance with the ECHR</w:t>
      </w:r>
      <w:r w:rsidR="00BC6081" w:rsidRPr="00B2091D">
        <w:rPr>
          <w:b w:val="0"/>
          <w:i w:val="0"/>
        </w:rPr>
        <w:t>,</w:t>
      </w:r>
      <w:r w:rsidR="005D511B" w:rsidRPr="00B2091D">
        <w:rPr>
          <w:b w:val="0"/>
          <w:i w:val="0"/>
        </w:rPr>
        <w:t xml:space="preserve"> and encourages the exchange of best practices </w:t>
      </w:r>
      <w:r w:rsidR="00BC6081" w:rsidRPr="00B2091D">
        <w:rPr>
          <w:b w:val="0"/>
          <w:i w:val="0"/>
        </w:rPr>
        <w:t xml:space="preserve">among </w:t>
      </w:r>
      <w:r w:rsidR="005D511B" w:rsidRPr="00B2091D">
        <w:rPr>
          <w:b w:val="0"/>
          <w:i w:val="0"/>
        </w:rPr>
        <w:t>Member States, the Union and its agencies</w:t>
      </w:r>
      <w:r w:rsidR="00BC6081" w:rsidRPr="00B2091D">
        <w:rPr>
          <w:b w:val="0"/>
          <w:i w:val="0"/>
        </w:rPr>
        <w:t>;</w:t>
      </w:r>
      <w:r w:rsidR="005D511B" w:rsidRPr="00B2091D">
        <w:rPr>
          <w:b w:val="0"/>
          <w:i w:val="0"/>
        </w:rPr>
        <w:t xml:space="preserve"> </w:t>
      </w:r>
      <w:r w:rsidR="00BC6081" w:rsidRPr="00B2091D">
        <w:rPr>
          <w:b w:val="0"/>
          <w:i w:val="0"/>
        </w:rPr>
        <w:t>r</w:t>
      </w:r>
      <w:r w:rsidR="005D511B" w:rsidRPr="00B2091D">
        <w:rPr>
          <w:b w:val="0"/>
          <w:i w:val="0"/>
        </w:rPr>
        <w:t xml:space="preserve">ecalls and encourages the </w:t>
      </w:r>
      <w:r w:rsidR="00BC6081" w:rsidRPr="00B2091D">
        <w:rPr>
          <w:b w:val="0"/>
          <w:i w:val="0"/>
        </w:rPr>
        <w:t xml:space="preserve">appreciation </w:t>
      </w:r>
      <w:r w:rsidR="005D511B" w:rsidRPr="00B2091D">
        <w:rPr>
          <w:b w:val="0"/>
          <w:i w:val="0"/>
        </w:rPr>
        <w:t>and positive interpretation and implementation of the Charter by national judges</w:t>
      </w:r>
      <w:r w:rsidR="00BC6081" w:rsidRPr="00B2091D">
        <w:rPr>
          <w:b w:val="0"/>
          <w:i w:val="0"/>
        </w:rPr>
        <w:t>;</w:t>
      </w:r>
    </w:p>
    <w:p w14:paraId="178A0401" w14:textId="6551FE7A" w:rsidR="005D511B" w:rsidRPr="00B2091D" w:rsidRDefault="00FC259E" w:rsidP="00B2091D">
      <w:pPr>
        <w:pStyle w:val="Hanging12"/>
        <w:rPr>
          <w:b w:val="0"/>
          <w:i w:val="0"/>
          <w:szCs w:val="24"/>
        </w:rPr>
      </w:pPr>
      <w:r w:rsidRPr="00B2091D">
        <w:rPr>
          <w:b w:val="0"/>
          <w:i w:val="0"/>
        </w:rPr>
        <w:t>14</w:t>
      </w:r>
      <w:r w:rsidR="005D511B" w:rsidRPr="00B2091D">
        <w:rPr>
          <w:b w:val="0"/>
          <w:i w:val="0"/>
        </w:rPr>
        <w:t>.</w:t>
      </w:r>
      <w:r w:rsidR="005D511B" w:rsidRPr="00B2091D">
        <w:rPr>
          <w:b w:val="0"/>
          <w:i w:val="0"/>
        </w:rPr>
        <w:tab/>
        <w:t xml:space="preserve">Underlines that the Charter is probably the main tool </w:t>
      </w:r>
      <w:r w:rsidR="00D70E92" w:rsidRPr="00B2091D">
        <w:rPr>
          <w:b w:val="0"/>
          <w:i w:val="0"/>
        </w:rPr>
        <w:t xml:space="preserve">for </w:t>
      </w:r>
      <w:r w:rsidR="005D511B" w:rsidRPr="00B2091D">
        <w:rPr>
          <w:b w:val="0"/>
          <w:i w:val="0"/>
        </w:rPr>
        <w:t>defend</w:t>
      </w:r>
      <w:r w:rsidR="00D70E92" w:rsidRPr="00B2091D">
        <w:rPr>
          <w:b w:val="0"/>
          <w:i w:val="0"/>
        </w:rPr>
        <w:t>ing</w:t>
      </w:r>
      <w:r w:rsidR="009C303C" w:rsidRPr="00B2091D">
        <w:rPr>
          <w:b w:val="0"/>
          <w:i w:val="0"/>
        </w:rPr>
        <w:t>,</w:t>
      </w:r>
      <w:r w:rsidR="005D511B" w:rsidRPr="00B2091D">
        <w:rPr>
          <w:b w:val="0"/>
          <w:i w:val="0"/>
        </w:rPr>
        <w:t xml:space="preserve"> </w:t>
      </w:r>
      <w:r w:rsidR="00D70E92" w:rsidRPr="00B2091D">
        <w:rPr>
          <w:b w:val="0"/>
          <w:i w:val="0"/>
        </w:rPr>
        <w:t xml:space="preserve">promoting </w:t>
      </w:r>
      <w:r w:rsidR="009C303C" w:rsidRPr="00B2091D">
        <w:rPr>
          <w:b w:val="0"/>
          <w:i w:val="0"/>
        </w:rPr>
        <w:t xml:space="preserve">and realising </w:t>
      </w:r>
      <w:r w:rsidR="005D511B" w:rsidRPr="00B2091D">
        <w:rPr>
          <w:b w:val="0"/>
          <w:i w:val="0"/>
        </w:rPr>
        <w:t>the Union</w:t>
      </w:r>
      <w:r w:rsidR="00B2091D" w:rsidRPr="00B2091D">
        <w:rPr>
          <w:b w:val="0"/>
          <w:i w:val="0"/>
        </w:rPr>
        <w:t>’</w:t>
      </w:r>
      <w:r w:rsidR="00C93A02" w:rsidRPr="00B2091D">
        <w:rPr>
          <w:b w:val="0"/>
          <w:i w:val="0"/>
        </w:rPr>
        <w:t>s</w:t>
      </w:r>
      <w:r w:rsidR="005D511B" w:rsidRPr="00B2091D">
        <w:rPr>
          <w:b w:val="0"/>
          <w:i w:val="0"/>
        </w:rPr>
        <w:t xml:space="preserve"> values</w:t>
      </w:r>
      <w:r w:rsidR="009C303C" w:rsidRPr="00B2091D">
        <w:rPr>
          <w:b w:val="0"/>
          <w:i w:val="0"/>
        </w:rPr>
        <w:t>, through its implementation in specific policies and political activities</w:t>
      </w:r>
      <w:r w:rsidR="005D511B" w:rsidRPr="00B2091D">
        <w:rPr>
          <w:b w:val="0"/>
          <w:i w:val="0"/>
        </w:rPr>
        <w:t xml:space="preserve">; stresses that it is essential </w:t>
      </w:r>
      <w:r w:rsidR="00D70E92" w:rsidRPr="00B2091D">
        <w:rPr>
          <w:b w:val="0"/>
          <w:i w:val="0"/>
        </w:rPr>
        <w:t>for</w:t>
      </w:r>
      <w:r w:rsidR="005D511B" w:rsidRPr="00B2091D">
        <w:rPr>
          <w:b w:val="0"/>
          <w:i w:val="0"/>
        </w:rPr>
        <w:t xml:space="preserve"> the EU </w:t>
      </w:r>
      <w:r w:rsidR="00D70E92" w:rsidRPr="00B2091D">
        <w:rPr>
          <w:b w:val="0"/>
          <w:i w:val="0"/>
        </w:rPr>
        <w:t xml:space="preserve">to </w:t>
      </w:r>
      <w:r w:rsidR="005D511B" w:rsidRPr="00B2091D">
        <w:rPr>
          <w:b w:val="0"/>
          <w:i w:val="0"/>
        </w:rPr>
        <w:t>uphold these values both in its external policy and internally</w:t>
      </w:r>
      <w:r w:rsidR="004710D0" w:rsidRPr="00B2091D">
        <w:rPr>
          <w:b w:val="0"/>
          <w:i w:val="0"/>
        </w:rPr>
        <w:t>,</w:t>
      </w:r>
      <w:r w:rsidR="005D511B" w:rsidRPr="00B2091D">
        <w:rPr>
          <w:b w:val="0"/>
          <w:i w:val="0"/>
        </w:rPr>
        <w:t xml:space="preserve"> by enhancing the </w:t>
      </w:r>
      <w:r w:rsidR="00C93A02" w:rsidRPr="00B2091D">
        <w:rPr>
          <w:b w:val="0"/>
          <w:i w:val="0"/>
        </w:rPr>
        <w:t>Charter</w:t>
      </w:r>
      <w:r w:rsidR="00B2091D" w:rsidRPr="00B2091D">
        <w:rPr>
          <w:b w:val="0"/>
          <w:i w:val="0"/>
        </w:rPr>
        <w:t>’</w:t>
      </w:r>
      <w:r w:rsidR="00C93A02" w:rsidRPr="00B2091D">
        <w:rPr>
          <w:b w:val="0"/>
          <w:i w:val="0"/>
        </w:rPr>
        <w:t xml:space="preserve">s </w:t>
      </w:r>
      <w:r w:rsidR="005D511B" w:rsidRPr="00B2091D">
        <w:rPr>
          <w:b w:val="0"/>
          <w:i w:val="0"/>
        </w:rPr>
        <w:t>coverage of its citizens and resident</w:t>
      </w:r>
      <w:r w:rsidR="004710D0" w:rsidRPr="00B2091D">
        <w:rPr>
          <w:b w:val="0"/>
          <w:i w:val="0"/>
        </w:rPr>
        <w:t>s</w:t>
      </w:r>
      <w:r w:rsidR="00C93A02" w:rsidRPr="00B2091D">
        <w:rPr>
          <w:b w:val="0"/>
          <w:i w:val="0"/>
        </w:rPr>
        <w:t>,</w:t>
      </w:r>
      <w:r w:rsidR="004710D0" w:rsidRPr="00B2091D">
        <w:rPr>
          <w:b w:val="0"/>
          <w:i w:val="0"/>
        </w:rPr>
        <w:t xml:space="preserve"> </w:t>
      </w:r>
      <w:r w:rsidR="00D70E92" w:rsidRPr="00B2091D">
        <w:rPr>
          <w:b w:val="0"/>
          <w:i w:val="0"/>
        </w:rPr>
        <w:t xml:space="preserve">and </w:t>
      </w:r>
      <w:r w:rsidR="005D511B" w:rsidRPr="00B2091D">
        <w:rPr>
          <w:b w:val="0"/>
          <w:i w:val="0"/>
        </w:rPr>
        <w:t>in hosting refugees and the reception of migrants;</w:t>
      </w:r>
    </w:p>
    <w:p w14:paraId="0EFF9B53" w14:textId="6079143B" w:rsidR="005D511B" w:rsidRPr="00B2091D" w:rsidRDefault="00FC259E" w:rsidP="00B2091D">
      <w:pPr>
        <w:pStyle w:val="Hanging12"/>
        <w:rPr>
          <w:b w:val="0"/>
          <w:i w:val="0"/>
          <w:szCs w:val="24"/>
        </w:rPr>
      </w:pPr>
      <w:r w:rsidRPr="00B2091D">
        <w:rPr>
          <w:b w:val="0"/>
          <w:i w:val="0"/>
        </w:rPr>
        <w:t>15</w:t>
      </w:r>
      <w:r w:rsidR="005D511B" w:rsidRPr="00B2091D">
        <w:rPr>
          <w:b w:val="0"/>
          <w:i w:val="0"/>
        </w:rPr>
        <w:t>.</w:t>
      </w:r>
      <w:r w:rsidR="005D511B" w:rsidRPr="00B2091D">
        <w:rPr>
          <w:b w:val="0"/>
          <w:i w:val="0"/>
        </w:rPr>
        <w:tab/>
        <w:t xml:space="preserve">Stresses that all </w:t>
      </w:r>
      <w:r w:rsidR="00D70E92" w:rsidRPr="00B2091D">
        <w:rPr>
          <w:b w:val="0"/>
          <w:i w:val="0"/>
        </w:rPr>
        <w:t xml:space="preserve">EU </w:t>
      </w:r>
      <w:r w:rsidR="005D511B" w:rsidRPr="00B2091D">
        <w:rPr>
          <w:b w:val="0"/>
          <w:i w:val="0"/>
        </w:rPr>
        <w:t>institutions</w:t>
      </w:r>
      <w:r w:rsidR="00D70E92" w:rsidRPr="00B2091D">
        <w:rPr>
          <w:b w:val="0"/>
          <w:i w:val="0"/>
        </w:rPr>
        <w:t xml:space="preserve">, </w:t>
      </w:r>
      <w:r w:rsidR="005D511B" w:rsidRPr="00B2091D">
        <w:rPr>
          <w:b w:val="0"/>
          <w:i w:val="0"/>
        </w:rPr>
        <w:t xml:space="preserve">agencies and bodies, including Frontex, </w:t>
      </w:r>
      <w:r w:rsidR="004710D0" w:rsidRPr="00B2091D">
        <w:rPr>
          <w:b w:val="0"/>
          <w:i w:val="0"/>
        </w:rPr>
        <w:t>and</w:t>
      </w:r>
      <w:r w:rsidR="005D511B" w:rsidRPr="00B2091D">
        <w:rPr>
          <w:b w:val="0"/>
          <w:i w:val="0"/>
        </w:rPr>
        <w:t xml:space="preserve"> the Member States are fully bound by the provisions of the </w:t>
      </w:r>
      <w:r w:rsidR="005D511B" w:rsidRPr="00B2091D">
        <w:rPr>
          <w:b w:val="0"/>
          <w:i w:val="0"/>
        </w:rPr>
        <w:lastRenderedPageBreak/>
        <w:t>Charter of Fundamental Rights;</w:t>
      </w:r>
    </w:p>
    <w:p w14:paraId="508F910A" w14:textId="7731FCE1" w:rsidR="005D511B" w:rsidRPr="00B2091D" w:rsidRDefault="00FC259E" w:rsidP="00B2091D">
      <w:pPr>
        <w:pStyle w:val="Hanging12"/>
        <w:rPr>
          <w:b w:val="0"/>
          <w:i w:val="0"/>
          <w:szCs w:val="24"/>
        </w:rPr>
      </w:pPr>
      <w:r w:rsidRPr="00B2091D">
        <w:rPr>
          <w:b w:val="0"/>
          <w:i w:val="0"/>
        </w:rPr>
        <w:t>16</w:t>
      </w:r>
      <w:r w:rsidR="005D511B" w:rsidRPr="00B2091D">
        <w:rPr>
          <w:b w:val="0"/>
          <w:i w:val="0"/>
        </w:rPr>
        <w:t>.</w:t>
      </w:r>
      <w:r w:rsidR="005D511B" w:rsidRPr="00B2091D">
        <w:rPr>
          <w:b w:val="0"/>
          <w:i w:val="0"/>
        </w:rPr>
        <w:tab/>
        <w:t xml:space="preserve">Recalls that both the Treaties and the Charter of Fundamental Rights make reference to the protection of national minorities and discrimination on grounds of language; calls for concrete administrative steps within the EU institutions to encourage national governments to find </w:t>
      </w:r>
      <w:r w:rsidR="00D70E92" w:rsidRPr="00B2091D">
        <w:rPr>
          <w:b w:val="0"/>
          <w:i w:val="0"/>
        </w:rPr>
        <w:t xml:space="preserve">sustainable </w:t>
      </w:r>
      <w:r w:rsidR="005D511B" w:rsidRPr="00B2091D">
        <w:rPr>
          <w:b w:val="0"/>
          <w:i w:val="0"/>
        </w:rPr>
        <w:t>solutions and to promote the culture of linguistic diversity in their Member State</w:t>
      </w:r>
      <w:r w:rsidR="00D70E92" w:rsidRPr="00B2091D">
        <w:rPr>
          <w:b w:val="0"/>
          <w:i w:val="0"/>
        </w:rPr>
        <w:t>s</w:t>
      </w:r>
      <w:r w:rsidR="005D511B" w:rsidRPr="00B2091D">
        <w:rPr>
          <w:b w:val="0"/>
          <w:i w:val="0"/>
        </w:rPr>
        <w:t xml:space="preserve">, beyond the official EU languages; </w:t>
      </w:r>
    </w:p>
    <w:p w14:paraId="7CE1322E" w14:textId="55830F11" w:rsidR="005D511B" w:rsidRPr="00B2091D" w:rsidRDefault="00FC259E" w:rsidP="00B2091D">
      <w:pPr>
        <w:pStyle w:val="Hanging12"/>
        <w:rPr>
          <w:b w:val="0"/>
          <w:i w:val="0"/>
          <w:szCs w:val="24"/>
        </w:rPr>
      </w:pPr>
      <w:r w:rsidRPr="00B2091D">
        <w:rPr>
          <w:b w:val="0"/>
          <w:i w:val="0"/>
        </w:rPr>
        <w:t>17</w:t>
      </w:r>
      <w:r w:rsidR="005D511B" w:rsidRPr="00B2091D">
        <w:rPr>
          <w:b w:val="0"/>
          <w:i w:val="0"/>
        </w:rPr>
        <w:t>.</w:t>
      </w:r>
      <w:r w:rsidR="005D511B" w:rsidRPr="00B2091D">
        <w:rPr>
          <w:b w:val="0"/>
          <w:i w:val="0"/>
        </w:rPr>
        <w:tab/>
        <w:t xml:space="preserve">Encourages the creation and promotion of national human rights institutions, which contribute to ensuring that fundamental rights are observed </w:t>
      </w:r>
      <w:r w:rsidR="00E0655F" w:rsidRPr="00B2091D">
        <w:rPr>
          <w:b w:val="0"/>
          <w:i w:val="0"/>
        </w:rPr>
        <w:t xml:space="preserve">when making and implementing </w:t>
      </w:r>
      <w:r w:rsidR="005D511B" w:rsidRPr="00B2091D">
        <w:rPr>
          <w:b w:val="0"/>
          <w:i w:val="0"/>
        </w:rPr>
        <w:t>policy and law</w:t>
      </w:r>
      <w:r w:rsidR="00E0655F" w:rsidRPr="00B2091D">
        <w:rPr>
          <w:b w:val="0"/>
          <w:i w:val="0"/>
        </w:rPr>
        <w:t>s</w:t>
      </w:r>
      <w:r w:rsidR="005D511B" w:rsidRPr="00B2091D">
        <w:rPr>
          <w:b w:val="0"/>
          <w:i w:val="0"/>
        </w:rPr>
        <w:t xml:space="preserve"> </w:t>
      </w:r>
      <w:r w:rsidR="00E0655F" w:rsidRPr="00B2091D">
        <w:rPr>
          <w:b w:val="0"/>
          <w:i w:val="0"/>
        </w:rPr>
        <w:t>and provide support</w:t>
      </w:r>
      <w:r w:rsidR="005D511B" w:rsidRPr="00B2091D">
        <w:rPr>
          <w:b w:val="0"/>
          <w:i w:val="0"/>
        </w:rPr>
        <w:t xml:space="preserve"> to individuals in </w:t>
      </w:r>
      <w:r w:rsidR="00E0655F" w:rsidRPr="00B2091D">
        <w:rPr>
          <w:b w:val="0"/>
          <w:i w:val="0"/>
        </w:rPr>
        <w:t xml:space="preserve">specific </w:t>
      </w:r>
      <w:r w:rsidR="005D511B" w:rsidRPr="00B2091D">
        <w:rPr>
          <w:b w:val="0"/>
          <w:i w:val="0"/>
        </w:rPr>
        <w:t>cases;</w:t>
      </w:r>
    </w:p>
    <w:p w14:paraId="6679CE5B" w14:textId="2C7CFCC2" w:rsidR="005D511B" w:rsidRPr="00B2091D" w:rsidRDefault="00FC259E" w:rsidP="00B2091D">
      <w:pPr>
        <w:pStyle w:val="Hanging12"/>
        <w:rPr>
          <w:b w:val="0"/>
          <w:i w:val="0"/>
        </w:rPr>
      </w:pPr>
      <w:r w:rsidRPr="00B2091D">
        <w:rPr>
          <w:b w:val="0"/>
          <w:i w:val="0"/>
        </w:rPr>
        <w:t>18</w:t>
      </w:r>
      <w:r w:rsidR="005D511B" w:rsidRPr="00B2091D">
        <w:rPr>
          <w:b w:val="0"/>
          <w:i w:val="0"/>
        </w:rPr>
        <w:t>.</w:t>
      </w:r>
      <w:r w:rsidR="005D511B" w:rsidRPr="00B2091D">
        <w:rPr>
          <w:b w:val="0"/>
          <w:i w:val="0"/>
        </w:rPr>
        <w:tab/>
        <w:t>States that there are still gaps in access to remedy for victims in third countries of business-related fundamental rights abuses and calls for accessible, cheap and bureaucratically</w:t>
      </w:r>
      <w:r w:rsidR="00E0655F" w:rsidRPr="00B2091D">
        <w:rPr>
          <w:b w:val="0"/>
          <w:i w:val="0"/>
        </w:rPr>
        <w:t xml:space="preserve"> </w:t>
      </w:r>
      <w:r w:rsidR="005D511B" w:rsidRPr="00B2091D">
        <w:rPr>
          <w:b w:val="0"/>
          <w:i w:val="0"/>
        </w:rPr>
        <w:t>straightforward mechanisms that allow victims to address such abuses when the company concerned is established within the EU to be built into the EU</w:t>
      </w:r>
      <w:r w:rsidR="00B2091D" w:rsidRPr="00B2091D">
        <w:rPr>
          <w:b w:val="0"/>
          <w:i w:val="0"/>
        </w:rPr>
        <w:t>’</w:t>
      </w:r>
      <w:r w:rsidR="005D511B" w:rsidRPr="00B2091D">
        <w:rPr>
          <w:b w:val="0"/>
          <w:i w:val="0"/>
        </w:rPr>
        <w:t>s external agreements, in particular its trade and investment agreements;</w:t>
      </w:r>
    </w:p>
    <w:p w14:paraId="56900405" w14:textId="6792AF3D" w:rsidR="005D511B" w:rsidRPr="00B2091D" w:rsidRDefault="00FC259E" w:rsidP="00B2091D">
      <w:pPr>
        <w:pStyle w:val="Hanging12"/>
        <w:rPr>
          <w:b w:val="0"/>
          <w:i w:val="0"/>
          <w:szCs w:val="24"/>
        </w:rPr>
      </w:pPr>
      <w:r w:rsidRPr="00B2091D">
        <w:rPr>
          <w:b w:val="0"/>
          <w:i w:val="0"/>
        </w:rPr>
        <w:t>19</w:t>
      </w:r>
      <w:r w:rsidR="005D511B" w:rsidRPr="00B2091D">
        <w:rPr>
          <w:b w:val="0"/>
          <w:i w:val="0"/>
        </w:rPr>
        <w:t>.</w:t>
      </w:r>
      <w:r w:rsidR="005D511B" w:rsidRPr="00B2091D">
        <w:rPr>
          <w:b w:val="0"/>
          <w:i w:val="0"/>
        </w:rPr>
        <w:tab/>
        <w:t>Emphasises that EU citizen</w:t>
      </w:r>
      <w:r w:rsidR="00E0655F" w:rsidRPr="00B2091D">
        <w:rPr>
          <w:b w:val="0"/>
          <w:i w:val="0"/>
        </w:rPr>
        <w:t>s</w:t>
      </w:r>
      <w:r w:rsidR="005D511B" w:rsidRPr="00B2091D">
        <w:rPr>
          <w:b w:val="0"/>
          <w:i w:val="0"/>
        </w:rPr>
        <w:t xml:space="preserve"> have been empowered through the </w:t>
      </w:r>
      <w:r w:rsidR="00E0655F" w:rsidRPr="00B2091D">
        <w:rPr>
          <w:b w:val="0"/>
          <w:i w:val="0"/>
        </w:rPr>
        <w:t>European</w:t>
      </w:r>
      <w:r w:rsidR="005D511B" w:rsidRPr="00B2091D">
        <w:rPr>
          <w:b w:val="0"/>
          <w:i w:val="0"/>
        </w:rPr>
        <w:t xml:space="preserve"> Citizens</w:t>
      </w:r>
      <w:r w:rsidR="00B2091D" w:rsidRPr="00B2091D">
        <w:rPr>
          <w:b w:val="0"/>
          <w:i w:val="0"/>
        </w:rPr>
        <w:t>’</w:t>
      </w:r>
      <w:r w:rsidR="005D511B" w:rsidRPr="00B2091D">
        <w:rPr>
          <w:b w:val="0"/>
          <w:i w:val="0"/>
        </w:rPr>
        <w:t xml:space="preserve"> </w:t>
      </w:r>
      <w:r w:rsidR="00E0655F" w:rsidRPr="00B2091D">
        <w:rPr>
          <w:b w:val="0"/>
          <w:i w:val="0"/>
        </w:rPr>
        <w:t>Initiative</w:t>
      </w:r>
      <w:r w:rsidR="005D511B" w:rsidRPr="00B2091D">
        <w:rPr>
          <w:b w:val="0"/>
          <w:i w:val="0"/>
        </w:rPr>
        <w:t xml:space="preserve">, </w:t>
      </w:r>
      <w:r w:rsidR="00E0655F" w:rsidRPr="00B2091D">
        <w:rPr>
          <w:b w:val="0"/>
          <w:i w:val="0"/>
        </w:rPr>
        <w:t xml:space="preserve">introduced with the Treaty of Lisbon and </w:t>
      </w:r>
      <w:r w:rsidR="005D511B" w:rsidRPr="00B2091D">
        <w:rPr>
          <w:b w:val="0"/>
          <w:i w:val="0"/>
        </w:rPr>
        <w:t xml:space="preserve">implemented in 2012, </w:t>
      </w:r>
      <w:r w:rsidR="00E0655F" w:rsidRPr="00B2091D">
        <w:rPr>
          <w:b w:val="0"/>
          <w:i w:val="0"/>
        </w:rPr>
        <w:t xml:space="preserve">which </w:t>
      </w:r>
      <w:r w:rsidR="005D511B" w:rsidRPr="00B2091D">
        <w:rPr>
          <w:b w:val="0"/>
          <w:i w:val="0"/>
        </w:rPr>
        <w:t xml:space="preserve">gives EU citizens the right to petition </w:t>
      </w:r>
      <w:r w:rsidR="00E0655F" w:rsidRPr="00B2091D">
        <w:rPr>
          <w:b w:val="0"/>
          <w:i w:val="0"/>
        </w:rPr>
        <w:t xml:space="preserve">the Commission to propose </w:t>
      </w:r>
      <w:r w:rsidR="005D511B" w:rsidRPr="00B2091D">
        <w:rPr>
          <w:b w:val="0"/>
          <w:i w:val="0"/>
        </w:rPr>
        <w:t>new EU legislation</w:t>
      </w:r>
      <w:r w:rsidR="00E0655F" w:rsidRPr="00B2091D">
        <w:rPr>
          <w:b w:val="0"/>
          <w:i w:val="0"/>
        </w:rPr>
        <w:t>;</w:t>
      </w:r>
      <w:r w:rsidR="005D511B" w:rsidRPr="00B2091D">
        <w:rPr>
          <w:b w:val="0"/>
          <w:i w:val="0"/>
        </w:rPr>
        <w:t xml:space="preserve"> </w:t>
      </w:r>
      <w:r w:rsidR="0033189C" w:rsidRPr="00B2091D">
        <w:rPr>
          <w:b w:val="0"/>
          <w:i w:val="0"/>
        </w:rPr>
        <w:t>notes that there have been</w:t>
      </w:r>
      <w:r w:rsidR="005D511B" w:rsidRPr="00B2091D">
        <w:rPr>
          <w:b w:val="0"/>
          <w:i w:val="0"/>
        </w:rPr>
        <w:t xml:space="preserve"> four successful initiatives</w:t>
      </w:r>
      <w:r w:rsidR="0033189C" w:rsidRPr="00B2091D">
        <w:rPr>
          <w:b w:val="0"/>
          <w:i w:val="0"/>
        </w:rPr>
        <w:t xml:space="preserve"> </w:t>
      </w:r>
      <w:r w:rsidR="004710D0" w:rsidRPr="00B2091D">
        <w:rPr>
          <w:b w:val="0"/>
          <w:i w:val="0"/>
        </w:rPr>
        <w:t>thus</w:t>
      </w:r>
      <w:r w:rsidR="0033189C" w:rsidRPr="00B2091D">
        <w:rPr>
          <w:b w:val="0"/>
          <w:i w:val="0"/>
        </w:rPr>
        <w:t xml:space="preserve"> far</w:t>
      </w:r>
      <w:r w:rsidR="005D511B" w:rsidRPr="00B2091D">
        <w:rPr>
          <w:b w:val="0"/>
          <w:i w:val="0"/>
        </w:rPr>
        <w:t xml:space="preserve">, three of which have </w:t>
      </w:r>
      <w:r w:rsidR="00E0655F" w:rsidRPr="00B2091D">
        <w:rPr>
          <w:b w:val="0"/>
          <w:i w:val="0"/>
        </w:rPr>
        <w:t xml:space="preserve">led to </w:t>
      </w:r>
      <w:r w:rsidR="005D511B" w:rsidRPr="00B2091D">
        <w:rPr>
          <w:b w:val="0"/>
          <w:i w:val="0"/>
        </w:rPr>
        <w:t>the creation of new legislation</w:t>
      </w:r>
      <w:r w:rsidR="00E0655F" w:rsidRPr="00B2091D">
        <w:rPr>
          <w:b w:val="0"/>
          <w:i w:val="0"/>
        </w:rPr>
        <w:t>;</w:t>
      </w:r>
    </w:p>
    <w:p w14:paraId="262EF811" w14:textId="660D35D8" w:rsidR="005D511B" w:rsidRPr="00B2091D" w:rsidRDefault="00FC259E" w:rsidP="00B2091D">
      <w:pPr>
        <w:pStyle w:val="Hanging12"/>
        <w:rPr>
          <w:b w:val="0"/>
          <w:i w:val="0"/>
          <w:szCs w:val="24"/>
        </w:rPr>
      </w:pPr>
      <w:r w:rsidRPr="00B2091D">
        <w:rPr>
          <w:b w:val="0"/>
          <w:i w:val="0"/>
        </w:rPr>
        <w:t>20</w:t>
      </w:r>
      <w:r w:rsidR="005D511B" w:rsidRPr="00B2091D">
        <w:rPr>
          <w:b w:val="0"/>
          <w:i w:val="0"/>
        </w:rPr>
        <w:t>.</w:t>
      </w:r>
      <w:r w:rsidR="005D511B" w:rsidRPr="00B2091D">
        <w:rPr>
          <w:b w:val="0"/>
          <w:i w:val="0"/>
        </w:rPr>
        <w:tab/>
        <w:t>Calls on the Commission to systematically carry out human rights impact assessments before concluding external agreements, in particular trade agreements</w:t>
      </w:r>
      <w:r w:rsidR="00497AEC" w:rsidRPr="00B2091D">
        <w:rPr>
          <w:b w:val="0"/>
          <w:i w:val="0"/>
        </w:rPr>
        <w:t>;</w:t>
      </w:r>
    </w:p>
    <w:p w14:paraId="6B3CF824" w14:textId="661C27A6" w:rsidR="005D511B" w:rsidRPr="00B2091D" w:rsidRDefault="00FC259E" w:rsidP="00B2091D">
      <w:pPr>
        <w:pStyle w:val="Hanging12"/>
        <w:rPr>
          <w:b w:val="0"/>
          <w:i w:val="0"/>
          <w:szCs w:val="24"/>
        </w:rPr>
      </w:pPr>
      <w:r w:rsidRPr="00B2091D">
        <w:rPr>
          <w:b w:val="0"/>
          <w:i w:val="0"/>
        </w:rPr>
        <w:t>21</w:t>
      </w:r>
      <w:r w:rsidR="005D511B" w:rsidRPr="00B2091D">
        <w:rPr>
          <w:b w:val="0"/>
          <w:i w:val="0"/>
        </w:rPr>
        <w:t>.</w:t>
      </w:r>
      <w:r w:rsidR="005D511B" w:rsidRPr="00B2091D">
        <w:rPr>
          <w:b w:val="0"/>
          <w:i w:val="0"/>
        </w:rPr>
        <w:tab/>
        <w:t>Stresses the importance of the establishment of the rules necessary for the protection of the Union</w:t>
      </w:r>
      <w:r w:rsidR="00B2091D" w:rsidRPr="00B2091D">
        <w:rPr>
          <w:b w:val="0"/>
          <w:i w:val="0"/>
        </w:rPr>
        <w:t>’</w:t>
      </w:r>
      <w:r w:rsidR="005D511B" w:rsidRPr="00B2091D">
        <w:rPr>
          <w:b w:val="0"/>
          <w:i w:val="0"/>
        </w:rPr>
        <w:t xml:space="preserve">s budget in </w:t>
      </w:r>
      <w:r w:rsidR="00497AEC" w:rsidRPr="00B2091D">
        <w:rPr>
          <w:b w:val="0"/>
          <w:i w:val="0"/>
        </w:rPr>
        <w:t xml:space="preserve">the </w:t>
      </w:r>
      <w:r w:rsidR="005D511B" w:rsidRPr="00B2091D">
        <w:rPr>
          <w:b w:val="0"/>
          <w:i w:val="0"/>
        </w:rPr>
        <w:t xml:space="preserve">case of generalised deficiencies as regards </w:t>
      </w:r>
      <w:r w:rsidR="0033189C" w:rsidRPr="00B2091D">
        <w:rPr>
          <w:b w:val="0"/>
          <w:i w:val="0"/>
        </w:rPr>
        <w:t xml:space="preserve">the </w:t>
      </w:r>
      <w:r w:rsidR="005D511B" w:rsidRPr="00B2091D">
        <w:rPr>
          <w:b w:val="0"/>
          <w:i w:val="0"/>
        </w:rPr>
        <w:t>rule of law and fundamental rights in the Member States; supports the introduction of strong and consistent fundamental rights clauses into the operational texts of the draft regulations establishing EU funds</w:t>
      </w:r>
      <w:r w:rsidR="0033189C" w:rsidRPr="00B2091D">
        <w:rPr>
          <w:b w:val="0"/>
          <w:i w:val="0"/>
        </w:rPr>
        <w:t>;</w:t>
      </w:r>
    </w:p>
    <w:p w14:paraId="270CE01D" w14:textId="30F300A0" w:rsidR="005D511B" w:rsidRPr="00B2091D" w:rsidRDefault="00FC259E" w:rsidP="00B2091D">
      <w:pPr>
        <w:pStyle w:val="Hanging12"/>
        <w:rPr>
          <w:b w:val="0"/>
          <w:i w:val="0"/>
          <w:szCs w:val="24"/>
        </w:rPr>
      </w:pPr>
      <w:r w:rsidRPr="00B2091D">
        <w:rPr>
          <w:b w:val="0"/>
          <w:i w:val="0"/>
        </w:rPr>
        <w:t>22</w:t>
      </w:r>
      <w:r w:rsidR="005D511B" w:rsidRPr="00B2091D">
        <w:rPr>
          <w:b w:val="0"/>
          <w:i w:val="0"/>
        </w:rPr>
        <w:t>.</w:t>
      </w:r>
      <w:r w:rsidR="005D511B" w:rsidRPr="00B2091D">
        <w:rPr>
          <w:b w:val="0"/>
          <w:i w:val="0"/>
        </w:rPr>
        <w:tab/>
        <w:t xml:space="preserve">Condemns </w:t>
      </w:r>
      <w:r w:rsidR="0033189C" w:rsidRPr="00B2091D">
        <w:rPr>
          <w:b w:val="0"/>
          <w:i w:val="0"/>
        </w:rPr>
        <w:t>Poland</w:t>
      </w:r>
      <w:r w:rsidR="00B2091D" w:rsidRPr="00B2091D">
        <w:rPr>
          <w:b w:val="0"/>
          <w:i w:val="0"/>
        </w:rPr>
        <w:t>’</w:t>
      </w:r>
      <w:r w:rsidR="0033189C" w:rsidRPr="00B2091D">
        <w:rPr>
          <w:b w:val="0"/>
          <w:i w:val="0"/>
        </w:rPr>
        <w:t>s</w:t>
      </w:r>
      <w:r w:rsidR="005D511B" w:rsidRPr="00B2091D">
        <w:rPr>
          <w:b w:val="0"/>
          <w:i w:val="0"/>
        </w:rPr>
        <w:t xml:space="preserve"> unprecedented and isolated decision to oppose the Council conclusions on the application of the Charter on Fundamental Rights during the Justice Ministers</w:t>
      </w:r>
      <w:r w:rsidR="00B2091D" w:rsidRPr="00B2091D">
        <w:rPr>
          <w:b w:val="0"/>
          <w:i w:val="0"/>
        </w:rPr>
        <w:t>’</w:t>
      </w:r>
      <w:r w:rsidR="005D511B" w:rsidRPr="00B2091D">
        <w:rPr>
          <w:b w:val="0"/>
          <w:i w:val="0"/>
        </w:rPr>
        <w:t xml:space="preserve"> meeting </w:t>
      </w:r>
      <w:r w:rsidR="0033189C" w:rsidRPr="00B2091D">
        <w:rPr>
          <w:b w:val="0"/>
          <w:i w:val="0"/>
        </w:rPr>
        <w:t xml:space="preserve">of 11 October 2018 </w:t>
      </w:r>
      <w:r w:rsidR="005D511B" w:rsidRPr="00B2091D">
        <w:rPr>
          <w:b w:val="0"/>
          <w:i w:val="0"/>
        </w:rPr>
        <w:t>in Luxembourg</w:t>
      </w:r>
      <w:r w:rsidR="0033189C" w:rsidRPr="00B2091D">
        <w:rPr>
          <w:b w:val="0"/>
          <w:i w:val="0"/>
        </w:rPr>
        <w:t>;</w:t>
      </w:r>
    </w:p>
    <w:p w14:paraId="0F01570C" w14:textId="410F11AD" w:rsidR="005D511B" w:rsidRPr="00B2091D" w:rsidRDefault="00FC259E" w:rsidP="00B2091D">
      <w:pPr>
        <w:pStyle w:val="Hanging12"/>
        <w:rPr>
          <w:b w:val="0"/>
          <w:i w:val="0"/>
          <w:szCs w:val="24"/>
        </w:rPr>
      </w:pPr>
      <w:r w:rsidRPr="00B2091D">
        <w:rPr>
          <w:b w:val="0"/>
          <w:i w:val="0"/>
        </w:rPr>
        <w:t>23</w:t>
      </w:r>
      <w:r w:rsidR="005D511B" w:rsidRPr="00B2091D">
        <w:rPr>
          <w:b w:val="0"/>
          <w:i w:val="0"/>
        </w:rPr>
        <w:t>.</w:t>
      </w:r>
      <w:r w:rsidR="005D511B" w:rsidRPr="00B2091D">
        <w:rPr>
          <w:b w:val="0"/>
          <w:i w:val="0"/>
        </w:rPr>
        <w:tab/>
        <w:t xml:space="preserve">Recalls the political agreement between the major EU institutions and the Member States </w:t>
      </w:r>
      <w:r w:rsidR="0033189C" w:rsidRPr="00B2091D">
        <w:rPr>
          <w:b w:val="0"/>
          <w:i w:val="0"/>
        </w:rPr>
        <w:t>on the EU</w:t>
      </w:r>
      <w:r w:rsidR="00B2091D" w:rsidRPr="00B2091D">
        <w:rPr>
          <w:b w:val="0"/>
          <w:i w:val="0"/>
        </w:rPr>
        <w:t>’</w:t>
      </w:r>
      <w:r w:rsidR="0033189C" w:rsidRPr="00B2091D">
        <w:rPr>
          <w:b w:val="0"/>
          <w:i w:val="0"/>
        </w:rPr>
        <w:t>s accession to</w:t>
      </w:r>
      <w:r w:rsidR="005D511B" w:rsidRPr="00B2091D">
        <w:rPr>
          <w:b w:val="0"/>
          <w:i w:val="0"/>
        </w:rPr>
        <w:t xml:space="preserve"> the </w:t>
      </w:r>
      <w:r w:rsidR="006B2FB6" w:rsidRPr="00B2091D">
        <w:rPr>
          <w:b w:val="0"/>
          <w:i w:val="0"/>
        </w:rPr>
        <w:t>ECHR</w:t>
      </w:r>
      <w:r w:rsidR="005D511B" w:rsidRPr="00B2091D">
        <w:rPr>
          <w:b w:val="0"/>
          <w:i w:val="0"/>
        </w:rPr>
        <w:t xml:space="preserve">; considers that </w:t>
      </w:r>
      <w:r w:rsidR="0033189C" w:rsidRPr="00B2091D">
        <w:rPr>
          <w:b w:val="0"/>
          <w:i w:val="0"/>
        </w:rPr>
        <w:t>the</w:t>
      </w:r>
      <w:r w:rsidR="005D511B" w:rsidRPr="00B2091D">
        <w:rPr>
          <w:b w:val="0"/>
          <w:i w:val="0"/>
        </w:rPr>
        <w:t xml:space="preserve"> completion </w:t>
      </w:r>
      <w:r w:rsidR="0033189C" w:rsidRPr="00B2091D">
        <w:rPr>
          <w:b w:val="0"/>
          <w:i w:val="0"/>
        </w:rPr>
        <w:t xml:space="preserve">of the process </w:t>
      </w:r>
      <w:r w:rsidR="005D511B" w:rsidRPr="00B2091D">
        <w:rPr>
          <w:b w:val="0"/>
          <w:i w:val="0"/>
        </w:rPr>
        <w:t xml:space="preserve">would introduce further safeguards </w:t>
      </w:r>
      <w:r w:rsidR="002C4011" w:rsidRPr="00B2091D">
        <w:rPr>
          <w:b w:val="0"/>
          <w:i w:val="0"/>
        </w:rPr>
        <w:t>of</w:t>
      </w:r>
      <w:r w:rsidR="0033189C" w:rsidRPr="00B2091D">
        <w:rPr>
          <w:b w:val="0"/>
          <w:i w:val="0"/>
        </w:rPr>
        <w:t xml:space="preserve"> the</w:t>
      </w:r>
      <w:r w:rsidR="005D511B" w:rsidRPr="00B2091D">
        <w:rPr>
          <w:b w:val="0"/>
          <w:i w:val="0"/>
        </w:rPr>
        <w:t xml:space="preserve"> fundamental rights of Union citizens and residents; asks </w:t>
      </w:r>
      <w:r w:rsidR="0033189C" w:rsidRPr="00B2091D">
        <w:rPr>
          <w:b w:val="0"/>
          <w:i w:val="0"/>
        </w:rPr>
        <w:t>that</w:t>
      </w:r>
      <w:r w:rsidR="005D511B" w:rsidRPr="00B2091D">
        <w:rPr>
          <w:b w:val="0"/>
          <w:i w:val="0"/>
        </w:rPr>
        <w:t xml:space="preserve"> the necessary steps </w:t>
      </w:r>
      <w:r w:rsidR="0033189C" w:rsidRPr="00B2091D">
        <w:rPr>
          <w:b w:val="0"/>
          <w:i w:val="0"/>
        </w:rPr>
        <w:t xml:space="preserve">be taken </w:t>
      </w:r>
      <w:r w:rsidR="005D511B" w:rsidRPr="00B2091D">
        <w:rPr>
          <w:b w:val="0"/>
          <w:i w:val="0"/>
        </w:rPr>
        <w:t>to eliminate the legal barriers that prevent the conclusion of the accession</w:t>
      </w:r>
      <w:r w:rsidR="0033189C" w:rsidRPr="00B2091D">
        <w:rPr>
          <w:b w:val="0"/>
          <w:i w:val="0"/>
        </w:rPr>
        <w:t xml:space="preserve"> process.</w:t>
      </w:r>
      <w:r w:rsidR="005D511B" w:rsidRPr="00B2091D">
        <w:rPr>
          <w:b w:val="0"/>
          <w:i w:val="0"/>
        </w:rPr>
        <w:t xml:space="preserve"> </w:t>
      </w:r>
    </w:p>
    <w:p w14:paraId="51A6B981" w14:textId="77777777" w:rsidR="005D511B" w:rsidRPr="007A0614" w:rsidRDefault="005D511B" w:rsidP="007A0614">
      <w:r w:rsidRPr="007A0614">
        <w:br w:type="page"/>
      </w:r>
    </w:p>
    <w:p w14:paraId="4ACFE2E4" w14:textId="52B6F71D" w:rsidR="007A0614" w:rsidRDefault="007A0614" w:rsidP="007A0614">
      <w:pPr>
        <w:pStyle w:val="PageHeadingNotTOC"/>
      </w:pPr>
      <w:bookmarkStart w:id="1" w:name="ProcPageAD"/>
      <w:r>
        <w:lastRenderedPageBreak/>
        <w:t>INFORMATION ON ADOPTION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A0614" w14:paraId="7BB1A4B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4401B26" w14:textId="77777777" w:rsidR="007A0614" w:rsidRDefault="007A0614">
            <w:pPr>
              <w:autoSpaceDE w:val="0"/>
              <w:autoSpaceDN w:val="0"/>
              <w:adjustRightInd w:val="0"/>
              <w:rPr>
                <w:b/>
                <w:bCs/>
                <w:color w:val="000000"/>
                <w:sz w:val="20"/>
              </w:rPr>
            </w:pPr>
            <w:r>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A5E3DDF" w14:textId="77777777" w:rsidR="007A0614" w:rsidRDefault="007A0614">
            <w:pPr>
              <w:autoSpaceDE w:val="0"/>
              <w:autoSpaceDN w:val="0"/>
              <w:adjustRightInd w:val="0"/>
              <w:rPr>
                <w:color w:val="000000"/>
                <w:sz w:val="20"/>
              </w:rPr>
            </w:pPr>
            <w:r>
              <w:rPr>
                <w:color w:val="000000"/>
                <w:sz w:val="20"/>
              </w:rPr>
              <w:t>10.1.2019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C786F47" w14:textId="77777777" w:rsidR="007A0614" w:rsidRDefault="007A061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351B369" w14:textId="77777777" w:rsidR="007A0614" w:rsidRDefault="007A061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05C9AF7" w14:textId="77777777" w:rsidR="007A0614" w:rsidRDefault="007A0614">
            <w:pPr>
              <w:autoSpaceDE w:val="0"/>
              <w:autoSpaceDN w:val="0"/>
              <w:adjustRightInd w:val="0"/>
              <w:rPr>
                <w:rFonts w:ascii="sans-serif" w:hAnsi="sans-serif" w:cs="sans-serif"/>
                <w:color w:val="000000"/>
                <w:szCs w:val="24"/>
              </w:rPr>
            </w:pPr>
          </w:p>
        </w:tc>
      </w:tr>
      <w:tr w:rsidR="007A0614" w14:paraId="544EFC5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908AFAF" w14:textId="77777777" w:rsidR="007A0614" w:rsidRDefault="007A0614">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D48C570" w14:textId="77777777" w:rsidR="007A0614" w:rsidRDefault="007A0614">
            <w:pPr>
              <w:autoSpaceDE w:val="0"/>
              <w:autoSpaceDN w:val="0"/>
              <w:adjustRightInd w:val="0"/>
              <w:rPr>
                <w:color w:val="000000"/>
                <w:sz w:val="20"/>
              </w:rPr>
            </w:pPr>
            <w:r>
              <w:rPr>
                <w:color w:val="000000"/>
                <w:sz w:val="20"/>
              </w:rPr>
              <w:t>+:</w:t>
            </w:r>
          </w:p>
          <w:p w14:paraId="3BCB0CA4" w14:textId="77777777" w:rsidR="007A0614" w:rsidRDefault="007A0614">
            <w:pPr>
              <w:autoSpaceDE w:val="0"/>
              <w:autoSpaceDN w:val="0"/>
              <w:adjustRightInd w:val="0"/>
              <w:rPr>
                <w:color w:val="000000"/>
                <w:sz w:val="20"/>
              </w:rPr>
            </w:pPr>
            <w:r>
              <w:rPr>
                <w:color w:val="000000"/>
                <w:sz w:val="20"/>
              </w:rPr>
              <w:t>–:</w:t>
            </w:r>
          </w:p>
          <w:p w14:paraId="77B0B6D5" w14:textId="77777777" w:rsidR="007A0614" w:rsidRDefault="007A0614">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162FF9D" w14:textId="77777777" w:rsidR="007A0614" w:rsidRDefault="007A0614">
            <w:pPr>
              <w:autoSpaceDE w:val="0"/>
              <w:autoSpaceDN w:val="0"/>
              <w:adjustRightInd w:val="0"/>
              <w:rPr>
                <w:color w:val="000000"/>
                <w:sz w:val="20"/>
              </w:rPr>
            </w:pPr>
            <w:r>
              <w:rPr>
                <w:color w:val="000000"/>
                <w:sz w:val="20"/>
              </w:rPr>
              <w:t>39</w:t>
            </w:r>
          </w:p>
          <w:p w14:paraId="5DF51C26" w14:textId="77777777" w:rsidR="007A0614" w:rsidRDefault="007A0614">
            <w:pPr>
              <w:autoSpaceDE w:val="0"/>
              <w:autoSpaceDN w:val="0"/>
              <w:adjustRightInd w:val="0"/>
              <w:rPr>
                <w:color w:val="000000"/>
                <w:sz w:val="20"/>
              </w:rPr>
            </w:pPr>
            <w:r>
              <w:rPr>
                <w:color w:val="000000"/>
                <w:sz w:val="20"/>
              </w:rPr>
              <w:t>8</w:t>
            </w:r>
          </w:p>
          <w:p w14:paraId="1F45D026" w14:textId="77777777" w:rsidR="007A0614" w:rsidRDefault="007A0614">
            <w:pPr>
              <w:autoSpaceDE w:val="0"/>
              <w:autoSpaceDN w:val="0"/>
              <w:adjustRightInd w:val="0"/>
              <w:rPr>
                <w:color w:val="000000"/>
                <w:sz w:val="20"/>
              </w:rPr>
            </w:pPr>
            <w:r>
              <w:rPr>
                <w:color w:val="000000"/>
                <w:sz w:val="20"/>
              </w:rPr>
              <w:t>0</w:t>
            </w:r>
          </w:p>
        </w:tc>
      </w:tr>
      <w:tr w:rsidR="007A0614" w14:paraId="6BB5B92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532D0AB" w14:textId="77777777" w:rsidR="007A0614" w:rsidRDefault="007A0614">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97C2C21" w14:textId="1D69F3F5" w:rsidR="007A0614" w:rsidRDefault="007A0614">
            <w:pPr>
              <w:autoSpaceDE w:val="0"/>
              <w:autoSpaceDN w:val="0"/>
              <w:adjustRightInd w:val="0"/>
              <w:rPr>
                <w:color w:val="000000"/>
                <w:sz w:val="20"/>
              </w:rPr>
            </w:pPr>
            <w:r>
              <w:rPr>
                <w:color w:val="000000"/>
                <w:sz w:val="20"/>
              </w:rPr>
              <w:t xml:space="preserve">Asim Ademov, Martina Anderson, Heinz K. Becker, Monika Beňová, Michał Boni, Caterina Chinnici, Rachida Dati, Frank Engel, Laura Ferrara, Romeo Franz, Kinga Gál, Ana Gomes, Nathalie Griesbeck, Sylvie Guillaume, Monika Hohlmeier, Sophia in </w:t>
            </w:r>
            <w:r w:rsidR="00B2091D">
              <w:rPr>
                <w:color w:val="000000"/>
                <w:sz w:val="20"/>
              </w:rPr>
              <w:t>‘</w:t>
            </w:r>
            <w:r>
              <w:rPr>
                <w:color w:val="000000"/>
                <w:sz w:val="20"/>
              </w:rPr>
              <w:t>t Veld, Cécile Kashetu Kyenge, Monica Macovei, Roberta Metsola, Claude Moraes, Ivari Padar, Judith Sargentini, Birgit Sippel, Csaba Sógor, Helga Stevens, Traian Ungureanu, Bodil Valero, Marie-Christine Vergiat, Udo Voigt, Josef Weidenholzer, Cecilia Wikström, Kristina Winberg, Tomáš Zdechovský, Auke Zijlstra</w:t>
            </w:r>
          </w:p>
        </w:tc>
      </w:tr>
      <w:tr w:rsidR="007A0614" w14:paraId="122C1AB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58C7B09" w14:textId="77777777" w:rsidR="007A0614" w:rsidRDefault="007A0614">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958E3E8" w14:textId="701D8513" w:rsidR="007A0614" w:rsidRDefault="007A0614">
            <w:pPr>
              <w:autoSpaceDE w:val="0"/>
              <w:autoSpaceDN w:val="0"/>
              <w:adjustRightInd w:val="0"/>
              <w:rPr>
                <w:color w:val="000000"/>
                <w:sz w:val="20"/>
              </w:rPr>
            </w:pPr>
            <w:r>
              <w:rPr>
                <w:color w:val="000000"/>
                <w:sz w:val="20"/>
              </w:rPr>
              <w:t>Dennis de Jong, Anna Hedh, Lívia Járóka, Marek Jurek, Jean Lambert, Jeroen Lenaers, Andrejs Mamikins, Angelika Mlinar, Maite Pagazaurtundúa Ruiz, Christine Revault d</w:t>
            </w:r>
            <w:r w:rsidR="00B2091D">
              <w:rPr>
                <w:color w:val="000000"/>
                <w:sz w:val="20"/>
              </w:rPr>
              <w:t>’</w:t>
            </w:r>
            <w:r>
              <w:rPr>
                <w:color w:val="000000"/>
                <w:sz w:val="20"/>
              </w:rPr>
              <w:t>Allonnes Bonnefoy</w:t>
            </w:r>
          </w:p>
        </w:tc>
      </w:tr>
      <w:tr w:rsidR="007A0614" w:rsidRPr="00424A1A" w14:paraId="75725C6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10AAE3C" w14:textId="77777777" w:rsidR="007A0614" w:rsidRDefault="007A0614">
            <w:pPr>
              <w:autoSpaceDE w:val="0"/>
              <w:autoSpaceDN w:val="0"/>
              <w:adjustRightInd w:val="0"/>
              <w:rPr>
                <w:b/>
                <w:bCs/>
                <w:color w:val="000000"/>
                <w:sz w:val="20"/>
              </w:rPr>
            </w:pPr>
            <w:r>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1CB0B03" w14:textId="77777777" w:rsidR="007A0614" w:rsidRPr="007A0614" w:rsidRDefault="007A0614">
            <w:pPr>
              <w:autoSpaceDE w:val="0"/>
              <w:autoSpaceDN w:val="0"/>
              <w:adjustRightInd w:val="0"/>
              <w:rPr>
                <w:color w:val="000000"/>
                <w:sz w:val="20"/>
                <w:lang w:val="pt-PT"/>
              </w:rPr>
            </w:pPr>
            <w:r w:rsidRPr="007A0614">
              <w:rPr>
                <w:color w:val="000000"/>
                <w:sz w:val="20"/>
                <w:lang w:val="pt-PT"/>
              </w:rPr>
              <w:t>Norbert Erdős, Fernando Ruas, Adam Szejnfeld</w:t>
            </w:r>
          </w:p>
        </w:tc>
      </w:tr>
    </w:tbl>
    <w:p w14:paraId="3F501EAE" w14:textId="77777777" w:rsidR="007A0614" w:rsidRPr="007A0614" w:rsidRDefault="007A0614">
      <w:pPr>
        <w:autoSpaceDE w:val="0"/>
        <w:autoSpaceDN w:val="0"/>
        <w:adjustRightInd w:val="0"/>
        <w:rPr>
          <w:rFonts w:ascii="Arial" w:hAnsi="Arial" w:cs="Arial"/>
          <w:szCs w:val="24"/>
          <w:lang w:val="pt-PT"/>
        </w:rPr>
      </w:pPr>
    </w:p>
    <w:bookmarkEnd w:id="1"/>
    <w:p w14:paraId="5EA1B5BF" w14:textId="7F7F5398" w:rsidR="005D511B" w:rsidRPr="007A0614" w:rsidRDefault="005D511B" w:rsidP="007A0614">
      <w:pPr>
        <w:rPr>
          <w:lang w:val="pt-PT"/>
        </w:rPr>
      </w:pPr>
      <w:r w:rsidRPr="007A0614">
        <w:rPr>
          <w:lang w:val="pt-PT"/>
        </w:rPr>
        <w:br w:type="page"/>
      </w:r>
    </w:p>
    <w:p w14:paraId="002F2403" w14:textId="51FF1CE1" w:rsidR="005D511B" w:rsidRPr="0099178F" w:rsidRDefault="005D511B" w:rsidP="007A0614">
      <w:pPr>
        <w:pStyle w:val="PageHeadingNotTOC"/>
      </w:pPr>
      <w:bookmarkStart w:id="2" w:name="RollCallPageAD"/>
      <w:r>
        <w:lastRenderedPageBreak/>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D511B" w:rsidRPr="00F64B87" w14:paraId="6B0CC4BA" w14:textId="77777777" w:rsidTr="00E0655F">
        <w:trPr>
          <w:cantSplit/>
        </w:trPr>
        <w:tc>
          <w:tcPr>
            <w:tcW w:w="1701" w:type="dxa"/>
            <w:shd w:val="pct10" w:color="000000" w:fill="FFFFFF"/>
            <w:vAlign w:val="center"/>
          </w:tcPr>
          <w:p w14:paraId="2B852F2E" w14:textId="2C555124" w:rsidR="005D511B" w:rsidRPr="00F079B8" w:rsidRDefault="005D511B" w:rsidP="00E0655F">
            <w:pPr>
              <w:spacing w:before="120" w:after="120"/>
              <w:jc w:val="center"/>
              <w:rPr>
                <w:b/>
                <w:sz w:val="20"/>
              </w:rPr>
            </w:pPr>
            <w:r>
              <w:rPr>
                <w:b/>
                <w:sz w:val="20"/>
              </w:rPr>
              <w:t>39</w:t>
            </w:r>
          </w:p>
        </w:tc>
        <w:tc>
          <w:tcPr>
            <w:tcW w:w="7371" w:type="dxa"/>
            <w:shd w:val="pct10" w:color="000000" w:fill="FFFFFF"/>
          </w:tcPr>
          <w:p w14:paraId="2F6FB202" w14:textId="77777777" w:rsidR="005D511B" w:rsidRPr="00AB7DBA" w:rsidRDefault="005D511B" w:rsidP="00E0655F">
            <w:pPr>
              <w:spacing w:before="120" w:after="120"/>
              <w:jc w:val="center"/>
              <w:rPr>
                <w:rFonts w:ascii="Arial" w:hAnsi="Arial" w:cs="Arial"/>
                <w:b/>
                <w:sz w:val="28"/>
                <w:szCs w:val="28"/>
              </w:rPr>
            </w:pPr>
            <w:r w:rsidRPr="00AB7DBA">
              <w:rPr>
                <w:rFonts w:ascii="Arial" w:hAnsi="Arial" w:cs="Arial"/>
                <w:b/>
                <w:sz w:val="28"/>
                <w:szCs w:val="28"/>
              </w:rPr>
              <w:t>+</w:t>
            </w:r>
          </w:p>
        </w:tc>
      </w:tr>
      <w:tr w:rsidR="005D511B" w:rsidRPr="00F64B87" w14:paraId="1AC81666" w14:textId="77777777" w:rsidTr="00E0655F">
        <w:trPr>
          <w:cantSplit/>
        </w:trPr>
        <w:tc>
          <w:tcPr>
            <w:tcW w:w="1701" w:type="dxa"/>
            <w:shd w:val="clear" w:color="auto" w:fill="FFFFFF"/>
          </w:tcPr>
          <w:p w14:paraId="63E3F0C7" w14:textId="2AC2758C" w:rsidR="005D511B" w:rsidRPr="00F079B8" w:rsidRDefault="005D511B" w:rsidP="00E0655F">
            <w:pPr>
              <w:spacing w:before="120" w:after="120"/>
              <w:rPr>
                <w:sz w:val="20"/>
              </w:rPr>
            </w:pPr>
            <w:r>
              <w:rPr>
                <w:sz w:val="20"/>
              </w:rPr>
              <w:t>ALDE</w:t>
            </w:r>
          </w:p>
        </w:tc>
        <w:tc>
          <w:tcPr>
            <w:tcW w:w="7371" w:type="dxa"/>
            <w:shd w:val="clear" w:color="auto" w:fill="FFFFFF"/>
          </w:tcPr>
          <w:p w14:paraId="3A9900FF" w14:textId="18818FE6" w:rsidR="005D511B" w:rsidRPr="00F079B8" w:rsidRDefault="005D511B" w:rsidP="00E0655F">
            <w:pPr>
              <w:spacing w:before="120" w:after="120"/>
              <w:rPr>
                <w:sz w:val="20"/>
              </w:rPr>
            </w:pPr>
            <w:r>
              <w:rPr>
                <w:sz w:val="20"/>
              </w:rPr>
              <w:t xml:space="preserve">Nathalie Griesbeck, Sophia in </w:t>
            </w:r>
            <w:r w:rsidR="00B2091D">
              <w:rPr>
                <w:sz w:val="20"/>
              </w:rPr>
              <w:t>‘</w:t>
            </w:r>
            <w:r>
              <w:rPr>
                <w:sz w:val="20"/>
              </w:rPr>
              <w:t>t Veld, Angelika Mlinar, Maite Pagazaurtundúa Ruiz, Cecilia Wikström</w:t>
            </w:r>
          </w:p>
        </w:tc>
      </w:tr>
      <w:tr w:rsidR="005D511B" w:rsidRPr="00F64B87" w14:paraId="0B409E68" w14:textId="77777777" w:rsidTr="00E0655F">
        <w:trPr>
          <w:cantSplit/>
        </w:trPr>
        <w:tc>
          <w:tcPr>
            <w:tcW w:w="1701" w:type="dxa"/>
            <w:shd w:val="clear" w:color="auto" w:fill="FFFFFF"/>
          </w:tcPr>
          <w:p w14:paraId="43AB9B0A" w14:textId="628B230E" w:rsidR="005D511B" w:rsidRDefault="005D511B" w:rsidP="00E0655F">
            <w:pPr>
              <w:spacing w:before="120" w:after="120"/>
              <w:rPr>
                <w:sz w:val="20"/>
              </w:rPr>
            </w:pPr>
            <w:r>
              <w:rPr>
                <w:sz w:val="20"/>
              </w:rPr>
              <w:t>ECR</w:t>
            </w:r>
          </w:p>
        </w:tc>
        <w:tc>
          <w:tcPr>
            <w:tcW w:w="7371" w:type="dxa"/>
            <w:shd w:val="clear" w:color="auto" w:fill="FFFFFF"/>
          </w:tcPr>
          <w:p w14:paraId="2967B968" w14:textId="3B1A220B" w:rsidR="005D511B" w:rsidRDefault="005D511B" w:rsidP="00E0655F">
            <w:pPr>
              <w:spacing w:before="120" w:after="120"/>
              <w:rPr>
                <w:sz w:val="20"/>
              </w:rPr>
            </w:pPr>
            <w:r>
              <w:rPr>
                <w:sz w:val="20"/>
              </w:rPr>
              <w:t>Monica Macovei</w:t>
            </w:r>
          </w:p>
        </w:tc>
      </w:tr>
      <w:tr w:rsidR="005D511B" w:rsidRPr="00F64B87" w14:paraId="62543F64" w14:textId="77777777" w:rsidTr="00E0655F">
        <w:trPr>
          <w:cantSplit/>
        </w:trPr>
        <w:tc>
          <w:tcPr>
            <w:tcW w:w="1701" w:type="dxa"/>
            <w:shd w:val="clear" w:color="auto" w:fill="FFFFFF"/>
          </w:tcPr>
          <w:p w14:paraId="420D2153" w14:textId="036A46B6" w:rsidR="005D511B" w:rsidRDefault="005D511B" w:rsidP="00E0655F">
            <w:pPr>
              <w:spacing w:before="120" w:after="120"/>
              <w:rPr>
                <w:sz w:val="20"/>
              </w:rPr>
            </w:pPr>
            <w:r>
              <w:rPr>
                <w:sz w:val="20"/>
              </w:rPr>
              <w:t>EFDD</w:t>
            </w:r>
          </w:p>
        </w:tc>
        <w:tc>
          <w:tcPr>
            <w:tcW w:w="7371" w:type="dxa"/>
            <w:shd w:val="clear" w:color="auto" w:fill="FFFFFF"/>
          </w:tcPr>
          <w:p w14:paraId="0CC45096" w14:textId="1489A086" w:rsidR="005D511B" w:rsidRDefault="005D511B" w:rsidP="00E0655F">
            <w:pPr>
              <w:spacing w:before="120" w:after="120"/>
              <w:rPr>
                <w:sz w:val="20"/>
              </w:rPr>
            </w:pPr>
            <w:r>
              <w:rPr>
                <w:sz w:val="20"/>
              </w:rPr>
              <w:t>Laura Ferrara</w:t>
            </w:r>
          </w:p>
        </w:tc>
      </w:tr>
      <w:tr w:rsidR="005D511B" w:rsidRPr="00424A1A" w14:paraId="6FB2A788" w14:textId="77777777" w:rsidTr="00E0655F">
        <w:trPr>
          <w:cantSplit/>
        </w:trPr>
        <w:tc>
          <w:tcPr>
            <w:tcW w:w="1701" w:type="dxa"/>
            <w:shd w:val="clear" w:color="auto" w:fill="FFFFFF"/>
          </w:tcPr>
          <w:p w14:paraId="578DD8DD" w14:textId="79AE1DCC" w:rsidR="005D511B" w:rsidRDefault="005D511B" w:rsidP="00E0655F">
            <w:pPr>
              <w:spacing w:before="120" w:after="120"/>
              <w:rPr>
                <w:sz w:val="20"/>
              </w:rPr>
            </w:pPr>
            <w:r>
              <w:rPr>
                <w:sz w:val="20"/>
              </w:rPr>
              <w:t>GUE/NGL</w:t>
            </w:r>
          </w:p>
        </w:tc>
        <w:tc>
          <w:tcPr>
            <w:tcW w:w="7371" w:type="dxa"/>
            <w:shd w:val="clear" w:color="auto" w:fill="FFFFFF"/>
          </w:tcPr>
          <w:p w14:paraId="77C58600" w14:textId="30D59813" w:rsidR="005D511B" w:rsidRPr="005D511B" w:rsidRDefault="005D511B" w:rsidP="00E0655F">
            <w:pPr>
              <w:spacing w:before="120" w:after="120"/>
              <w:rPr>
                <w:sz w:val="20"/>
                <w:lang w:val="fr-FR"/>
              </w:rPr>
            </w:pPr>
            <w:r w:rsidRPr="005D511B">
              <w:rPr>
                <w:sz w:val="20"/>
                <w:lang w:val="fr-FR"/>
              </w:rPr>
              <w:t>Martina Anderson, Dennis de Jong, Marie-Christine Vergiat</w:t>
            </w:r>
          </w:p>
        </w:tc>
      </w:tr>
      <w:tr w:rsidR="005D511B" w:rsidRPr="00F64B87" w14:paraId="3603A06D" w14:textId="77777777" w:rsidTr="00E0655F">
        <w:trPr>
          <w:cantSplit/>
        </w:trPr>
        <w:tc>
          <w:tcPr>
            <w:tcW w:w="1701" w:type="dxa"/>
            <w:shd w:val="clear" w:color="auto" w:fill="FFFFFF"/>
          </w:tcPr>
          <w:p w14:paraId="66D15577" w14:textId="4507AA29" w:rsidR="005D511B" w:rsidRDefault="005D511B" w:rsidP="00E0655F">
            <w:pPr>
              <w:spacing w:before="120" w:after="120"/>
              <w:rPr>
                <w:sz w:val="20"/>
              </w:rPr>
            </w:pPr>
            <w:r>
              <w:rPr>
                <w:sz w:val="20"/>
              </w:rPr>
              <w:t>PPE</w:t>
            </w:r>
          </w:p>
        </w:tc>
        <w:tc>
          <w:tcPr>
            <w:tcW w:w="7371" w:type="dxa"/>
            <w:shd w:val="clear" w:color="auto" w:fill="FFFFFF"/>
          </w:tcPr>
          <w:p w14:paraId="07C89B8A" w14:textId="60ED37E4" w:rsidR="005D511B" w:rsidRDefault="005D511B" w:rsidP="00E0655F">
            <w:pPr>
              <w:spacing w:before="120" w:after="120"/>
              <w:rPr>
                <w:sz w:val="20"/>
              </w:rPr>
            </w:pPr>
            <w:r>
              <w:rPr>
                <w:sz w:val="20"/>
              </w:rPr>
              <w:t>Asim Ademov, Heinz K. Becker, Michał Boni, Rachida Dati, Frank Engel, Monika Hohlmeier, Jeroen Lenaers, Roberta Metsola, Fernando Ruas, Csaba Sógor, Adam Szejnfeld, Traian Ungureanu, Tomáš Zdechovský</w:t>
            </w:r>
          </w:p>
        </w:tc>
      </w:tr>
      <w:tr w:rsidR="005D511B" w:rsidRPr="00F64B87" w14:paraId="232D5AC0" w14:textId="77777777" w:rsidTr="00E0655F">
        <w:trPr>
          <w:cantSplit/>
        </w:trPr>
        <w:tc>
          <w:tcPr>
            <w:tcW w:w="1701" w:type="dxa"/>
            <w:shd w:val="clear" w:color="auto" w:fill="FFFFFF"/>
          </w:tcPr>
          <w:p w14:paraId="5BA0D11F" w14:textId="09C1CC24" w:rsidR="005D511B" w:rsidRDefault="005D511B" w:rsidP="00E0655F">
            <w:pPr>
              <w:spacing w:before="120" w:after="120"/>
              <w:rPr>
                <w:sz w:val="20"/>
              </w:rPr>
            </w:pPr>
            <w:r>
              <w:rPr>
                <w:sz w:val="20"/>
              </w:rPr>
              <w:t>S&amp;D</w:t>
            </w:r>
          </w:p>
        </w:tc>
        <w:tc>
          <w:tcPr>
            <w:tcW w:w="7371" w:type="dxa"/>
            <w:shd w:val="clear" w:color="auto" w:fill="FFFFFF"/>
          </w:tcPr>
          <w:p w14:paraId="438367AE" w14:textId="14150598" w:rsidR="005D511B" w:rsidRDefault="005D511B" w:rsidP="00E0655F">
            <w:pPr>
              <w:spacing w:before="120" w:after="120"/>
              <w:rPr>
                <w:sz w:val="20"/>
              </w:rPr>
            </w:pPr>
            <w:r>
              <w:rPr>
                <w:sz w:val="20"/>
              </w:rPr>
              <w:t>Monika Beňová, Caterina Chinnici, Ana Gomes, Sylvie Guillaume, Anna Hedh, Cécile Kashetu Kyenge, Andrejs Mamikins, Claude Moraes, Ivari Padar, Christine Revault d</w:t>
            </w:r>
            <w:r w:rsidR="00B2091D">
              <w:rPr>
                <w:sz w:val="20"/>
              </w:rPr>
              <w:t>’</w:t>
            </w:r>
            <w:r>
              <w:rPr>
                <w:sz w:val="20"/>
              </w:rPr>
              <w:t>Allonnes Bonnefoy, Birgit Sippel, Josef Weidenholzer</w:t>
            </w:r>
          </w:p>
        </w:tc>
      </w:tr>
      <w:tr w:rsidR="005D511B" w:rsidRPr="00F64B87" w14:paraId="3252A59F" w14:textId="77777777" w:rsidTr="00E0655F">
        <w:trPr>
          <w:cantSplit/>
        </w:trPr>
        <w:tc>
          <w:tcPr>
            <w:tcW w:w="1701" w:type="dxa"/>
            <w:shd w:val="clear" w:color="auto" w:fill="FFFFFF"/>
          </w:tcPr>
          <w:p w14:paraId="55883704" w14:textId="0CFEDC17" w:rsidR="005D511B" w:rsidRDefault="005D511B" w:rsidP="00E0655F">
            <w:pPr>
              <w:spacing w:before="120" w:after="120"/>
              <w:rPr>
                <w:sz w:val="20"/>
              </w:rPr>
            </w:pPr>
            <w:r>
              <w:rPr>
                <w:sz w:val="20"/>
              </w:rPr>
              <w:t>VERTS/ALE</w:t>
            </w:r>
          </w:p>
        </w:tc>
        <w:tc>
          <w:tcPr>
            <w:tcW w:w="7371" w:type="dxa"/>
            <w:shd w:val="clear" w:color="auto" w:fill="FFFFFF"/>
          </w:tcPr>
          <w:p w14:paraId="65B3806C" w14:textId="24C3D8C9" w:rsidR="005D511B" w:rsidRDefault="005D511B" w:rsidP="00E0655F">
            <w:pPr>
              <w:spacing w:before="120" w:after="120"/>
              <w:rPr>
                <w:sz w:val="20"/>
              </w:rPr>
            </w:pPr>
            <w:r>
              <w:rPr>
                <w:sz w:val="20"/>
              </w:rPr>
              <w:t>Romeo Franz, Jean Lambert, Judith Sargentini, Bodil Valero</w:t>
            </w:r>
          </w:p>
        </w:tc>
      </w:tr>
    </w:tbl>
    <w:p w14:paraId="090FFFC7" w14:textId="77777777" w:rsidR="005D511B" w:rsidRDefault="005D511B" w:rsidP="00E0655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D511B" w:rsidRPr="00F64B87" w14:paraId="442D4E73" w14:textId="77777777" w:rsidTr="00E0655F">
        <w:trPr>
          <w:cantSplit/>
        </w:trPr>
        <w:tc>
          <w:tcPr>
            <w:tcW w:w="1701" w:type="dxa"/>
            <w:shd w:val="pct10" w:color="000000" w:fill="FFFFFF"/>
            <w:vAlign w:val="center"/>
          </w:tcPr>
          <w:p w14:paraId="45D43C06" w14:textId="1AA418B2" w:rsidR="005D511B" w:rsidRPr="00BF54D6" w:rsidRDefault="005D511B" w:rsidP="00E0655F">
            <w:pPr>
              <w:spacing w:before="120" w:after="120"/>
              <w:jc w:val="center"/>
              <w:rPr>
                <w:b/>
                <w:sz w:val="16"/>
              </w:rPr>
            </w:pPr>
            <w:r>
              <w:rPr>
                <w:b/>
                <w:sz w:val="20"/>
              </w:rPr>
              <w:t>8</w:t>
            </w:r>
          </w:p>
        </w:tc>
        <w:tc>
          <w:tcPr>
            <w:tcW w:w="7371" w:type="dxa"/>
            <w:shd w:val="pct10" w:color="000000" w:fill="FFFFFF"/>
          </w:tcPr>
          <w:p w14:paraId="7A0F9E00" w14:textId="77777777" w:rsidR="005D511B" w:rsidRPr="00AB7DBA" w:rsidRDefault="005D511B" w:rsidP="00E0655F">
            <w:pPr>
              <w:spacing w:before="120" w:after="120"/>
              <w:jc w:val="center"/>
              <w:rPr>
                <w:sz w:val="28"/>
                <w:szCs w:val="28"/>
              </w:rPr>
            </w:pPr>
            <w:r w:rsidRPr="00AB7DBA">
              <w:rPr>
                <w:rFonts w:ascii="Arial" w:hAnsi="Arial" w:cs="Arial"/>
                <w:b/>
                <w:sz w:val="28"/>
                <w:szCs w:val="28"/>
              </w:rPr>
              <w:t>-</w:t>
            </w:r>
          </w:p>
        </w:tc>
      </w:tr>
      <w:tr w:rsidR="005D511B" w:rsidRPr="00F64B87" w14:paraId="16D25E1F" w14:textId="77777777" w:rsidTr="00E0655F">
        <w:trPr>
          <w:cantSplit/>
        </w:trPr>
        <w:tc>
          <w:tcPr>
            <w:tcW w:w="1701" w:type="dxa"/>
            <w:shd w:val="clear" w:color="auto" w:fill="FFFFFF"/>
          </w:tcPr>
          <w:p w14:paraId="192773B6" w14:textId="6A99DF44" w:rsidR="005D511B" w:rsidRPr="00F079B8" w:rsidRDefault="005D511B" w:rsidP="00E0655F">
            <w:pPr>
              <w:spacing w:before="120" w:after="120"/>
              <w:rPr>
                <w:sz w:val="20"/>
              </w:rPr>
            </w:pPr>
            <w:r>
              <w:rPr>
                <w:sz w:val="20"/>
              </w:rPr>
              <w:t>ECR</w:t>
            </w:r>
          </w:p>
        </w:tc>
        <w:tc>
          <w:tcPr>
            <w:tcW w:w="7371" w:type="dxa"/>
            <w:shd w:val="clear" w:color="auto" w:fill="FFFFFF"/>
          </w:tcPr>
          <w:p w14:paraId="198ED01B" w14:textId="6E4E6A1E" w:rsidR="005D511B" w:rsidRPr="00F079B8" w:rsidRDefault="005D511B" w:rsidP="00E0655F">
            <w:pPr>
              <w:spacing w:before="120" w:after="120"/>
              <w:rPr>
                <w:sz w:val="20"/>
              </w:rPr>
            </w:pPr>
            <w:r>
              <w:rPr>
                <w:sz w:val="20"/>
              </w:rPr>
              <w:t>Marek Jurek, Helga Stevens, Kristina Winberg</w:t>
            </w:r>
          </w:p>
        </w:tc>
      </w:tr>
      <w:tr w:rsidR="005D511B" w:rsidRPr="00F64B87" w14:paraId="205E4D68" w14:textId="77777777" w:rsidTr="00E0655F">
        <w:trPr>
          <w:cantSplit/>
        </w:trPr>
        <w:tc>
          <w:tcPr>
            <w:tcW w:w="1701" w:type="dxa"/>
            <w:shd w:val="clear" w:color="auto" w:fill="FFFFFF"/>
          </w:tcPr>
          <w:p w14:paraId="65B09D6B" w14:textId="1BD9FB65" w:rsidR="005D511B" w:rsidRDefault="005D511B" w:rsidP="00E0655F">
            <w:pPr>
              <w:spacing w:before="120" w:after="120"/>
              <w:rPr>
                <w:sz w:val="20"/>
              </w:rPr>
            </w:pPr>
            <w:r>
              <w:rPr>
                <w:sz w:val="20"/>
              </w:rPr>
              <w:t>ENF</w:t>
            </w:r>
          </w:p>
        </w:tc>
        <w:tc>
          <w:tcPr>
            <w:tcW w:w="7371" w:type="dxa"/>
            <w:shd w:val="clear" w:color="auto" w:fill="FFFFFF"/>
          </w:tcPr>
          <w:p w14:paraId="439403B0" w14:textId="05007118" w:rsidR="005D511B" w:rsidRDefault="005D511B" w:rsidP="00E0655F">
            <w:pPr>
              <w:spacing w:before="120" w:after="120"/>
              <w:rPr>
                <w:sz w:val="20"/>
              </w:rPr>
            </w:pPr>
            <w:r>
              <w:rPr>
                <w:sz w:val="20"/>
              </w:rPr>
              <w:t>Auke Zijlstra</w:t>
            </w:r>
          </w:p>
        </w:tc>
      </w:tr>
      <w:tr w:rsidR="005D511B" w:rsidRPr="00F64B87" w14:paraId="583C49F5" w14:textId="77777777" w:rsidTr="00E0655F">
        <w:trPr>
          <w:cantSplit/>
        </w:trPr>
        <w:tc>
          <w:tcPr>
            <w:tcW w:w="1701" w:type="dxa"/>
            <w:shd w:val="clear" w:color="auto" w:fill="FFFFFF"/>
          </w:tcPr>
          <w:p w14:paraId="6123817B" w14:textId="6DEAE9F3" w:rsidR="005D511B" w:rsidRDefault="005D511B" w:rsidP="00E0655F">
            <w:pPr>
              <w:spacing w:before="120" w:after="120"/>
              <w:rPr>
                <w:sz w:val="20"/>
              </w:rPr>
            </w:pPr>
            <w:r>
              <w:rPr>
                <w:sz w:val="20"/>
              </w:rPr>
              <w:t>NI</w:t>
            </w:r>
          </w:p>
        </w:tc>
        <w:tc>
          <w:tcPr>
            <w:tcW w:w="7371" w:type="dxa"/>
            <w:shd w:val="clear" w:color="auto" w:fill="FFFFFF"/>
          </w:tcPr>
          <w:p w14:paraId="2A2B3FD3" w14:textId="1ABC242A" w:rsidR="005D511B" w:rsidRDefault="005D511B" w:rsidP="00E0655F">
            <w:pPr>
              <w:spacing w:before="120" w:after="120"/>
              <w:rPr>
                <w:sz w:val="20"/>
              </w:rPr>
            </w:pPr>
            <w:r>
              <w:rPr>
                <w:sz w:val="20"/>
              </w:rPr>
              <w:t>Udo Voigt</w:t>
            </w:r>
          </w:p>
        </w:tc>
      </w:tr>
      <w:tr w:rsidR="005D511B" w:rsidRPr="00F64B87" w14:paraId="40455C47" w14:textId="77777777" w:rsidTr="00E0655F">
        <w:trPr>
          <w:cantSplit/>
        </w:trPr>
        <w:tc>
          <w:tcPr>
            <w:tcW w:w="1701" w:type="dxa"/>
            <w:shd w:val="clear" w:color="auto" w:fill="FFFFFF"/>
          </w:tcPr>
          <w:p w14:paraId="420826A5" w14:textId="2234EAE0" w:rsidR="005D511B" w:rsidRDefault="005D511B" w:rsidP="00E0655F">
            <w:pPr>
              <w:spacing w:before="120" w:after="120"/>
              <w:rPr>
                <w:sz w:val="20"/>
              </w:rPr>
            </w:pPr>
            <w:r>
              <w:rPr>
                <w:sz w:val="20"/>
              </w:rPr>
              <w:t>PPE</w:t>
            </w:r>
          </w:p>
        </w:tc>
        <w:tc>
          <w:tcPr>
            <w:tcW w:w="7371" w:type="dxa"/>
            <w:shd w:val="clear" w:color="auto" w:fill="FFFFFF"/>
          </w:tcPr>
          <w:p w14:paraId="4DBF55A4" w14:textId="2D2C07A2" w:rsidR="005D511B" w:rsidRDefault="005D511B" w:rsidP="00E0655F">
            <w:pPr>
              <w:spacing w:before="120" w:after="120"/>
              <w:rPr>
                <w:sz w:val="20"/>
              </w:rPr>
            </w:pPr>
            <w:r>
              <w:rPr>
                <w:sz w:val="20"/>
              </w:rPr>
              <w:t>Norbert Erdős, Kinga Gál, Lívia Járóka</w:t>
            </w:r>
          </w:p>
        </w:tc>
      </w:tr>
    </w:tbl>
    <w:p w14:paraId="1F719B96" w14:textId="77777777" w:rsidR="005D511B" w:rsidRDefault="005D511B" w:rsidP="00E0655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D511B" w:rsidRPr="00F64B87" w14:paraId="65F3FB5B" w14:textId="77777777" w:rsidTr="00E0655F">
        <w:trPr>
          <w:cantSplit/>
        </w:trPr>
        <w:tc>
          <w:tcPr>
            <w:tcW w:w="1701" w:type="dxa"/>
            <w:shd w:val="pct10" w:color="000000" w:fill="FFFFFF"/>
            <w:vAlign w:val="center"/>
          </w:tcPr>
          <w:p w14:paraId="646A988A" w14:textId="1485BC69" w:rsidR="005D511B" w:rsidRPr="00BF54D6" w:rsidRDefault="005D511B" w:rsidP="00E0655F">
            <w:pPr>
              <w:spacing w:before="120" w:after="120"/>
              <w:jc w:val="center"/>
              <w:rPr>
                <w:b/>
                <w:sz w:val="16"/>
              </w:rPr>
            </w:pPr>
            <w:r>
              <w:rPr>
                <w:b/>
                <w:sz w:val="20"/>
              </w:rPr>
              <w:t>0</w:t>
            </w:r>
          </w:p>
        </w:tc>
        <w:tc>
          <w:tcPr>
            <w:tcW w:w="7371" w:type="dxa"/>
            <w:shd w:val="pct10" w:color="000000" w:fill="FFFFFF"/>
          </w:tcPr>
          <w:p w14:paraId="686AD82C" w14:textId="77777777" w:rsidR="005D511B" w:rsidRPr="00AB7DBA" w:rsidRDefault="005D511B" w:rsidP="00E0655F">
            <w:pPr>
              <w:spacing w:before="120" w:after="120"/>
              <w:jc w:val="center"/>
              <w:rPr>
                <w:sz w:val="28"/>
                <w:szCs w:val="28"/>
              </w:rPr>
            </w:pPr>
            <w:r w:rsidRPr="00AB7DBA">
              <w:rPr>
                <w:rFonts w:ascii="Arial" w:hAnsi="Arial" w:cs="Arial"/>
                <w:b/>
                <w:sz w:val="28"/>
                <w:szCs w:val="28"/>
              </w:rPr>
              <w:t>0</w:t>
            </w:r>
          </w:p>
        </w:tc>
      </w:tr>
      <w:tr w:rsidR="005D511B" w:rsidRPr="00F64B87" w14:paraId="0347F42C" w14:textId="77777777" w:rsidTr="00E0655F">
        <w:trPr>
          <w:cantSplit/>
        </w:trPr>
        <w:tc>
          <w:tcPr>
            <w:tcW w:w="1701" w:type="dxa"/>
            <w:shd w:val="clear" w:color="auto" w:fill="FFFFFF"/>
          </w:tcPr>
          <w:p w14:paraId="5BFEB710" w14:textId="16B23F41" w:rsidR="005D511B" w:rsidRPr="00F079B8" w:rsidRDefault="005D511B" w:rsidP="00E0655F">
            <w:pPr>
              <w:spacing w:before="120" w:after="120"/>
              <w:rPr>
                <w:sz w:val="20"/>
              </w:rPr>
            </w:pPr>
          </w:p>
        </w:tc>
        <w:tc>
          <w:tcPr>
            <w:tcW w:w="7371" w:type="dxa"/>
            <w:shd w:val="clear" w:color="auto" w:fill="FFFFFF"/>
          </w:tcPr>
          <w:p w14:paraId="55C1B4F5" w14:textId="25AF6813" w:rsidR="005D511B" w:rsidRPr="00F079B8" w:rsidRDefault="005D511B" w:rsidP="00E0655F">
            <w:pPr>
              <w:spacing w:before="120" w:after="120"/>
              <w:rPr>
                <w:sz w:val="20"/>
              </w:rPr>
            </w:pPr>
          </w:p>
        </w:tc>
      </w:tr>
    </w:tbl>
    <w:p w14:paraId="7A6EF54D" w14:textId="77777777" w:rsidR="005D511B" w:rsidRDefault="005D511B" w:rsidP="00E0655F">
      <w:pPr>
        <w:pStyle w:val="Normal12"/>
      </w:pPr>
    </w:p>
    <w:p w14:paraId="0DC58975" w14:textId="751A0E06" w:rsidR="005D511B" w:rsidRDefault="005D511B" w:rsidP="00E0655F">
      <w:r>
        <w:t>Key to symbols:</w:t>
      </w:r>
    </w:p>
    <w:p w14:paraId="6E370912" w14:textId="1FE0444C" w:rsidR="005D511B" w:rsidRDefault="005D511B" w:rsidP="00E0655F">
      <w:pPr>
        <w:pStyle w:val="NormalTabs"/>
      </w:pPr>
      <w:r>
        <w:t>+</w:t>
      </w:r>
      <w:r>
        <w:tab/>
        <w:t>:</w:t>
      </w:r>
      <w:r>
        <w:tab/>
        <w:t>in favour</w:t>
      </w:r>
    </w:p>
    <w:p w14:paraId="5063E0E3" w14:textId="5F411199" w:rsidR="005D511B" w:rsidRDefault="005D511B" w:rsidP="00E0655F">
      <w:pPr>
        <w:pStyle w:val="NormalTabs"/>
      </w:pPr>
      <w:r>
        <w:t>-</w:t>
      </w:r>
      <w:r>
        <w:tab/>
        <w:t>:</w:t>
      </w:r>
      <w:r>
        <w:tab/>
        <w:t>against</w:t>
      </w:r>
    </w:p>
    <w:p w14:paraId="22B74D4B" w14:textId="4A8B966C" w:rsidR="005D511B" w:rsidRDefault="005D511B" w:rsidP="00E0655F">
      <w:pPr>
        <w:pStyle w:val="NormalTabs"/>
      </w:pPr>
      <w:r>
        <w:t>0</w:t>
      </w:r>
      <w:r>
        <w:tab/>
        <w:t>:</w:t>
      </w:r>
      <w:r>
        <w:tab/>
        <w:t>abstention</w:t>
      </w:r>
    </w:p>
    <w:p w14:paraId="6D1CEE24" w14:textId="77777777" w:rsidR="005D511B" w:rsidRDefault="005D511B" w:rsidP="00E0655F"/>
    <w:bookmarkEnd w:id="2"/>
    <w:p w14:paraId="6E13868E" w14:textId="77777777" w:rsidR="0074006D" w:rsidRPr="005D511B" w:rsidRDefault="0074006D" w:rsidP="005D511B"/>
    <w:sectPr w:rsidR="0074006D" w:rsidRPr="005D511B" w:rsidSect="004822B8">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31775" w14:textId="77777777" w:rsidR="00E0655F" w:rsidRPr="00FB73FB" w:rsidRDefault="00E0655F">
      <w:r w:rsidRPr="00FB73FB">
        <w:separator/>
      </w:r>
    </w:p>
  </w:endnote>
  <w:endnote w:type="continuationSeparator" w:id="0">
    <w:p w14:paraId="6DC16A44" w14:textId="77777777" w:rsidR="00E0655F" w:rsidRPr="00FB73FB" w:rsidRDefault="00E0655F">
      <w:r w:rsidRPr="00FB73F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17248" w14:textId="7011F602" w:rsidR="00E0655F" w:rsidRPr="000A594A" w:rsidRDefault="00E0655F" w:rsidP="004822B8">
    <w:pPr>
      <w:pStyle w:val="Footer"/>
      <w:rPr>
        <w:lang w:val="it-IT"/>
      </w:rPr>
    </w:pPr>
    <w:r w:rsidRPr="000A594A">
      <w:rPr>
        <w:lang w:val="it-IT"/>
      </w:rPr>
      <w:t>PE</w:t>
    </w:r>
    <w:r w:rsidRPr="000A594A">
      <w:rPr>
        <w:rStyle w:val="HideTWBExt"/>
        <w:lang w:val="it-IT"/>
      </w:rPr>
      <w:t>&lt;NoPE&gt;</w:t>
    </w:r>
    <w:r w:rsidRPr="000A594A">
      <w:rPr>
        <w:lang w:val="it-IT"/>
      </w:rPr>
      <w:t>629.460</w:t>
    </w:r>
    <w:r w:rsidRPr="000A594A">
      <w:rPr>
        <w:rStyle w:val="HideTWBExt"/>
        <w:lang w:val="it-IT"/>
      </w:rPr>
      <w:t>&lt;/NoPE&gt;&lt;Version&gt;</w:t>
    </w:r>
    <w:r w:rsidRPr="000A594A">
      <w:rPr>
        <w:lang w:val="it-IT"/>
      </w:rPr>
      <w:t>v02-00</w:t>
    </w:r>
    <w:r w:rsidRPr="000A594A">
      <w:rPr>
        <w:rStyle w:val="HideTWBExt"/>
        <w:lang w:val="it-IT"/>
      </w:rPr>
      <w:t>&lt;/Version&gt;</w:t>
    </w:r>
    <w:r w:rsidRPr="000A594A">
      <w:rPr>
        <w:lang w:val="it-IT"/>
      </w:rPr>
      <w:tab/>
    </w:r>
    <w:r>
      <w:rPr>
        <w:lang w:val="fr-FR"/>
      </w:rPr>
      <w:fldChar w:fldCharType="begin"/>
    </w:r>
    <w:r w:rsidRPr="000A594A">
      <w:rPr>
        <w:lang w:val="it-IT"/>
      </w:rPr>
      <w:instrText xml:space="preserve"> PAGE  \* MERGEFORMAT </w:instrText>
    </w:r>
    <w:r>
      <w:rPr>
        <w:lang w:val="fr-FR"/>
      </w:rPr>
      <w:fldChar w:fldCharType="separate"/>
    </w:r>
    <w:r w:rsidR="00B5306E">
      <w:rPr>
        <w:noProof/>
        <w:lang w:val="it-IT"/>
      </w:rPr>
      <w:t>2</w:t>
    </w:r>
    <w:r>
      <w:rPr>
        <w:lang w:val="fr-FR"/>
      </w:rPr>
      <w:fldChar w:fldCharType="end"/>
    </w:r>
    <w:r w:rsidRPr="000A594A">
      <w:rPr>
        <w:lang w:val="it-IT"/>
      </w:rPr>
      <w:t>/</w:t>
    </w:r>
    <w:r>
      <w:rPr>
        <w:lang w:val="fr-FR"/>
      </w:rPr>
      <w:fldChar w:fldCharType="begin"/>
    </w:r>
    <w:r w:rsidRPr="000A594A">
      <w:rPr>
        <w:lang w:val="it-IT"/>
      </w:rPr>
      <w:instrText xml:space="preserve"> NUMPAGES  \* MERGEFORMAT </w:instrText>
    </w:r>
    <w:r>
      <w:rPr>
        <w:lang w:val="fr-FR"/>
      </w:rPr>
      <w:fldChar w:fldCharType="separate"/>
    </w:r>
    <w:r w:rsidR="00B5306E">
      <w:rPr>
        <w:noProof/>
        <w:lang w:val="it-IT"/>
      </w:rPr>
      <w:t>9</w:t>
    </w:r>
    <w:r>
      <w:rPr>
        <w:lang w:val="fr-FR"/>
      </w:rPr>
      <w:fldChar w:fldCharType="end"/>
    </w:r>
    <w:r w:rsidRPr="000A594A">
      <w:rPr>
        <w:lang w:val="it-IT"/>
      </w:rPr>
      <w:tab/>
    </w:r>
    <w:r w:rsidRPr="000A594A">
      <w:rPr>
        <w:rStyle w:val="HideTWBExt"/>
        <w:lang w:val="it-IT"/>
      </w:rPr>
      <w:t>&lt;PathFdR&gt;</w:t>
    </w:r>
    <w:r w:rsidRPr="000A594A">
      <w:rPr>
        <w:lang w:val="it-IT"/>
      </w:rPr>
      <w:t>AD\1173649</w:t>
    </w:r>
    <w:r w:rsidR="00B5306E">
      <w:rPr>
        <w:lang w:val="it-IT"/>
      </w:rPr>
      <w:t>EN</w:t>
    </w:r>
    <w:r w:rsidRPr="000A594A">
      <w:rPr>
        <w:lang w:val="it-IT"/>
      </w:rPr>
      <w:t>.docx</w:t>
    </w:r>
    <w:r w:rsidRPr="000A594A">
      <w:rPr>
        <w:rStyle w:val="HideTWBExt"/>
        <w:lang w:val="it-IT"/>
      </w:rPr>
      <w:t>&lt;/PathFdR&gt;</w:t>
    </w:r>
  </w:p>
  <w:p w14:paraId="7DAFB737" w14:textId="14E7349A" w:rsidR="00E0655F" w:rsidRPr="001136A2" w:rsidRDefault="00B5306E" w:rsidP="004822B8">
    <w:pPr>
      <w:pStyle w:val="Footer2"/>
      <w:rPr>
        <w:lang w:val="fr-FR"/>
      </w:rPr>
    </w:pPr>
    <w:r>
      <w:rPr>
        <w:lang w:val="fr-FR"/>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8F348" w14:textId="7A59ADEC" w:rsidR="00E0655F" w:rsidRPr="000A594A" w:rsidRDefault="00E0655F" w:rsidP="004822B8">
    <w:pPr>
      <w:pStyle w:val="Footer"/>
      <w:rPr>
        <w:lang w:val="it-IT"/>
      </w:rPr>
    </w:pPr>
    <w:r w:rsidRPr="000A594A">
      <w:rPr>
        <w:rStyle w:val="HideTWBExt"/>
        <w:lang w:val="it-IT"/>
      </w:rPr>
      <w:t>&lt;PathFdR&gt;</w:t>
    </w:r>
    <w:r w:rsidRPr="000A594A">
      <w:rPr>
        <w:lang w:val="it-IT"/>
      </w:rPr>
      <w:t>AD\1173649</w:t>
    </w:r>
    <w:r w:rsidR="00B5306E">
      <w:rPr>
        <w:lang w:val="it-IT"/>
      </w:rPr>
      <w:t>EN</w:t>
    </w:r>
    <w:r w:rsidRPr="000A594A">
      <w:rPr>
        <w:lang w:val="it-IT"/>
      </w:rPr>
      <w:t>.docx</w:t>
    </w:r>
    <w:r w:rsidRPr="000A594A">
      <w:rPr>
        <w:rStyle w:val="HideTWBExt"/>
        <w:lang w:val="it-IT"/>
      </w:rPr>
      <w:t>&lt;/PathFdR&gt;</w:t>
    </w:r>
    <w:r w:rsidRPr="000A594A">
      <w:rPr>
        <w:lang w:val="it-IT"/>
      </w:rPr>
      <w:tab/>
    </w:r>
    <w:r>
      <w:rPr>
        <w:lang w:val="es-ES"/>
      </w:rPr>
      <w:fldChar w:fldCharType="begin"/>
    </w:r>
    <w:r w:rsidRPr="000A594A">
      <w:rPr>
        <w:lang w:val="it-IT"/>
      </w:rPr>
      <w:instrText xml:space="preserve"> PAGE  \* MERGEFORMAT </w:instrText>
    </w:r>
    <w:r>
      <w:rPr>
        <w:lang w:val="es-ES"/>
      </w:rPr>
      <w:fldChar w:fldCharType="separate"/>
    </w:r>
    <w:r w:rsidR="00B5306E">
      <w:rPr>
        <w:noProof/>
        <w:lang w:val="it-IT"/>
      </w:rPr>
      <w:t>3</w:t>
    </w:r>
    <w:r>
      <w:rPr>
        <w:lang w:val="es-ES"/>
      </w:rPr>
      <w:fldChar w:fldCharType="end"/>
    </w:r>
    <w:r w:rsidRPr="000A594A">
      <w:rPr>
        <w:lang w:val="it-IT"/>
      </w:rPr>
      <w:t>/</w:t>
    </w:r>
    <w:r>
      <w:rPr>
        <w:lang w:val="es-ES"/>
      </w:rPr>
      <w:fldChar w:fldCharType="begin"/>
    </w:r>
    <w:r w:rsidRPr="000A594A">
      <w:rPr>
        <w:lang w:val="it-IT"/>
      </w:rPr>
      <w:instrText xml:space="preserve"> NUMPAGES  \* MERGEFORMAT </w:instrText>
    </w:r>
    <w:r>
      <w:rPr>
        <w:lang w:val="es-ES"/>
      </w:rPr>
      <w:fldChar w:fldCharType="separate"/>
    </w:r>
    <w:r w:rsidR="00B5306E">
      <w:rPr>
        <w:noProof/>
        <w:lang w:val="it-IT"/>
      </w:rPr>
      <w:t>9</w:t>
    </w:r>
    <w:r>
      <w:rPr>
        <w:lang w:val="es-ES"/>
      </w:rPr>
      <w:fldChar w:fldCharType="end"/>
    </w:r>
    <w:r w:rsidRPr="000A594A">
      <w:rPr>
        <w:lang w:val="it-IT"/>
      </w:rPr>
      <w:tab/>
      <w:t>PE</w:t>
    </w:r>
    <w:r w:rsidRPr="000A594A">
      <w:rPr>
        <w:rStyle w:val="HideTWBExt"/>
        <w:lang w:val="it-IT"/>
      </w:rPr>
      <w:t>&lt;NoPE&gt;</w:t>
    </w:r>
    <w:r w:rsidRPr="000A594A">
      <w:rPr>
        <w:lang w:val="it-IT"/>
      </w:rPr>
      <w:t>629.460</w:t>
    </w:r>
    <w:r w:rsidRPr="000A594A">
      <w:rPr>
        <w:rStyle w:val="HideTWBExt"/>
        <w:lang w:val="it-IT"/>
      </w:rPr>
      <w:t>&lt;/NoPE&gt;&lt;Version&gt;</w:t>
    </w:r>
    <w:r w:rsidRPr="000A594A">
      <w:rPr>
        <w:lang w:val="it-IT"/>
      </w:rPr>
      <w:t>v02-00</w:t>
    </w:r>
    <w:r w:rsidRPr="000A594A">
      <w:rPr>
        <w:rStyle w:val="HideTWBExt"/>
        <w:lang w:val="it-IT"/>
      </w:rPr>
      <w:t>&lt;/Version&gt;</w:t>
    </w:r>
  </w:p>
  <w:p w14:paraId="48A726F9" w14:textId="641615A9" w:rsidR="00E0655F" w:rsidRPr="001136A2" w:rsidRDefault="00E0655F" w:rsidP="004822B8">
    <w:pPr>
      <w:pStyle w:val="Footer2"/>
      <w:rPr>
        <w:lang w:val="es-ES"/>
      </w:rPr>
    </w:pPr>
    <w:r w:rsidRPr="000A594A">
      <w:rPr>
        <w:lang w:val="it-IT"/>
      </w:rPr>
      <w:tab/>
    </w:r>
    <w:r w:rsidR="00B5306E">
      <w:rPr>
        <w:lang w:val="es-ES"/>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711E" w14:textId="36932CB6" w:rsidR="00E0655F" w:rsidRPr="000A594A" w:rsidRDefault="00E0655F" w:rsidP="004822B8">
    <w:pPr>
      <w:pStyle w:val="Footer"/>
      <w:rPr>
        <w:lang w:val="it-IT"/>
      </w:rPr>
    </w:pPr>
    <w:r w:rsidRPr="000A594A">
      <w:rPr>
        <w:rStyle w:val="HideTWBExt"/>
        <w:lang w:val="it-IT"/>
      </w:rPr>
      <w:t>&lt;PathFdR&gt;</w:t>
    </w:r>
    <w:r w:rsidRPr="000A594A">
      <w:rPr>
        <w:lang w:val="it-IT"/>
      </w:rPr>
      <w:t>AD\1173649</w:t>
    </w:r>
    <w:r w:rsidR="00B5306E">
      <w:rPr>
        <w:lang w:val="it-IT"/>
      </w:rPr>
      <w:t>EN</w:t>
    </w:r>
    <w:r w:rsidRPr="000A594A">
      <w:rPr>
        <w:lang w:val="it-IT"/>
      </w:rPr>
      <w:t>.docx</w:t>
    </w:r>
    <w:r w:rsidRPr="000A594A">
      <w:rPr>
        <w:rStyle w:val="HideTWBExt"/>
        <w:lang w:val="it-IT"/>
      </w:rPr>
      <w:t>&lt;/PathFdR&gt;</w:t>
    </w:r>
    <w:r w:rsidRPr="000A594A">
      <w:rPr>
        <w:lang w:val="it-IT"/>
      </w:rPr>
      <w:tab/>
    </w:r>
    <w:r w:rsidRPr="000A594A">
      <w:rPr>
        <w:lang w:val="it-IT"/>
      </w:rPr>
      <w:tab/>
      <w:t>PE</w:t>
    </w:r>
    <w:r w:rsidRPr="000A594A">
      <w:rPr>
        <w:rStyle w:val="HideTWBExt"/>
        <w:lang w:val="it-IT"/>
      </w:rPr>
      <w:t>&lt;NoPE&gt;</w:t>
    </w:r>
    <w:r w:rsidRPr="000A594A">
      <w:rPr>
        <w:lang w:val="it-IT"/>
      </w:rPr>
      <w:t>629.460</w:t>
    </w:r>
    <w:r w:rsidRPr="000A594A">
      <w:rPr>
        <w:rStyle w:val="HideTWBExt"/>
        <w:lang w:val="it-IT"/>
      </w:rPr>
      <w:t>&lt;/NoPE&gt;&lt;Version&gt;</w:t>
    </w:r>
    <w:r w:rsidRPr="000A594A">
      <w:rPr>
        <w:lang w:val="it-IT"/>
      </w:rPr>
      <w:t>v02-00</w:t>
    </w:r>
    <w:r w:rsidRPr="000A594A">
      <w:rPr>
        <w:rStyle w:val="HideTWBExt"/>
        <w:lang w:val="it-IT"/>
      </w:rPr>
      <w:t>&lt;/Version&gt;</w:t>
    </w:r>
  </w:p>
  <w:p w14:paraId="6AC5FAF3" w14:textId="0ECCCBB8" w:rsidR="00E0655F" w:rsidRPr="00FB73FB" w:rsidRDefault="00B5306E" w:rsidP="004822B8">
    <w:pPr>
      <w:pStyle w:val="Footer2"/>
      <w:tabs>
        <w:tab w:val="center" w:pos="4535"/>
      </w:tabs>
    </w:pPr>
    <w:r>
      <w:t>EN</w:t>
    </w:r>
    <w:r w:rsidR="00E0655F">
      <w:tab/>
    </w:r>
    <w:r w:rsidR="00E0655F" w:rsidRPr="004822B8">
      <w:rPr>
        <w:b w:val="0"/>
        <w:i/>
        <w:color w:val="C0C0C0"/>
        <w:sz w:val="22"/>
      </w:rPr>
      <w:t>United in diversity</w:t>
    </w:r>
    <w:r w:rsidR="00E0655F">
      <w:tab/>
    </w:r>
    <w:r>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451F3" w14:textId="77777777" w:rsidR="00E0655F" w:rsidRPr="00FB73FB" w:rsidRDefault="00E0655F">
      <w:r w:rsidRPr="00FB73FB">
        <w:separator/>
      </w:r>
    </w:p>
  </w:footnote>
  <w:footnote w:type="continuationSeparator" w:id="0">
    <w:p w14:paraId="6405A3C7" w14:textId="77777777" w:rsidR="00E0655F" w:rsidRPr="00FB73FB" w:rsidRDefault="00E0655F">
      <w:r w:rsidRPr="00FB73FB">
        <w:continuationSeparator/>
      </w:r>
    </w:p>
  </w:footnote>
  <w:footnote w:id="1">
    <w:p w14:paraId="5A9C3B25" w14:textId="77777777" w:rsidR="00E0655F" w:rsidRPr="00C425FA" w:rsidRDefault="00E0655F" w:rsidP="00F93F9B">
      <w:pPr>
        <w:pStyle w:val="FootnoteText"/>
        <w:rPr>
          <w:i/>
        </w:rPr>
      </w:pPr>
      <w:r>
        <w:rPr>
          <w:rStyle w:val="FootnoteReference"/>
        </w:rPr>
        <w:footnoteRef/>
      </w:r>
      <w:r>
        <w:t xml:space="preserve"> </w:t>
      </w:r>
      <w:r w:rsidRPr="00C425FA">
        <w:rPr>
          <w:rStyle w:val="Emphasis"/>
          <w:i w:val="0"/>
          <w:sz w:val="21"/>
          <w:szCs w:val="21"/>
          <w:lang w:val="en"/>
        </w:rPr>
        <w:t>OJ C 215, 19.6.2018, p. 162.</w:t>
      </w:r>
    </w:p>
  </w:footnote>
  <w:footnote w:id="2">
    <w:p w14:paraId="47898DE7" w14:textId="0E7D5192" w:rsidR="00E0655F" w:rsidRDefault="00E0655F">
      <w:pPr>
        <w:pStyle w:val="FootnoteText"/>
      </w:pPr>
      <w:r>
        <w:rPr>
          <w:rStyle w:val="FootnoteReference"/>
        </w:rPr>
        <w:footnoteRef/>
      </w:r>
      <w:r>
        <w:t xml:space="preserve"> OJ C 252, 18.7.2018, p. 201.</w:t>
      </w:r>
    </w:p>
  </w:footnote>
  <w:footnote w:id="3">
    <w:p w14:paraId="0A6CEE87" w14:textId="5C7A2E8C" w:rsidR="00E0655F" w:rsidRDefault="00E0655F" w:rsidP="005D511B">
      <w:pPr>
        <w:pStyle w:val="FootnoteText"/>
      </w:pPr>
      <w:r>
        <w:rPr>
          <w:rStyle w:val="FootnoteReference"/>
        </w:rPr>
        <w:footnoteRef/>
      </w:r>
      <w:r w:rsidR="00B2091D">
        <w:t xml:space="preserve"> ‘</w:t>
      </w:r>
      <w:r w:rsidRPr="0062464E">
        <w:t>The Implementation of the Charter of Fundamental Rights in the EU institutional framework</w:t>
      </w:r>
      <w:r w:rsidR="00B2091D">
        <w:t>’</w:t>
      </w:r>
      <w:r w:rsidRPr="0062464E">
        <w:t>, European Parliament, Directorate-General for Internal Policies, Policy Department C – Citizens</w:t>
      </w:r>
      <w:r w:rsidR="00B2091D">
        <w:t>’</w:t>
      </w:r>
      <w:r w:rsidRPr="0062464E">
        <w:t xml:space="preserve"> Rights and Constitutional Affairs, November 2017.</w:t>
      </w:r>
    </w:p>
  </w:footnote>
  <w:footnote w:id="4">
    <w:p w14:paraId="2E053D0B" w14:textId="42350FBE" w:rsidR="00E0655F" w:rsidRDefault="00E0655F" w:rsidP="0074006D">
      <w:pPr>
        <w:pStyle w:val="FootnoteText"/>
      </w:pPr>
      <w:r>
        <w:rPr>
          <w:rStyle w:val="FootnoteReference"/>
        </w:rPr>
        <w:footnoteRef/>
      </w:r>
      <w:r>
        <w:t xml:space="preserve"> FRA Opinion 1/2017, 10 April 2017.</w:t>
      </w:r>
    </w:p>
  </w:footnote>
  <w:footnote w:id="5">
    <w:p w14:paraId="1A03AC82" w14:textId="68F2F21D" w:rsidR="00E0655F" w:rsidRDefault="00E0655F" w:rsidP="0074006D">
      <w:pPr>
        <w:pStyle w:val="FootnoteText"/>
      </w:pPr>
      <w:r>
        <w:rPr>
          <w:rStyle w:val="FootnoteReference"/>
        </w:rPr>
        <w:footnoteRef/>
      </w:r>
      <w:r>
        <w:t xml:space="preserve"> FRA Opinion 4/2018, 24 September 2018.</w:t>
      </w:r>
    </w:p>
  </w:footnote>
  <w:footnote w:id="6">
    <w:p w14:paraId="650D7820" w14:textId="14D26F7F" w:rsidR="00E0655F" w:rsidRPr="005D511B" w:rsidRDefault="00E0655F" w:rsidP="005D511B">
      <w:pPr>
        <w:pStyle w:val="FootnoteText"/>
      </w:pPr>
      <w:r w:rsidRPr="005D511B">
        <w:rPr>
          <w:rStyle w:val="FootnoteReference"/>
        </w:rPr>
        <w:footnoteRef/>
      </w:r>
      <w:r w:rsidRPr="005D511B">
        <w:t xml:space="preserve"> See, for example, section 2.3 of FRA Opinion 4/2018 of 24 September 2018.</w:t>
      </w:r>
    </w:p>
  </w:footnote>
  <w:footnote w:id="7">
    <w:p w14:paraId="294F1866" w14:textId="680C0B9D" w:rsidR="00E0655F" w:rsidRDefault="00E0655F" w:rsidP="00CC1D63">
      <w:pPr>
        <w:pStyle w:val="FootnoteText"/>
      </w:pPr>
      <w:r w:rsidRPr="005D511B">
        <w:rPr>
          <w:rStyle w:val="FootnoteReference"/>
        </w:rPr>
        <w:footnoteRef/>
      </w:r>
      <w:r w:rsidRPr="005D511B">
        <w:t xml:space="preserve"> </w:t>
      </w:r>
      <w:r>
        <w:t>Texts adopted,</w:t>
      </w:r>
      <w:r w:rsidRPr="005D511B">
        <w:t xml:space="preserve"> P8_TA(2018)0456</w:t>
      </w:r>
      <w:r>
        <w:t>.</w:t>
      </w:r>
    </w:p>
  </w:footnote>
  <w:footnote w:id="8">
    <w:p w14:paraId="3B724876" w14:textId="2B386385" w:rsidR="00E0655F" w:rsidRDefault="00E0655F" w:rsidP="005D511B">
      <w:pPr>
        <w:pStyle w:val="FootnoteText"/>
      </w:pPr>
      <w:r>
        <w:rPr>
          <w:rStyle w:val="FootnoteReference"/>
        </w:rPr>
        <w:footnoteRef/>
      </w:r>
      <w:r>
        <w:t xml:space="preserve"> </w:t>
      </w:r>
      <w:r w:rsidRPr="0062464E">
        <w:t xml:space="preserve">Judgment of the Court (Grand Chamber) of 20 September 2016, </w:t>
      </w:r>
      <w:r w:rsidRPr="00424A1A">
        <w:rPr>
          <w:i/>
        </w:rPr>
        <w:t>Ledra Advertising Ltd and others v European Commission and European Central Bank (ECB)</w:t>
      </w:r>
      <w:r w:rsidRPr="0062464E">
        <w:t>, ECLI:EU:C:2016:701.</w:t>
      </w:r>
    </w:p>
  </w:footnote>
  <w:footnote w:id="9">
    <w:p w14:paraId="26D47C80" w14:textId="2D4EA48F" w:rsidR="00E0655F" w:rsidRPr="00FC259E" w:rsidRDefault="00E0655F" w:rsidP="005D511B">
      <w:pPr>
        <w:pStyle w:val="FootnoteText"/>
      </w:pPr>
      <w:r w:rsidRPr="00FC259E">
        <w:rPr>
          <w:rStyle w:val="FootnoteReference"/>
        </w:rPr>
        <w:footnoteRef/>
      </w:r>
      <w:r w:rsidRPr="00FC259E">
        <w:t xml:space="preserve"> Proposal for a Council Directive on implementing the principle of equal treatment between persons irrespective of religion or belief, disability, age or sexual orientation</w:t>
      </w:r>
      <w:r>
        <w:t xml:space="preserve"> (</w:t>
      </w:r>
      <w:r w:rsidRPr="00BC6081">
        <w:t>COM/2008/0426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ED9CC" w14:textId="77777777" w:rsidR="00E0655F" w:rsidRDefault="00E06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D855" w14:textId="77777777" w:rsidR="00E0655F" w:rsidRDefault="00E06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03A34" w14:textId="77777777" w:rsidR="00E0655F" w:rsidRDefault="00E06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485B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3CA9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AEBB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B08D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5EE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E89E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C0A2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FA6A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68C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9CC42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pt-P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AFCO"/>
    <w:docVar w:name="COMKEY" w:val="LIBE"/>
    <w:docVar w:name="LastAMInserted" w:val="29"/>
    <w:docVar w:name="LastEditedSection" w:val=" 1"/>
    <w:docVar w:name="NumberAMInserted" w:val="29"/>
    <w:docVar w:name="PROCMNU" w:val=" 1"/>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9268204 HideTWBInt;}{\s16\ql \fi-567\li567\ri0\sa240\nowidctlpar\wrapdefault\aspalpha\aspnum\faauto\adjustright\rin0\lin567\itap0 \rtlch\fcs1 \af0\afs20\alang1025 \ltrch\fcs0 _x000d__x000a_\fs24\lang2057\langfe2057\cgrid\langnp2057\langfenp2057 \sbasedon0 \snext16 \spriority0 \styrsid9268204 Normal12Hanging;}}{\*\rsidtbl \rsid24658\rsid735077\rsid1969650\rsid2892074\rsid4666813\rsid6641733\rsid9268204\rsid9636012\rsid11215221\rsid12154954_x000d__x000a_\rsid14424199\rsid15204470\rsid15285974\rsid15950462\rsid16324206\rsid16662270}{\mmathPr\mmathFont34\mbrkBin0\mbrkBinSub0\msmallFrac0\mdispDef1\mlMargin0\mrMargin0\mdefJc1\mwrapIndent1440\mintLim0\mnaryLim1}{\info{\author KRASTEVA Viktoriya}_x000d__x000a_{\operator KRASTEVA Viktoriya}{\creatim\yr2019\mo1\dy10\hr17\min18}{\revtim\yr2019\mo1\dy10\hr17\min18}{\version1}{\edmins0}{\nofpages1}{\nofwords2}{\nofchars11}{\*\company European Parliament}{\nofcharsws12}{\vern95}}{\*\xmlnstbl {\xmlns1 http://schemas._x000d__x000a_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268204\utinl \fet0{\*\wgrffmtfilter 013f}\ilfomacatclnup0{\*\template C:\\Users\\VKRAST~1\\AppData\\Local\\Temp\\Blank1.dot}{\*\ftnsep \ltrpar \pard\plain \ltrpar_x000d__x000a_\ql \li0\ri0\widctlpar\wrapdefault\aspalpha\aspnum\faauto\adjustright\rin0\lin0\itap0 \rtlch\fcs1 \af0\afs20\alang1025 \ltrch\fcs0 \fs24\lang2057\langfe2057\cgrid\langnp2057\langfenp2057 {\rtlch\fcs1 \af0 \ltrch\fcs0 \insrsid1969650 \chftnsep _x000d__x000a_\par }}{\*\ftnsepc \ltrpar \pard\plain \ltrpar\ql \li0\ri0\widctlpar\wrapdefault\aspalpha\aspnum\faauto\adjustright\rin0\lin0\itap0 \rtlch\fcs1 \af0\afs20\alang1025 \ltrch\fcs0 \fs24\lang2057\langfe2057\cgrid\langnp2057\langfenp2057 {\rtlch\fcs1 \af0 _x000d__x000a_\ltrch\fcs0 \insrsid1969650 \chftnsepc _x000d__x000a_\par }}{\*\aftnsep \ltrpar \pard\plain \ltrpar\ql \li0\ri0\widctlpar\wrapdefault\aspalpha\aspnum\faauto\adjustright\rin0\lin0\itap0 \rtlch\fcs1 \af0\afs20\alang1025 \ltrch\fcs0 \fs24\lang2057\langfe2057\cgrid\langnp2057\langfenp2057 {\rtlch\fcs1 \af0 _x000d__x000a_\ltrch\fcs0 \insrsid1969650 \chftnsep _x000d__x000a_\par }}{\*\aftnsepc \ltrpar \pard\plain \ltrpar\ql \li0\ri0\widctlpar\wrapdefault\aspalpha\aspnum\faauto\adjustright\rin0\lin0\itap0 \rtlch\fcs1 \af0\afs20\alang1025 \ltrch\fcs0 \fs24\lang2057\langfe2057\cgrid\langnp2057\langfenp2057 {\rtlch\fcs1 \af0 _x000d__x000a_\ltrch\fcs0 \insrsid19696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9268204 \rtlch\fcs1 \af0\afs20\alang1025 \ltrch\fcs0 \fs24\lang2057\langfe2057\cgrid\langnp2057\langfenp2057 {\rtlch\fcs1 \af0 _x000d__x000a_\ltrch\fcs0 \insrsid9268204\charrsid16479227 {\*\bkmkstart restart}#}{\rtlch\fcs1 \af0 \ltrch\fcs0 \cs15\v\cf15\insrsid9268204\charrsid16479227 NRMSG}{\rtlch\fcs1 \af0 \ltrch\fcs0 \insrsid9268204\charrsid16479227 #.\tab ##}{\rtlch\fcs1 \af0 \ltrch\fcs0 _x000d__x000a_\insrsid9268204\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38_x000d__x000a_131d00a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15889187 Normal12Hanging;}}{\*\rsidtbl \rsid24658\rsid735077\rsid2892074\rsid4666813\rsid6641733\rsid9636012\rsid11215221\rsid12154954\rsid14424199\rsid15204470\rsid15285974\rsid15873162\rsid15889187\rsid15950462_x000d__x000a_\rsid16324206\rsid16662270}{\mmathPr\mmathFont34\mbrkBin0\mbrkBinSub0\msmallFrac0\mdispDef1\mlMargin0\mrMargin0\mdefJc1\mwrapIndent1440\mintLim0\mnaryLim1}{\info{\author KRASTEVA Viktoriya}{\operator KRASTEVA Viktoriya}_x000d__x000a_{\creatim\yr2019\mo1\dy10\hr17\min18}{\revtim\yr2019\mo1\dy10\hr17\min18}{\version1}{\edmins0}{\nofpages1}{\nofwords5}{\nofchars30}{\*\company European Parliament}{\nofcharsws34}{\vern95}}{\*\xmlnstbl {\xmlns1 http://schemas.microsoft.com/office/word/2003_x000d__x000a_/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889187\utinl \fet0{\*\wgrffmtfilter 013f}\ilfomacatclnup0{\*\template C:\\Users\\VKRAST~1\\AppData\\Local\\Temp\\Blank1.dot}{\*\ftnsep \ltrpar \pard\plain \ltrpar_x000d__x000a_\ql \li0\ri0\widctlpar\wrapdefault\aspalpha\aspnum\faauto\adjustright\rin0\lin0\itap0 \rtlch\fcs1 \af0\afs20\alang1025 \ltrch\fcs0 \fs24\lang2057\langfe2057\cgrid\langnp2057\langfenp2057 {\rtlch\fcs1 \af0 \ltrch\fcs0 \insrsid15873162 \chftnsep _x000d__x000a_\par }}{\*\ftnsepc \ltrpar \pard\plain \ltrpar\ql \li0\ri0\widctlpar\wrapdefault\aspalpha\aspnum\faauto\adjustright\rin0\lin0\itap0 \rtlch\fcs1 \af0\afs20\alang1025 \ltrch\fcs0 \fs24\lang2057\langfe2057\cgrid\langnp2057\langfenp2057 {\rtlch\fcs1 \af0 _x000d__x000a_\ltrch\fcs0 \insrsid15873162 \chftnsepc _x000d__x000a_\par }}{\*\aftnsep \ltrpar \pard\plain \ltrpar\ql \li0\ri0\widctlpar\wrapdefault\aspalpha\aspnum\faauto\adjustright\rin0\lin0\itap0 \rtlch\fcs1 \af0\afs20\alang1025 \ltrch\fcs0 \fs24\lang2057\langfe2057\cgrid\langnp2057\langfenp2057 {\rtlch\fcs1 \af0 _x000d__x000a_\ltrch\fcs0 \insrsid15873162 \chftnsep _x000d__x000a_\par }}{\*\aftnsepc \ltrpar \pard\plain \ltrpar\ql \li0\ri0\widctlpar\wrapdefault\aspalpha\aspnum\faauto\adjustright\rin0\lin0\itap0 \rtlch\fcs1 \af0\afs20\alang1025 \ltrch\fcs0 \fs24\lang2057\langfe2057\cgrid\langnp2057\langfenp2057 {\rtlch\fcs1 \af0 _x000d__x000a_\ltrch\fcs0 \insrsid1587316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15889187 \rtlch\fcs1 \af0\afs20\alang1025 \ltrch\fcs0 \fs24\lang2057\langfe2057\cgrid\langnp2057\langfenp2057 {\rtlch\fcs1 \af0 _x000d__x000a_\ltrch\fcs0 \insrsid15889187\charrsid1525456 {\*\bkmkstart restart}[ZSUGGESTIONNR]\tab [ZSUGGESTIONTEXT]}{\rtlch\fcs1 \af0 \ltrch\fcs0 \insrsid15889187\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1_x000d__x000a_e61e00a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73"/>
    <w:docVar w:name="TXTLANGUE" w:val="EN"/>
    <w:docVar w:name="TXTLANGUEMIN" w:val="en"/>
    <w:docVar w:name="TXTNRPE" w:val="629.460"/>
    <w:docVar w:name="TXTNRPROC" w:val="2017/2089"/>
    <w:docVar w:name="TXTPEorAP" w:val="PE"/>
    <w:docVar w:name="TXTROUTE" w:val="AD\1173649XT.docx"/>
    <w:docVar w:name="TXTTITLE" w:val="the implementation of the Charter of Fundamental Rights of the European Union in the EU institutional framework"/>
    <w:docVar w:name="TXTVERSION" w:val="02-00"/>
  </w:docVars>
  <w:rsids>
    <w:rsidRoot w:val="00FB73FB"/>
    <w:rsid w:val="000A594A"/>
    <w:rsid w:val="000C728A"/>
    <w:rsid w:val="000E7EBF"/>
    <w:rsid w:val="001136A2"/>
    <w:rsid w:val="00140BE6"/>
    <w:rsid w:val="00154562"/>
    <w:rsid w:val="00155E4C"/>
    <w:rsid w:val="0016635E"/>
    <w:rsid w:val="001746D0"/>
    <w:rsid w:val="001D2ED9"/>
    <w:rsid w:val="002A57E6"/>
    <w:rsid w:val="002C37EE"/>
    <w:rsid w:val="002C4011"/>
    <w:rsid w:val="002E2F2E"/>
    <w:rsid w:val="00314D49"/>
    <w:rsid w:val="00325BCB"/>
    <w:rsid w:val="0033189C"/>
    <w:rsid w:val="00355D3C"/>
    <w:rsid w:val="00365E66"/>
    <w:rsid w:val="00390EB2"/>
    <w:rsid w:val="00391467"/>
    <w:rsid w:val="00396A0E"/>
    <w:rsid w:val="003E2402"/>
    <w:rsid w:val="00424A1A"/>
    <w:rsid w:val="00466311"/>
    <w:rsid w:val="004710D0"/>
    <w:rsid w:val="004822B8"/>
    <w:rsid w:val="004875E4"/>
    <w:rsid w:val="00495F04"/>
    <w:rsid w:val="00497AEC"/>
    <w:rsid w:val="004B2E9C"/>
    <w:rsid w:val="004C28FB"/>
    <w:rsid w:val="00544364"/>
    <w:rsid w:val="00564280"/>
    <w:rsid w:val="005B2F11"/>
    <w:rsid w:val="005B5889"/>
    <w:rsid w:val="005C5B21"/>
    <w:rsid w:val="005D511B"/>
    <w:rsid w:val="005D60C6"/>
    <w:rsid w:val="00634B97"/>
    <w:rsid w:val="006553CA"/>
    <w:rsid w:val="00657AFB"/>
    <w:rsid w:val="006B2FB6"/>
    <w:rsid w:val="007046FE"/>
    <w:rsid w:val="0073232C"/>
    <w:rsid w:val="0074006D"/>
    <w:rsid w:val="007A0614"/>
    <w:rsid w:val="007A5B80"/>
    <w:rsid w:val="008313E7"/>
    <w:rsid w:val="008A32C5"/>
    <w:rsid w:val="008B08ED"/>
    <w:rsid w:val="008C5F90"/>
    <w:rsid w:val="008F7002"/>
    <w:rsid w:val="00900C1A"/>
    <w:rsid w:val="00900D21"/>
    <w:rsid w:val="009014A6"/>
    <w:rsid w:val="00940A4C"/>
    <w:rsid w:val="00956A0A"/>
    <w:rsid w:val="00962160"/>
    <w:rsid w:val="009A1509"/>
    <w:rsid w:val="009C303C"/>
    <w:rsid w:val="00A03B54"/>
    <w:rsid w:val="00A16BEA"/>
    <w:rsid w:val="00A57A9D"/>
    <w:rsid w:val="00A72C35"/>
    <w:rsid w:val="00AA4655"/>
    <w:rsid w:val="00AA67A1"/>
    <w:rsid w:val="00AC5E07"/>
    <w:rsid w:val="00B0412D"/>
    <w:rsid w:val="00B2091D"/>
    <w:rsid w:val="00B362F7"/>
    <w:rsid w:val="00B5306E"/>
    <w:rsid w:val="00BC6081"/>
    <w:rsid w:val="00BD1EAA"/>
    <w:rsid w:val="00BE37B3"/>
    <w:rsid w:val="00C93A02"/>
    <w:rsid w:val="00CA614D"/>
    <w:rsid w:val="00CB081B"/>
    <w:rsid w:val="00CC1D63"/>
    <w:rsid w:val="00CC7AB8"/>
    <w:rsid w:val="00D64ADA"/>
    <w:rsid w:val="00D70E92"/>
    <w:rsid w:val="00DC5545"/>
    <w:rsid w:val="00DC6723"/>
    <w:rsid w:val="00E05528"/>
    <w:rsid w:val="00E0655F"/>
    <w:rsid w:val="00E304FE"/>
    <w:rsid w:val="00E856D2"/>
    <w:rsid w:val="00EB6955"/>
    <w:rsid w:val="00F31567"/>
    <w:rsid w:val="00F93F9B"/>
    <w:rsid w:val="00FB73FB"/>
    <w:rsid w:val="00FC259E"/>
    <w:rsid w:val="00FD0D14"/>
    <w:rsid w:val="00FD2A0B"/>
    <w:rsid w:val="00FD32E3"/>
    <w:rsid w:val="00FF2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8787E"/>
  <w15:chartTrackingRefBased/>
  <w15:docId w15:val="{A70598F2-33BF-4A40-87AC-BAACC3BA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styleId="FootnoteText">
    <w:name w:val="footnote text"/>
    <w:basedOn w:val="Normal"/>
    <w:link w:val="FootnoteTextChar"/>
    <w:unhideWhenUsed/>
    <w:rsid w:val="0074006D"/>
    <w:pPr>
      <w:keepLines/>
      <w:widowControl/>
    </w:pPr>
    <w:rPr>
      <w:sz w:val="20"/>
      <w:szCs w:val="24"/>
    </w:rPr>
  </w:style>
  <w:style w:type="character" w:customStyle="1" w:styleId="FootnoteTextChar">
    <w:name w:val="Footnote Text Char"/>
    <w:basedOn w:val="DefaultParagraphFont"/>
    <w:link w:val="FootnoteText"/>
    <w:rsid w:val="0074006D"/>
    <w:rPr>
      <w:szCs w:val="24"/>
    </w:r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lang w:val="fr-FR"/>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lang w:val="fr-FR"/>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 w:type="paragraph" w:customStyle="1" w:styleId="Normal12Hanging0">
    <w:name w:val="Normal12Hanging0"/>
    <w:qFormat/>
    <w:rsid w:val="0074006D"/>
    <w:pPr>
      <w:widowControl w:val="0"/>
      <w:spacing w:after="240"/>
      <w:ind w:left="567" w:hanging="567"/>
    </w:pPr>
    <w:rPr>
      <w:sz w:val="24"/>
    </w:rPr>
  </w:style>
  <w:style w:type="character" w:styleId="FootnoteReference">
    <w:name w:val="footnote reference"/>
    <w:unhideWhenUsed/>
    <w:rsid w:val="0074006D"/>
    <w:rPr>
      <w:rFonts w:ascii="Times New Roman" w:hAnsi="Times New Roman" w:cs="Times New Roman" w:hint="default"/>
      <w:sz w:val="24"/>
      <w:vertAlign w:val="superscript"/>
    </w:rPr>
  </w:style>
  <w:style w:type="character" w:styleId="CommentReference">
    <w:name w:val="annotation reference"/>
    <w:basedOn w:val="DefaultParagraphFont"/>
    <w:rsid w:val="001136A2"/>
    <w:rPr>
      <w:sz w:val="16"/>
      <w:szCs w:val="16"/>
    </w:rPr>
  </w:style>
  <w:style w:type="paragraph" w:styleId="CommentText">
    <w:name w:val="annotation text"/>
    <w:basedOn w:val="Normal"/>
    <w:link w:val="CommentTextChar"/>
    <w:rsid w:val="001136A2"/>
    <w:rPr>
      <w:sz w:val="20"/>
    </w:rPr>
  </w:style>
  <w:style w:type="character" w:customStyle="1" w:styleId="CommentTextChar">
    <w:name w:val="Comment Text Char"/>
    <w:basedOn w:val="DefaultParagraphFont"/>
    <w:link w:val="CommentText"/>
    <w:rsid w:val="001136A2"/>
  </w:style>
  <w:style w:type="paragraph" w:styleId="CommentSubject">
    <w:name w:val="annotation subject"/>
    <w:basedOn w:val="CommentText"/>
    <w:next w:val="CommentText"/>
    <w:link w:val="CommentSubjectChar"/>
    <w:rsid w:val="001136A2"/>
    <w:rPr>
      <w:b/>
      <w:bCs/>
    </w:rPr>
  </w:style>
  <w:style w:type="character" w:customStyle="1" w:styleId="CommentSubjectChar">
    <w:name w:val="Comment Subject Char"/>
    <w:basedOn w:val="CommentTextChar"/>
    <w:link w:val="CommentSubject"/>
    <w:rsid w:val="001136A2"/>
    <w:rPr>
      <w:b/>
      <w:bCs/>
    </w:rPr>
  </w:style>
  <w:style w:type="paragraph" w:styleId="BalloonText">
    <w:name w:val="Balloon Text"/>
    <w:basedOn w:val="Normal"/>
    <w:link w:val="BalloonTextChar"/>
    <w:rsid w:val="001136A2"/>
    <w:rPr>
      <w:rFonts w:ascii="Segoe UI" w:hAnsi="Segoe UI" w:cs="Segoe UI"/>
      <w:sz w:val="18"/>
      <w:szCs w:val="18"/>
    </w:rPr>
  </w:style>
  <w:style w:type="character" w:customStyle="1" w:styleId="BalloonTextChar">
    <w:name w:val="Balloon Text Char"/>
    <w:basedOn w:val="DefaultParagraphFont"/>
    <w:link w:val="BalloonText"/>
    <w:rsid w:val="001136A2"/>
    <w:rPr>
      <w:rFonts w:ascii="Segoe UI" w:hAnsi="Segoe UI" w:cs="Segoe UI"/>
      <w:sz w:val="18"/>
      <w:szCs w:val="18"/>
    </w:rPr>
  </w:style>
  <w:style w:type="character" w:styleId="Hyperlink">
    <w:name w:val="Hyperlink"/>
    <w:basedOn w:val="DefaultParagraphFont"/>
    <w:rsid w:val="001136A2"/>
    <w:rPr>
      <w:color w:val="0563C1" w:themeColor="hyperlink"/>
      <w:u w:val="single"/>
    </w:rPr>
  </w:style>
  <w:style w:type="character" w:customStyle="1" w:styleId="outputecliaff">
    <w:name w:val="outputecliaff"/>
    <w:basedOn w:val="DefaultParagraphFont"/>
    <w:rsid w:val="00AC5E07"/>
  </w:style>
  <w:style w:type="paragraph" w:customStyle="1" w:styleId="NormalTabs">
    <w:name w:val="NormalTabs"/>
    <w:basedOn w:val="Normal"/>
    <w:qFormat/>
    <w:rsid w:val="005D511B"/>
    <w:pPr>
      <w:tabs>
        <w:tab w:val="center" w:pos="284"/>
        <w:tab w:val="left" w:pos="426"/>
      </w:tabs>
    </w:pPr>
    <w:rPr>
      <w:snapToGrid w:val="0"/>
      <w:lang w:val="en-US" w:eastAsia="en-US"/>
    </w:rPr>
  </w:style>
  <w:style w:type="character" w:styleId="Emphasis">
    <w:name w:val="Emphasis"/>
    <w:basedOn w:val="DefaultParagraphFont"/>
    <w:uiPriority w:val="20"/>
    <w:qFormat/>
    <w:rsid w:val="00F93F9B"/>
    <w:rPr>
      <w:i/>
      <w:iCs/>
    </w:rPr>
  </w:style>
  <w:style w:type="paragraph" w:customStyle="1" w:styleId="Hanging12">
    <w:name w:val="Hanging 12"/>
    <w:basedOn w:val="Normal12Hanging"/>
    <w:rsid w:val="00B2091D"/>
    <w:rPr>
      <w:b/>
      <w:i/>
    </w:rPr>
  </w:style>
  <w:style w:type="paragraph" w:customStyle="1" w:styleId="Normal12Tab">
    <w:name w:val="Normal12Tab"/>
    <w:basedOn w:val="Normal12"/>
    <w:rsid w:val="00B20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4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D919C-887D-4ACC-9D17-ADECDE2E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2256</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KRASTEVA Viktoriya</dc:creator>
  <cp:keywords/>
  <dc:description/>
  <cp:lastModifiedBy>JAMES Eleanor Remo</cp:lastModifiedBy>
  <cp:revision>2</cp:revision>
  <cp:lastPrinted>2019-01-15T12:38:00Z</cp:lastPrinted>
  <dcterms:created xsi:type="dcterms:W3CDTF">2019-01-15T13:33:00Z</dcterms:created>
  <dcterms:modified xsi:type="dcterms:W3CDTF">2019-01-15T13:33:00Z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XT</vt:lpwstr>
  </property>
  <property fmtid="{D5CDD505-2E9C-101B-9397-08002B2CF9AE}" pid="3" name="Created with">
    <vt:lpwstr>9.5.0 Build [20181001]</vt:lpwstr>
  </property>
  <property fmtid="{D5CDD505-2E9C-101B-9397-08002B2CF9AE}" pid="4" name="LastEdited with">
    <vt:lpwstr>9.5.1 Build [20181201]</vt:lpwstr>
  </property>
  <property fmtid="{D5CDD505-2E9C-101B-9397-08002B2CF9AE}" pid="5" name="&lt;FdR&gt;">
    <vt:lpwstr>1173649</vt:lpwstr>
  </property>
  <property fmtid="{D5CDD505-2E9C-101B-9397-08002B2CF9AE}" pid="6" name="&lt;Type&gt;">
    <vt:lpwstr>AD</vt:lpwstr>
  </property>
  <property fmtid="{D5CDD505-2E9C-101B-9397-08002B2CF9AE}" pid="7" name="&lt;ModelCod&gt;">
    <vt:lpwstr>\\eiciBRUpr1\pdocep$\DocEP\DOCS\General\PA\PA_NonLeg.dot(05/07/2017 16:38:43)</vt:lpwstr>
  </property>
  <property fmtid="{D5CDD505-2E9C-101B-9397-08002B2CF9AE}" pid="8" name="&lt;ModelTra&gt;">
    <vt:lpwstr>\\eiciBRUpr1\pdocep$\DocEP\TRANSFIL\EN\PA_NonLeg.EN(01/02/2018 11:41:31)</vt:lpwstr>
  </property>
  <property fmtid="{D5CDD505-2E9C-101B-9397-08002B2CF9AE}" pid="9" name="&lt;Model&gt;">
    <vt:lpwstr>PA_NonLeg</vt:lpwstr>
  </property>
  <property fmtid="{D5CDD505-2E9C-101B-9397-08002B2CF9AE}" pid="10" name="FooterPath">
    <vt:lpwstr>AD\1173649XT.docx</vt:lpwstr>
  </property>
  <property fmtid="{D5CDD505-2E9C-101B-9397-08002B2CF9AE}" pid="11" name="PE number">
    <vt:lpwstr>629.460</vt:lpwstr>
  </property>
  <property fmtid="{D5CDD505-2E9C-101B-9397-08002B2CF9AE}" pid="12" name="SendToEpades">
    <vt:lpwstr>OK - 2019/01/11 17:33</vt:lpwstr>
  </property>
  <property fmtid="{D5CDD505-2E9C-101B-9397-08002B2CF9AE}" pid="13" name="SubscribeElise">
    <vt:lpwstr/>
  </property>
</Properties>
</file>