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740" w:rsidRPr="00D64597" w:rsidRDefault="006B2F4F" w:rsidP="00D64597">
      <w:pPr>
        <w:tabs>
          <w:tab w:val="left" w:pos="1134"/>
        </w:tabs>
        <w:rPr>
          <w:b/>
          <w:noProof/>
        </w:rPr>
      </w:pPr>
      <w:r w:rsidRPr="006B2F4F">
        <w:rPr>
          <w:b/>
          <w:noProof/>
        </w:rPr>
        <w:t xml:space="preserve">Större interpellation för skriftligt besvarande med debatt </w:t>
      </w:r>
      <w:r w:rsidR="00D64597" w:rsidRPr="00D64597">
        <w:rPr>
          <w:b/>
          <w:noProof/>
        </w:rPr>
        <w:t>O-000074/2017</w:t>
      </w:r>
    </w:p>
    <w:p w:rsidR="00D64597" w:rsidRPr="00D64597" w:rsidRDefault="00D64597" w:rsidP="00D64597">
      <w:pPr>
        <w:tabs>
          <w:tab w:val="left" w:pos="1134"/>
        </w:tabs>
        <w:rPr>
          <w:b/>
          <w:noProof/>
        </w:rPr>
      </w:pPr>
      <w:r w:rsidRPr="00D64597">
        <w:rPr>
          <w:b/>
          <w:noProof/>
        </w:rPr>
        <w:t>till kommissionen</w:t>
      </w:r>
    </w:p>
    <w:p w:rsidR="00D64597" w:rsidRPr="00D64597" w:rsidRDefault="00D64597" w:rsidP="00D64597">
      <w:pPr>
        <w:tabs>
          <w:tab w:val="left" w:pos="1134"/>
        </w:tabs>
        <w:rPr>
          <w:noProof/>
        </w:rPr>
      </w:pPr>
      <w:r w:rsidRPr="00D64597">
        <w:rPr>
          <w:noProof/>
        </w:rPr>
        <w:t xml:space="preserve">Artikel </w:t>
      </w:r>
      <w:r w:rsidR="006B2F4F" w:rsidRPr="006B2F4F">
        <w:rPr>
          <w:noProof/>
        </w:rPr>
        <w:t>130b</w:t>
      </w:r>
      <w:r w:rsidRPr="00D64597">
        <w:rPr>
          <w:noProof/>
        </w:rPr>
        <w:t xml:space="preserve"> i arbetsordningen</w:t>
      </w:r>
    </w:p>
    <w:p w:rsidR="00D64597" w:rsidRPr="00D64597" w:rsidRDefault="00D64597" w:rsidP="00D64597">
      <w:pPr>
        <w:tabs>
          <w:tab w:val="left" w:pos="1134"/>
        </w:tabs>
        <w:rPr>
          <w:b/>
          <w:noProof/>
        </w:rPr>
      </w:pPr>
      <w:r w:rsidRPr="00D64597">
        <w:rPr>
          <w:b/>
          <w:noProof/>
        </w:rPr>
        <w:t>Piernicola Pedicini, Laura Agea, Rosa D'Amato, Tiziana Beghin, Marco Valli, Marco Zullo, Fabio Massimo Castaldo, Ignazio Corrao, Laura Ferrara, Eleonora Evi, Isabella Adinolfi, Joëlle Bergeron</w:t>
      </w:r>
    </w:p>
    <w:p w:rsidR="00D64597" w:rsidRPr="00D64597" w:rsidRDefault="00D64597" w:rsidP="00D64597">
      <w:pPr>
        <w:tabs>
          <w:tab w:val="left" w:pos="1134"/>
        </w:tabs>
        <w:spacing w:after="240"/>
        <w:rPr>
          <w:noProof/>
        </w:rPr>
      </w:pPr>
      <w:r w:rsidRPr="00D64597">
        <w:rPr>
          <w:noProof/>
        </w:rPr>
        <w:t>för EFDD-gruppen</w:t>
      </w:r>
    </w:p>
    <w:p w:rsidR="00D64597" w:rsidRPr="00D64597" w:rsidRDefault="00D64597" w:rsidP="00D64597">
      <w:pPr>
        <w:tabs>
          <w:tab w:val="left" w:pos="1134"/>
        </w:tabs>
        <w:spacing w:after="240"/>
        <w:ind w:left="1134" w:hanging="1134"/>
        <w:rPr>
          <w:noProof/>
        </w:rPr>
      </w:pPr>
      <w:r w:rsidRPr="00D64597">
        <w:rPr>
          <w:noProof/>
        </w:rPr>
        <w:t>Ang</w:t>
      </w:r>
      <w:r w:rsidR="006B2F4F">
        <w:rPr>
          <w:noProof/>
        </w:rPr>
        <w:t>ående:</w:t>
      </w:r>
      <w:r w:rsidR="006B2F4F">
        <w:rPr>
          <w:noProof/>
        </w:rPr>
        <w:tab/>
        <w:t>Större interpellation - S</w:t>
      </w:r>
      <w:bookmarkStart w:id="0" w:name="_GoBack"/>
      <w:bookmarkEnd w:id="0"/>
      <w:r w:rsidRPr="00D64597">
        <w:rPr>
          <w:noProof/>
        </w:rPr>
        <w:t>amordnade åtgärder på EU-nivå för att öka vaccinationstäckningen</w:t>
      </w:r>
    </w:p>
    <w:p w:rsidR="00DC4C09" w:rsidRPr="00D64597" w:rsidRDefault="00DC4C09" w:rsidP="00D64597">
      <w:pPr>
        <w:tabs>
          <w:tab w:val="left" w:pos="426"/>
          <w:tab w:val="left" w:pos="851"/>
          <w:tab w:val="left" w:pos="1276"/>
        </w:tabs>
        <w:spacing w:after="240"/>
        <w:rPr>
          <w:noProof/>
        </w:rPr>
      </w:pPr>
      <w:r w:rsidRPr="00D64597">
        <w:rPr>
          <w:noProof/>
        </w:rPr>
        <w:t>Medlemsstaterna har rätt att oavhängigt bestämma över sina vaccinationsprogram för sina medborgare. Italien har nyligen infört sex obligatoriska vaccinationer för nyfödda barn utöver de fyra som redan var obligatoriska, vilket resulterar i totalt tio obligatoriska vaccinationer.</w:t>
      </w:r>
    </w:p>
    <w:p w:rsidR="00DC4C09" w:rsidRPr="00D64597" w:rsidRDefault="00DC4C09" w:rsidP="00D64597">
      <w:pPr>
        <w:tabs>
          <w:tab w:val="left" w:pos="426"/>
          <w:tab w:val="left" w:pos="851"/>
          <w:tab w:val="left" w:pos="1276"/>
        </w:tabs>
        <w:spacing w:after="240"/>
        <w:rPr>
          <w:noProof/>
        </w:rPr>
      </w:pPr>
      <w:r w:rsidRPr="00D64597">
        <w:rPr>
          <w:noProof/>
        </w:rPr>
        <w:t>Det är dock möjligt att nå det befogade målet om högsta möjliga vaccinationstäckning även genom mindre stränga åtgärder, och de flesta medlemsstater föredrar att tillämpa rekommendationer eller en kombination av skyldigheter och rekommendationer.</w:t>
      </w:r>
    </w:p>
    <w:p w:rsidR="00DC4C09" w:rsidRPr="00D64597" w:rsidRDefault="00DC4C09" w:rsidP="00D64597">
      <w:pPr>
        <w:tabs>
          <w:tab w:val="left" w:pos="426"/>
          <w:tab w:val="left" w:pos="851"/>
          <w:tab w:val="left" w:pos="1276"/>
        </w:tabs>
        <w:spacing w:after="240"/>
        <w:rPr>
          <w:noProof/>
        </w:rPr>
      </w:pPr>
      <w:r w:rsidRPr="00D64597">
        <w:rPr>
          <w:noProof/>
        </w:rPr>
        <w:t>En studie från 2016 visar att länder med obligatoriska vaccinationer vanligen inte har nått bättre täckning än jämförbara länder där det inte fanns någon rättslig skyldighet</w:t>
      </w:r>
      <w:r w:rsidR="00D64597">
        <w:rPr>
          <w:rStyle w:val="FootnoteReference"/>
          <w:noProof/>
        </w:rPr>
        <w:footnoteReference w:id="1"/>
      </w:r>
      <w:r w:rsidRPr="00D64597">
        <w:rPr>
          <w:noProof/>
        </w:rPr>
        <w:t>.</w:t>
      </w:r>
    </w:p>
    <w:p w:rsidR="00DC4C09" w:rsidRPr="00D64597" w:rsidRDefault="00DC4C09" w:rsidP="00D64597">
      <w:pPr>
        <w:tabs>
          <w:tab w:val="left" w:pos="426"/>
          <w:tab w:val="left" w:pos="851"/>
          <w:tab w:val="left" w:pos="1276"/>
        </w:tabs>
        <w:spacing w:after="240"/>
        <w:rPr>
          <w:noProof/>
        </w:rPr>
      </w:pPr>
      <w:r w:rsidRPr="00D64597">
        <w:rPr>
          <w:noProof/>
        </w:rPr>
        <w:t>En långvarig medlem av den rådgivande gruppen inom Europeiskt centrum för förebyggande och kontroll av sjukdomar har konstaterat att man sannolikt kan uppnå likadana resultat genom satsningar på bättre organisering och kommunikationsprogram som genom obligatoriska vaccinationsprogram</w:t>
      </w:r>
      <w:r w:rsidR="00D64597">
        <w:rPr>
          <w:rStyle w:val="FootnoteReference"/>
          <w:noProof/>
        </w:rPr>
        <w:footnoteReference w:id="2"/>
      </w:r>
      <w:r w:rsidRPr="00D64597">
        <w:rPr>
          <w:noProof/>
        </w:rPr>
        <w:t>.</w:t>
      </w:r>
    </w:p>
    <w:p w:rsidR="00DC4C09" w:rsidRPr="00D64597" w:rsidRDefault="00DC4C09" w:rsidP="00D64597">
      <w:pPr>
        <w:tabs>
          <w:tab w:val="left" w:pos="426"/>
          <w:tab w:val="left" w:pos="851"/>
          <w:tab w:val="left" w:pos="1276"/>
        </w:tabs>
        <w:spacing w:after="240"/>
        <w:ind w:left="426" w:hanging="426"/>
        <w:rPr>
          <w:noProof/>
        </w:rPr>
      </w:pPr>
      <w:r w:rsidRPr="00D64597">
        <w:rPr>
          <w:noProof/>
        </w:rPr>
        <w:t>–</w:t>
      </w:r>
      <w:r w:rsidRPr="00D64597">
        <w:rPr>
          <w:noProof/>
        </w:rPr>
        <w:tab/>
        <w:t>Kan den omständigheten att det före denna nya lagstiftning aldrig har funnits någon skyldighet att utföra totalt tio vaccinationer för barn i åldern 0</w:t>
      </w:r>
      <w:r w:rsidRPr="00D64597">
        <w:rPr>
          <w:noProof/>
        </w:rPr>
        <w:noBreakHyphen/>
        <w:t>3 år betraktas som ett skäl att åberopa försiktighetsprincipen?</w:t>
      </w:r>
    </w:p>
    <w:p w:rsidR="00DC4C09" w:rsidRPr="00D64597" w:rsidRDefault="00DC4C09" w:rsidP="00D64597">
      <w:pPr>
        <w:tabs>
          <w:tab w:val="left" w:pos="426"/>
          <w:tab w:val="left" w:pos="851"/>
          <w:tab w:val="left" w:pos="1276"/>
        </w:tabs>
        <w:spacing w:after="240"/>
        <w:ind w:left="426" w:hanging="426"/>
        <w:rPr>
          <w:noProof/>
        </w:rPr>
      </w:pPr>
      <w:r w:rsidRPr="00D64597">
        <w:rPr>
          <w:noProof/>
        </w:rPr>
        <w:t>–</w:t>
      </w:r>
      <w:r w:rsidRPr="00D64597">
        <w:rPr>
          <w:noProof/>
        </w:rPr>
        <w:tab/>
        <w:t>Kan kommissionen samla in belägg för att det finns en effektivitetsklyfta mellan obligatoriska och icke obligatoriska vaccinationsprogram när det gäller vaccinationstäckningen?</w:t>
      </w:r>
    </w:p>
    <w:p w:rsidR="00DC4C09" w:rsidRPr="00D64597" w:rsidRDefault="00DC4C09" w:rsidP="00D64597">
      <w:pPr>
        <w:tabs>
          <w:tab w:val="left" w:pos="426"/>
          <w:tab w:val="left" w:pos="851"/>
          <w:tab w:val="left" w:pos="1276"/>
        </w:tabs>
        <w:spacing w:after="240"/>
        <w:ind w:left="426" w:hanging="426"/>
        <w:rPr>
          <w:noProof/>
        </w:rPr>
      </w:pPr>
      <w:r w:rsidRPr="00D64597">
        <w:rPr>
          <w:noProof/>
        </w:rPr>
        <w:t>–</w:t>
      </w:r>
      <w:r w:rsidRPr="00D64597">
        <w:rPr>
          <w:noProof/>
        </w:rPr>
        <w:tab/>
        <w:t>På vilket sätt kan EU samordna åtgärder för att förbättra effektiviteten i vaccinationsprogram och öka vaccinationstäckningen?</w:t>
      </w:r>
    </w:p>
    <w:sectPr w:rsidR="00DC4C09" w:rsidRPr="00D64597" w:rsidSect="00D64597">
      <w:footerReference w:type="default" r:id="rId7"/>
      <w:footnotePr>
        <w:numRestart w:val="eachPage"/>
      </w:footnotePr>
      <w:endnotePr>
        <w:numFmt w:val="decimal"/>
      </w:endnotePr>
      <w:pgSz w:w="11907" w:h="1683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5DB" w:rsidRPr="0099373D" w:rsidRDefault="00D225DB">
      <w:r w:rsidRPr="0099373D">
        <w:separator/>
      </w:r>
    </w:p>
  </w:endnote>
  <w:endnote w:type="continuationSeparator" w:id="0">
    <w:p w:rsidR="00D225DB" w:rsidRPr="0099373D" w:rsidRDefault="00D225DB">
      <w:r w:rsidRPr="0099373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111" w:rsidRPr="00D64597" w:rsidRDefault="00D64597" w:rsidP="00D64597">
    <w:pPr>
      <w:pStyle w:val="Footer"/>
      <w:tabs>
        <w:tab w:val="clear" w:pos="4535"/>
      </w:tabs>
    </w:pPr>
    <w:r>
      <w:t>1134470.SV</w:t>
    </w:r>
    <w:r>
      <w:tab/>
      <w:t>PE 541.002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5DB" w:rsidRPr="0099373D" w:rsidRDefault="00D225DB">
      <w:r w:rsidRPr="0099373D">
        <w:separator/>
      </w:r>
    </w:p>
  </w:footnote>
  <w:footnote w:type="continuationSeparator" w:id="0">
    <w:p w:rsidR="00D225DB" w:rsidRPr="0099373D" w:rsidRDefault="00D225DB">
      <w:r w:rsidRPr="0099373D">
        <w:continuationSeparator/>
      </w:r>
    </w:p>
  </w:footnote>
  <w:footnote w:id="1">
    <w:p w:rsidR="00D64597" w:rsidRPr="00D64597" w:rsidRDefault="00D64597" w:rsidP="00D64597">
      <w:pPr>
        <w:pStyle w:val="FootnoteText"/>
        <w:tabs>
          <w:tab w:val="left" w:pos="283"/>
        </w:tabs>
        <w:ind w:left="283" w:hanging="283"/>
        <w:rPr>
          <w:lang w:val="fr-FR"/>
        </w:rPr>
      </w:pPr>
      <w:r>
        <w:rPr>
          <w:rStyle w:val="FootnoteReference"/>
        </w:rPr>
        <w:footnoteRef/>
      </w:r>
      <w:r>
        <w:t xml:space="preserve"> </w:t>
      </w:r>
      <w:r>
        <w:tab/>
        <w:t>http://www.asset-scienceinsociety.eu/reports/page1.html</w:t>
      </w:r>
    </w:p>
  </w:footnote>
  <w:footnote w:id="2">
    <w:p w:rsidR="00D64597" w:rsidRPr="00D64597" w:rsidRDefault="00D64597" w:rsidP="00D64597">
      <w:pPr>
        <w:pStyle w:val="FootnoteText"/>
        <w:tabs>
          <w:tab w:val="left" w:pos="283"/>
        </w:tabs>
        <w:ind w:left="283" w:hanging="283"/>
        <w:rPr>
          <w:lang w:val="fr-FR"/>
        </w:rPr>
      </w:pPr>
      <w:r>
        <w:rPr>
          <w:rStyle w:val="FootnoteReference"/>
        </w:rPr>
        <w:footnoteRef/>
      </w:r>
      <w:r w:rsidRPr="006B2F4F">
        <w:rPr>
          <w:lang w:val="fr-FR"/>
        </w:rPr>
        <w:t xml:space="preserve"> </w:t>
      </w:r>
      <w:r w:rsidRPr="006B2F4F">
        <w:rPr>
          <w:lang w:val="fr-FR"/>
        </w:rPr>
        <w:tab/>
        <w:t>http://www.asset-scienceinsociety.eu/pages/better-organization-can-be-more-useful-compulsory-vaccination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GB" w:vendorID="64" w:dllVersion="131078" w:nlCheck="1" w:checkStyle="1"/>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25DB"/>
    <w:rsid w:val="000457F1"/>
    <w:rsid w:val="00053EE8"/>
    <w:rsid w:val="0006026E"/>
    <w:rsid w:val="000F5323"/>
    <w:rsid w:val="000F5E0A"/>
    <w:rsid w:val="001131AC"/>
    <w:rsid w:val="00132B9D"/>
    <w:rsid w:val="001E2097"/>
    <w:rsid w:val="002524C8"/>
    <w:rsid w:val="00265F2C"/>
    <w:rsid w:val="00272C82"/>
    <w:rsid w:val="002C6111"/>
    <w:rsid w:val="00360568"/>
    <w:rsid w:val="00421C22"/>
    <w:rsid w:val="00450AD5"/>
    <w:rsid w:val="00502F25"/>
    <w:rsid w:val="00582456"/>
    <w:rsid w:val="005967E0"/>
    <w:rsid w:val="005A7709"/>
    <w:rsid w:val="005C3D90"/>
    <w:rsid w:val="006069A2"/>
    <w:rsid w:val="0063286A"/>
    <w:rsid w:val="006338E6"/>
    <w:rsid w:val="006B2F4F"/>
    <w:rsid w:val="00715DE8"/>
    <w:rsid w:val="00745E01"/>
    <w:rsid w:val="0079599D"/>
    <w:rsid w:val="007C29BA"/>
    <w:rsid w:val="007E1D7E"/>
    <w:rsid w:val="0084204A"/>
    <w:rsid w:val="0085646B"/>
    <w:rsid w:val="00894E08"/>
    <w:rsid w:val="008B1124"/>
    <w:rsid w:val="008B68D9"/>
    <w:rsid w:val="00954E0F"/>
    <w:rsid w:val="0099373D"/>
    <w:rsid w:val="00A92E70"/>
    <w:rsid w:val="00AE6740"/>
    <w:rsid w:val="00B4456B"/>
    <w:rsid w:val="00BB25A1"/>
    <w:rsid w:val="00BE6679"/>
    <w:rsid w:val="00BF4787"/>
    <w:rsid w:val="00C829A4"/>
    <w:rsid w:val="00C90A52"/>
    <w:rsid w:val="00C914A9"/>
    <w:rsid w:val="00CD005F"/>
    <w:rsid w:val="00D056AD"/>
    <w:rsid w:val="00D225DB"/>
    <w:rsid w:val="00D64597"/>
    <w:rsid w:val="00DC2DFB"/>
    <w:rsid w:val="00DC4C09"/>
    <w:rsid w:val="00DD5B5C"/>
    <w:rsid w:val="00DE59A7"/>
    <w:rsid w:val="00E03032"/>
    <w:rsid w:val="00E46E2C"/>
    <w:rsid w:val="00E71957"/>
    <w:rsid w:val="00EF73C8"/>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307F36-A7EF-4556-80DA-ABEFF506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 w:type="character" w:styleId="FootnoteReference">
    <w:name w:val="footnote reference"/>
    <w:basedOn w:val="DefaultParagraphFont"/>
    <w:rsid w:val="00DC4C09"/>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character" w:styleId="Hyperlink">
    <w:name w:val="Hyperlink"/>
    <w:basedOn w:val="DefaultParagraphFont"/>
    <w:rsid w:val="00DC4C09"/>
    <w:rPr>
      <w:color w:val="0563C1" w:themeColor="hyperlink"/>
      <w:u w:val="single"/>
    </w:rPr>
  </w:style>
  <w:style w:type="character" w:styleId="FollowedHyperlink">
    <w:name w:val="FollowedHyperlink"/>
    <w:basedOn w:val="DefaultParagraphFont"/>
    <w:rsid w:val="00DC4C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1826F-7979-4457-8776-016BF8057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2F959D6A.dotm</Template>
  <TotalTime>1</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QO</vt:lpstr>
    </vt:vector>
  </TitlesOfParts>
  <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QO</dc:title>
  <dc:subject/>
  <dc:creator>MONKUNIENE Neringa</dc:creator>
  <cp:keywords/>
  <dc:description/>
  <cp:lastModifiedBy>PERDIGAO Maria Joao</cp:lastModifiedBy>
  <cp:revision>3</cp:revision>
  <cp:lastPrinted>2006-04-24T15:35:00Z</cp:lastPrinted>
  <dcterms:created xsi:type="dcterms:W3CDTF">2017-09-20T12:37:00Z</dcterms:created>
  <dcterms:modified xsi:type="dcterms:W3CDTF">2017-09-21T08:23:00Z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9.1.0 Build [20170814]</vt:lpwstr>
  </property>
  <property fmtid="{D5CDD505-2E9C-101B-9397-08002B2CF9AE}" pid="3" name="LastEdited with">
    <vt:lpwstr>9.1.0 Build [20170814]</vt:lpwstr>
  </property>
  <property fmtid="{D5CDD505-2E9C-101B-9397-08002B2CF9AE}" pid="4" name="&lt;FdR&gt;">
    <vt:lpwstr>1134470</vt:lpwstr>
  </property>
  <property fmtid="{D5CDD505-2E9C-101B-9397-08002B2CF9AE}" pid="5" name="&lt;Type&gt;">
    <vt:lpwstr>QO</vt:lpwstr>
  </property>
  <property fmtid="{D5CDD505-2E9C-101B-9397-08002B2CF9AE}" pid="6" name="&lt;ModelCod&gt;">
    <vt:lpwstr>\\eiciLUXpr1\pdocep$\DocEP\DOCS\General\QO\QO.dot(17/02/2016 11:46:23)</vt:lpwstr>
  </property>
  <property fmtid="{D5CDD505-2E9C-101B-9397-08002B2CF9AE}" pid="7" name="&lt;ModelTra&gt;">
    <vt:lpwstr>\\eiciLUXpr1\pdocep$\DocEP\TRANSFIL\EN\QO.EN(20/03/2017 16:06:44)</vt:lpwstr>
  </property>
  <property fmtid="{D5CDD505-2E9C-101B-9397-08002B2CF9AE}" pid="8" name="&lt;Model&gt;">
    <vt:lpwstr>QO</vt:lpwstr>
  </property>
  <property fmtid="{D5CDD505-2E9C-101B-9397-08002B2CF9AE}" pid="9" name="FooterPath">
    <vt:lpwstr>QO\1134470SV.docx</vt:lpwstr>
  </property>
  <property fmtid="{D5CDD505-2E9C-101B-9397-08002B2CF9AE}" pid="10" name="PE number">
    <vt:lpwstr>541.002</vt:lpwstr>
  </property>
  <property fmtid="{D5CDD505-2E9C-101B-9397-08002B2CF9AE}" pid="11" name="Bookout">
    <vt:lpwstr>OK - 2017/09/20 14:34</vt:lpwstr>
  </property>
  <property fmtid="{D5CDD505-2E9C-101B-9397-08002B2CF9AE}" pid="12" name="SubscribeElise">
    <vt:lpwstr/>
  </property>
  <property fmtid="{D5CDD505-2E9C-101B-9397-08002B2CF9AE}" pid="13" name="SDLStudio">
    <vt:lpwstr/>
  </property>
  <property fmtid="{D5CDD505-2E9C-101B-9397-08002B2CF9AE}" pid="14" name="&lt;Extension&gt;">
    <vt:lpwstr>SV</vt:lpwstr>
  </property>
</Properties>
</file>