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Ερώτηση με αίτημα προφορικής απάντησης  O-000012/2020</w:t>
      </w:r>
    </w:p>
    <w:p>
      <w:pPr>
        <w:pStyle w:val="Arial10"/>
      </w:pPr>
      <w:r>
        <w:rPr>
          <w:rStyle w:val="Bold"/>
        </w:rPr>
        <w:t>προς την Επιτροπή</w:t>
      </w:r>
    </w:p>
    <w:p>
      <w:pPr>
        <w:pStyle w:val="Arial10"/>
      </w:pPr>
      <w:r>
        <w:t>Άρθρο 136 του Κανονισμού</w:t>
      </w:r>
    </w:p>
    <w:p>
      <w:pPr>
        <w:pStyle w:val="Arial10After10"/>
      </w:pPr>
      <w:r>
        <w:rPr>
          <w:rStyle w:val="Bold"/>
        </w:rPr>
        <w:t>Cristian-Silviu Buşoi</w:t>
      </w:r>
      <w:r>
        <w:br/>
      </w:r>
      <w:r>
        <w:t>εξ ονόματος της Επιτροπής Βιομηχανίας, Έρευνας και Ενέργειας</w:t>
      </w:r>
    </w:p>
    <w:p>
      <w:pPr>
        <w:pStyle w:val="Subject"/>
      </w:pPr>
      <w:r>
        <w:t>Θέμα</w:t>
      </w:r>
      <w:r>
        <w:t>:</w:t>
      </w:r>
      <w:r>
        <w:tab/>
      </w:r>
      <w:r>
        <w:t>Αναθεώρηση των κατευθυντήριων γραμμών για τις διευρωπαϊκές ενεργειακές υποδομές</w:t>
      </w:r>
    </w:p>
    <w:p>
      <w:pPr>
        <w:pStyle w:val="Body"/>
      </w:pPr>
      <w:r>
        <w:t>Στις 11 Δεκεμβρίου 2019, η Επιτροπή παρουσίασε την ανακοίνωσή της σχετικά με την Ευρωπαϊκή Πράσινη Συμφωνία, σύμφωνα με την οποία θα πραγματοποιηθεί αναθεώρηση των κατευθυντήριων γραμμών για το διευρωπαϊκό δίκτυο στον τομέα της ενέργειας (ΔΕΔ-Ε) το 2020.</w:t>
      </w:r>
    </w:p>
    <w:p>
      <w:pPr>
        <w:pStyle w:val="Body"/>
      </w:pPr>
      <w:r>
        <w:t>Ποιο χρονοδιάγραμμα θα ακολουθηθεί όσον αφορά την αναθεώρηση των κατευθυντήριων γραμμών για το ΔΕΔ-Ε;</w:t>
      </w:r>
    </w:p>
    <w:p>
      <w:pPr>
        <w:pStyle w:val="Body"/>
      </w:pPr>
      <w:r>
        <w:t>Προτίθεται η Επιτροπή να λάβει μεταβατικά μέτρα, προκειμένου να παράσχει καθοδήγηση σχετικά με τις δαπάνες στο πλαίσιο της διευκόλυνσης «Συνδέοντας την Ευρώπη» και την επιλογή έργων από τον 5ο κατάλογο έργων κοινού ενδιαφέροντος (PCI) έως το τέλος του 2020, με σκοπό να διασφαλίσει ότι τόσο οι δαπάνες όσο και η επιλογή ευθυγραμμίζονται με τις δεσμεύσεις που αναλήφθηκαν στο πλαίσιο της Συμφωνίας του Παρισιού;</w:t>
      </w:r>
    </w:p>
    <w:p>
      <w:pPr>
        <w:pStyle w:val="Body"/>
      </w:pPr>
      <w:r>
        <w:t>Κατάθεση: 30/01/2020</w:t>
      </w:r>
    </w:p>
    <w:p>
      <w:pPr>
        <w:pStyle w:val="Body"/>
      </w:pPr>
      <w:r>
        <w:t>Λήξη προθεσμίας: 01/05/2020</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PE647.921v01-00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PE647.921v01-00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PE647.921v01-00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Ερώτηση με αίτημα προφορικής απάντησης</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20201105-090056-010837-282294</vt:lpwstr>
  </property>
</Properties>
</file>