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P-000142/2020</w:t>
      </w:r>
    </w:p>
    <w:p>
      <w:pPr>
        <w:pStyle w:val="Arial10"/>
      </w:pPr>
      <w:r>
        <w:rPr>
          <w:rStyle w:val="Bold"/>
        </w:rPr>
        <w:t>to the Commission</w:t>
      </w:r>
    </w:p>
    <w:p>
      <w:pPr>
        <w:pStyle w:val="Arial10"/>
      </w:pPr>
      <w:r>
        <w:t>Rule 138</w:t>
      </w:r>
    </w:p>
    <w:p>
      <w:pPr>
        <w:pStyle w:val="Arial10After10"/>
      </w:pPr>
      <w:r>
        <w:rPr>
          <w:rStyle w:val="Bold"/>
        </w:rPr>
        <w:t>Billy Kelleher</w:t>
      </w:r>
      <w:r>
        <w:t xml:space="preserve"> (</w:t>
      </w:r>
      <w:r>
        <w:t>Renew</w:t>
      </w:r>
      <w:r>
        <w:t>)</w:t>
      </w:r>
    </w:p>
    <w:p>
      <w:pPr>
        <w:pStyle w:val="Subject"/>
      </w:pPr>
      <w:r>
        <w:t>Subject</w:t>
      </w:r>
      <w:r>
        <w:t>:</w:t>
      </w:r>
      <w:r>
        <w:tab/>
      </w:r>
      <w:r>
        <w:t>Discrimination against non-Italian teaching staff in Italian universities</w:t>
      </w:r>
    </w:p>
    <w:p>
      <w:pPr>
        <w:pStyle w:val="Body"/>
      </w:pPr>
      <w:r>
        <w:t xml:space="preserve">Ongoing EU Pilot 2079/11/EMPL was opened by the Commission against Italy for its non-compliance with ruling C-119/04 of the Court of Justice (CJEU), the fourth in a series of rulings on discrimination against foreign language teachers in Italy dating back to the first Alluè ruling of 1989. </w:t>
      </w:r>
    </w:p>
    <w:p>
      <w:pPr>
        <w:pStyle w:val="Body"/>
      </w:pPr>
      <w:r>
        <w:t>For over 30 years, there has been systematic discrimination against teachers. Unfortunately, due to the length of this case, many of the teachers affected have retired without ever receiving the compensation owed to them.</w:t>
      </w:r>
    </w:p>
    <w:p>
      <w:pPr>
        <w:pStyle w:val="Body"/>
      </w:pPr>
      <w:r>
        <w:t>Case C-119/04 awarded the foreign language teachers a reconstruction of their career from the date of first employment on the basis of the pay scale of a part-time researcher. This parameter renders it arithmetically very simple to calculate correct current pay and the settlements for interest-adjusted back payments due under C-119/04.</w:t>
      </w:r>
    </w:p>
    <w:p>
      <w:pPr>
        <w:pStyle w:val="Body"/>
      </w:pPr>
      <w:r>
        <w:t>Will the Commission in these circumstances:</w:t>
      </w:r>
    </w:p>
    <w:p>
      <w:pPr>
        <w:pStyle w:val="itemList"/>
      </w:pPr>
      <w:r>
        <w:t>1.</w:t>
      </w:r>
      <w:r>
        <w:tab/>
      </w:r>
      <w:r>
        <w:t>Appoint a watchdog body to ensure that the teachers and their retired colleagues receive the settlements due to them under C-119/04?</w:t>
      </w:r>
    </w:p>
    <w:p>
      <w:pPr>
        <w:pStyle w:val="itemList"/>
      </w:pPr>
      <w:r>
        <w:t>2.</w:t>
      </w:r>
      <w:r>
        <w:tab/>
      </w:r>
      <w:r>
        <w:t>Refuse to allow Italy to open the binding case law of the CJEU for negotiation, as provided for by Decreto Interministeriale No 765, especially since universities exclude representative bodies of foreign teachers from labour negotiations?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PE646.735v01-00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PE646.735v01-00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PE646.735v01-00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20200925-104509-025902-154225</vt:lpwstr>
  </property>
</Properties>
</file>