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5E23F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5E23F7" w:rsidRDefault="000003B1" w:rsidP="003E2402">
            <w:pPr>
              <w:pStyle w:val="EPName"/>
            </w:pPr>
            <w:r>
              <w:t>Parlamento europeo</w:t>
            </w:r>
          </w:p>
          <w:p w:rsidR="00E856D2" w:rsidRPr="005E23F7" w:rsidRDefault="003828DB" w:rsidP="003828DB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E856D2" w:rsidRPr="005E23F7" w:rsidRDefault="00521D88" w:rsidP="003E240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746D0" w:rsidRPr="005E23F7" w:rsidRDefault="001746D0" w:rsidP="001746D0">
      <w:pPr>
        <w:pStyle w:val="LineTop"/>
      </w:pPr>
    </w:p>
    <w:p w:rsidR="001746D0" w:rsidRPr="005E23F7" w:rsidRDefault="001746D0" w:rsidP="001746D0">
      <w:pPr>
        <w:pStyle w:val="ZCommittee"/>
      </w:pPr>
      <w:r>
        <w:rPr>
          <w:rStyle w:val="HideTWBExt"/>
        </w:rPr>
        <w:t>&lt;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{PECH}</w:t>
      </w:r>
      <w:r>
        <w:t>Commissione per la pesca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1746D0" w:rsidRPr="005E23F7" w:rsidRDefault="001746D0" w:rsidP="001746D0">
      <w:pPr>
        <w:pStyle w:val="LineBottom"/>
      </w:pPr>
    </w:p>
    <w:p w:rsidR="002E2F2E" w:rsidRPr="005E23F7" w:rsidRDefault="002E2F2E">
      <w:pPr>
        <w:pStyle w:val="RefProc"/>
      </w:pPr>
      <w:r>
        <w:rPr>
          <w:rStyle w:val="HideTWBExt"/>
          <w:b w:val="0"/>
        </w:rPr>
        <w:t>&lt;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</w:t>
      </w:r>
      <w:r>
        <w:t>2018/0356 M (NLE)</w:t>
      </w:r>
      <w:r>
        <w:rPr>
          <w:rStyle w:val="HideTWBExt"/>
          <w:b w:val="0"/>
        </w:rPr>
        <w:t>&lt;/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</w:t>
      </w:r>
    </w:p>
    <w:p w:rsidR="002E2F2E" w:rsidRPr="005E23F7" w:rsidRDefault="002E2F2E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{03/12/2019}</w:t>
      </w:r>
      <w:r>
        <w:t>3.12.2019</w:t>
      </w:r>
      <w:r>
        <w:rPr>
          <w:rStyle w:val="HideTWBExt"/>
        </w:rPr>
        <w:t>&lt;/Date&gt;</w:t>
      </w:r>
    </w:p>
    <w:p w:rsidR="002E2F2E" w:rsidRPr="005E23F7" w:rsidRDefault="002E2F2E">
      <w:pPr>
        <w:pStyle w:val="TypeDoc"/>
      </w:pPr>
      <w:r>
        <w:rPr>
          <w:rStyle w:val="HideTWBExt"/>
          <w:b w:val="0"/>
        </w:rPr>
        <w:t>&lt;TitreType&gt;</w:t>
      </w:r>
      <w:r>
        <w:t>PARERE</w:t>
      </w:r>
      <w:r>
        <w:rPr>
          <w:rStyle w:val="HideTWBExt"/>
          <w:b w:val="0"/>
        </w:rPr>
        <w:t>&lt;/TitreType&gt;</w:t>
      </w:r>
    </w:p>
    <w:p w:rsidR="002E2F2E" w:rsidRPr="005E23F7" w:rsidRDefault="002E2F2E">
      <w:pPr>
        <w:pStyle w:val="Cover24"/>
      </w:pPr>
      <w:r>
        <w:rPr>
          <w:rStyle w:val="HideTWBExt"/>
        </w:rPr>
        <w:t>&lt;CommissionResp&gt;</w:t>
      </w:r>
      <w:r>
        <w:t>della commissione per la pesca</w:t>
      </w:r>
      <w:r>
        <w:rPr>
          <w:rStyle w:val="HideTWBExt"/>
        </w:rPr>
        <w:t>&lt;/CommissionResp&gt;</w:t>
      </w:r>
    </w:p>
    <w:p w:rsidR="002E2F2E" w:rsidRPr="005E23F7" w:rsidRDefault="002E2F2E">
      <w:pPr>
        <w:pStyle w:val="Cover24"/>
      </w:pPr>
      <w:r>
        <w:rPr>
          <w:rStyle w:val="HideTWBExt"/>
        </w:rPr>
        <w:t>&lt;CommissionInt&gt;</w:t>
      </w:r>
      <w:r>
        <w:t>destinato alla commissione per il commercio internazionale</w:t>
      </w:r>
      <w:r>
        <w:rPr>
          <w:rStyle w:val="HideTWBExt"/>
        </w:rPr>
        <w:t>&lt;/CommissionInt&gt;</w:t>
      </w:r>
    </w:p>
    <w:p w:rsidR="002E2F2E" w:rsidRPr="005E23F7" w:rsidRDefault="002E2F2E">
      <w:pPr>
        <w:pStyle w:val="CoverNormal"/>
      </w:pPr>
      <w:r>
        <w:rPr>
          <w:rStyle w:val="HideTWBExt"/>
        </w:rPr>
        <w:t>&lt;Titre&gt;</w:t>
      </w:r>
      <w:r>
        <w:t>sul progetto di decisione del Consiglio relativa alla conclusione dell'accordo di libero scambio tra l'Unione europea e la Repubblica socialista del Vietnam</w:t>
      </w:r>
      <w:r>
        <w:rPr>
          <w:rStyle w:val="HideTWBExt"/>
        </w:rPr>
        <w:t>&lt;/Titre&gt;</w:t>
      </w:r>
    </w:p>
    <w:p w:rsidR="002E2F2E" w:rsidRPr="005E23F7" w:rsidRDefault="002E2F2E">
      <w:pPr>
        <w:pStyle w:val="Cover24"/>
      </w:pPr>
      <w:r>
        <w:rPr>
          <w:rStyle w:val="HideTWBExt"/>
        </w:rPr>
        <w:t>&lt;DocRef&gt;</w:t>
      </w:r>
      <w:r>
        <w:t>(2018/0356 M (NLE))</w:t>
      </w:r>
      <w:r>
        <w:rPr>
          <w:rStyle w:val="HideTWBExt"/>
        </w:rPr>
        <w:t>&lt;/DocRef&gt;</w:t>
      </w:r>
    </w:p>
    <w:p w:rsidR="002E2F2E" w:rsidRPr="005E23F7" w:rsidRDefault="000003B1">
      <w:pPr>
        <w:pStyle w:val="Cover24"/>
      </w:pPr>
      <w:r>
        <w:t xml:space="preserve">Relatore per parere: </w:t>
      </w:r>
      <w:r>
        <w:rPr>
          <w:rStyle w:val="HideTWBExt"/>
        </w:rPr>
        <w:t>&lt;Depute&gt;</w:t>
      </w:r>
      <w:r>
        <w:t>Pietro Bartolo</w:t>
      </w:r>
      <w:r>
        <w:rPr>
          <w:rStyle w:val="HideTWBExt"/>
        </w:rPr>
        <w:t>&lt;/Depute&gt;</w:t>
      </w:r>
    </w:p>
    <w:p w:rsidR="00A72C35" w:rsidRPr="005E23F7" w:rsidRDefault="00A72C35" w:rsidP="00A72C35">
      <w:pPr>
        <w:pStyle w:val="CoverNormal"/>
      </w:pPr>
    </w:p>
    <w:p w:rsidR="000E7EBF" w:rsidRPr="005E23F7" w:rsidRDefault="002E2F2E" w:rsidP="00E856D2">
      <w:pPr>
        <w:widowControl/>
        <w:tabs>
          <w:tab w:val="center" w:pos="4677"/>
        </w:tabs>
      </w:pPr>
      <w:r>
        <w:br w:type="page"/>
      </w:r>
    </w:p>
    <w:p w:rsidR="002E2F2E" w:rsidRPr="005E23F7" w:rsidRDefault="000003B1" w:rsidP="00E856D2">
      <w:pPr>
        <w:widowControl/>
        <w:tabs>
          <w:tab w:val="center" w:pos="4677"/>
        </w:tabs>
      </w:pPr>
      <w:r>
        <w:t>PA_NonLeg</w:t>
      </w:r>
    </w:p>
    <w:p w:rsidR="002E2F2E" w:rsidRPr="005E23F7" w:rsidRDefault="002E2F2E">
      <w:pPr>
        <w:pStyle w:val="PageHeadingNotTOC"/>
      </w:pPr>
      <w:r>
        <w:br w:type="page"/>
      </w:r>
      <w:r>
        <w:lastRenderedPageBreak/>
        <w:t>SUGGERIMENTI</w:t>
      </w:r>
    </w:p>
    <w:p w:rsidR="002E2F2E" w:rsidRPr="005E23F7" w:rsidRDefault="000003B1" w:rsidP="008313E7">
      <w:pPr>
        <w:pStyle w:val="Normal12"/>
      </w:pPr>
      <w:r>
        <w:t>La commissione per la pesca invita la commissione per il commercio internazionale, competente per il merito, a includere nella proposta di risoluzione che approverà i seguenti suggerimenti:</w:t>
      </w:r>
    </w:p>
    <w:p w:rsidR="00313943" w:rsidRPr="00FA7BFE" w:rsidRDefault="003828DB" w:rsidP="00313943">
      <w:pPr>
        <w:pStyle w:val="NormalHanging12a"/>
      </w:pPr>
      <w:bookmarkStart w:id="0" w:name="restart"/>
      <w:r>
        <w:t>–</w:t>
      </w:r>
      <w:r>
        <w:tab/>
      </w:r>
      <w:bookmarkEnd w:id="0"/>
      <w:r>
        <w:t>visto l'articolo 13.9 dell'accordo di libero scambio (ALS) tra l'Unione europea e il Vietnam,</w:t>
      </w:r>
    </w:p>
    <w:p w:rsidR="00313943" w:rsidRPr="00FA7BFE" w:rsidRDefault="00313943" w:rsidP="00313943">
      <w:pPr>
        <w:pStyle w:val="NormalHanging12a"/>
      </w:pPr>
      <w:r>
        <w:t>–</w:t>
      </w:r>
      <w:r>
        <w:tab/>
        <w:t>viste le conclusioni facenti seguito alla sua missione di informazione in Vietnam (dal 28 ottobre al 1° novembre 2018) e la valutazione pubblicata dalla Commissione nel maggio 2018 in merito ai progressi compiuti dal paese nella lotta contro la pesca illegale, non dichiarata e non regolamentata (INN) a seguito della notifica da parte della Commissione di un "cartellino giallo" il 23 ottobre 2017,</w:t>
      </w:r>
    </w:p>
    <w:p w:rsidR="00313943" w:rsidRPr="00FA7BFE" w:rsidRDefault="00313943" w:rsidP="00313943">
      <w:pPr>
        <w:pStyle w:val="NormalHanging12a"/>
      </w:pPr>
      <w:r>
        <w:t>–</w:t>
      </w:r>
      <w:r>
        <w:tab/>
        <w:t>visto l'articolo 28, paragrafo 2, lettera b), del regolamento (UE) n. 1380/2013 relativo alla politica comune della pesca</w:t>
      </w:r>
      <w:r w:rsidRPr="00FA7BFE">
        <w:rPr>
          <w:rStyle w:val="FootnoteReference"/>
        </w:rPr>
        <w:footnoteReference w:id="1"/>
      </w:r>
      <w:r>
        <w:t>,</w:t>
      </w:r>
    </w:p>
    <w:p w:rsidR="00313943" w:rsidRPr="00FA7BFE" w:rsidRDefault="00313943" w:rsidP="00313943">
      <w:pPr>
        <w:pStyle w:val="NormalHanging12a"/>
      </w:pPr>
      <w:r>
        <w:t>–</w:t>
      </w:r>
      <w:r>
        <w:tab/>
        <w:t>vista la sua risoluzione del 30 maggio 2018 sull'attuazione delle misure di controllo per stabilire la conformità dei prodotti della pesca rispetto ai criteri di accesso al mercato dell'UE</w:t>
      </w:r>
      <w:r w:rsidRPr="00FA7BFE">
        <w:rPr>
          <w:rStyle w:val="FootnoteReference"/>
        </w:rPr>
        <w:footnoteReference w:id="2"/>
      </w:r>
      <w:r>
        <w:t>,</w:t>
      </w:r>
    </w:p>
    <w:p w:rsidR="00313943" w:rsidRPr="00FA7BFE" w:rsidRDefault="00313943" w:rsidP="00313943">
      <w:pPr>
        <w:pStyle w:val="NormalHanging12a"/>
      </w:pPr>
      <w:r>
        <w:t>–</w:t>
      </w:r>
      <w:r>
        <w:tab/>
        <w:t>vista la comunicazione della Commissione del 14 ottobre 2015 dal titolo "Commercio per tutti – Verso una politica commerciale e di investimento più responsabile" (COM(2015)0497),</w:t>
      </w:r>
    </w:p>
    <w:p w:rsidR="00313943" w:rsidRPr="00FA7BFE" w:rsidRDefault="00313943" w:rsidP="00313943">
      <w:pPr>
        <w:pStyle w:val="NormalHanging12a"/>
      </w:pPr>
      <w:r>
        <w:t>A.</w:t>
      </w:r>
      <w:r>
        <w:tab/>
        <w:t>considerando che l'accordo di libero scambio tra l'UE e il Vietnam riconosce l'importanza di garantire la conservazione e la gestione sostenibile delle risorse biologiche marine e degli ecosistemi, congiuntamente alla promozione dell'acquacoltura sostenibile, e prevede la cooperazione tra le parti ai fini della lotta contro la pesca INN, conformemente all'articolo 13.9;</w:t>
      </w:r>
    </w:p>
    <w:p w:rsidR="00313943" w:rsidRPr="00FA7BFE" w:rsidRDefault="00313943" w:rsidP="00313943">
      <w:pPr>
        <w:pStyle w:val="NormalHanging12a"/>
        <w:rPr>
          <w:szCs w:val="24"/>
        </w:rPr>
      </w:pPr>
      <w:r>
        <w:t>B.</w:t>
      </w:r>
      <w:r>
        <w:tab/>
        <w:t>considerando che nel 2017 l'Unione europea ha emesso un "cartellino giallo", che è ancora applicabile, nei confronti del Vietnam in quanto paese non collaborativo nella lotta contro la pesca INN, in considerazione delle gravi carenze nel suo sistema di controllo;</w:t>
      </w:r>
    </w:p>
    <w:p w:rsidR="00313943" w:rsidRPr="00FA7BFE" w:rsidRDefault="00313943" w:rsidP="00313943">
      <w:pPr>
        <w:pStyle w:val="NormalHanging12a"/>
      </w:pPr>
      <w:r>
        <w:t>C.</w:t>
      </w:r>
      <w:r>
        <w:tab/>
        <w:t>considerando che alcuni prodotti a base di pesce, come i prodotti con i codici NC 1604 14 21 e 1604 14 26, non sono inclusi nel regime di esenzione dai dazi nell'accordo di libero scambio UE-Vietnam, in ragione della sensibilità di questi prodotti per l'Unione europea;</w:t>
      </w:r>
    </w:p>
    <w:p w:rsidR="00313943" w:rsidRPr="00FA7BFE" w:rsidRDefault="00313943" w:rsidP="00313943">
      <w:pPr>
        <w:pStyle w:val="NormalHanging12a"/>
      </w:pPr>
      <w:r>
        <w:t>D.</w:t>
      </w:r>
      <w:r>
        <w:tab/>
        <w:t xml:space="preserve">considerando che è riconosciuto che la pesca INN costituisce una forma di criminalità organizzata dei mari che ha conseguenze ambientali e socioeconomiche disastrose in tutto il mondo e che crea una concorrenza sleale per l'industria della pesca </w:t>
      </w:r>
      <w:r w:rsidR="00521D88">
        <w:t>europea;</w:t>
      </w:r>
    </w:p>
    <w:p w:rsidR="00313943" w:rsidRPr="00FA7BFE" w:rsidRDefault="00313943" w:rsidP="00313943">
      <w:pPr>
        <w:pStyle w:val="NormalHanging12a"/>
        <w:rPr>
          <w:szCs w:val="24"/>
        </w:rPr>
      </w:pPr>
      <w:r>
        <w:t>E.</w:t>
      </w:r>
      <w:r>
        <w:tab/>
        <w:t xml:space="preserve">considerando che il Vietnam è il quarto maggiore produttore di pesce al mondo, seguito </w:t>
      </w:r>
      <w:r>
        <w:lastRenderedPageBreak/>
        <w:t xml:space="preserve">dall'Unione europea, e il quarto produttore di prodotti </w:t>
      </w:r>
      <w:r w:rsidR="00521D88">
        <w:t>dell'acquacoltura;</w:t>
      </w:r>
    </w:p>
    <w:p w:rsidR="00313943" w:rsidRPr="00FA7BFE" w:rsidRDefault="00313943" w:rsidP="00313943">
      <w:pPr>
        <w:pStyle w:val="NormalHanging12a"/>
      </w:pPr>
      <w:r>
        <w:t>F.</w:t>
      </w:r>
      <w:r>
        <w:tab/>
        <w:t>considerando che in termini di valore l'UE è il più grande operatore commerciale al mondo di prodotti della pesca e dell'acquacoltura, avendo generato un volume di scambi pari a oltre 2,3 miliardi di EUR nel 2017; che l'UE importa oltre il 65 % dei prodotti della pesca che consuma e rappresenta uno dei maggiori investitori stranieri in Vietnam;</w:t>
      </w:r>
    </w:p>
    <w:p w:rsidR="00313943" w:rsidRPr="00FA7BFE" w:rsidRDefault="00313943" w:rsidP="00313943">
      <w:pPr>
        <w:pStyle w:val="NormalHanging12a"/>
      </w:pPr>
      <w:r>
        <w:t>G.</w:t>
      </w:r>
      <w:r>
        <w:tab/>
        <w:t>considerando che ad oggi il Vietnam ha assicurato la protezione di un prodotto ad indicazione geografica (IG) – Phú Quốc, una varietà di salsa di pesce – come denominazione di origine protetta (DOP) nell'ambito dei regimi di qualità dell'UE; che l'accordo di libero scambio UE-Vietnam prevede la protezione di 169 IG dell'UE per vini, bevande alcoliche e prodotti alimentari in Vietnam e la protezione reciproca di 39 IG vietnamite nell'UE;</w:t>
      </w:r>
    </w:p>
    <w:p w:rsidR="00313943" w:rsidRPr="00FA7BFE" w:rsidRDefault="00313943" w:rsidP="00313943">
      <w:pPr>
        <w:pStyle w:val="NormalHanging12a"/>
      </w:pPr>
      <w:r>
        <w:t>H.</w:t>
      </w:r>
      <w:r>
        <w:tab/>
        <w:t>considerando che il Vietnam ha un mercato di 95 milioni di persone con tradizioni consolidate nel consumo di prodotti della pesca e dell'acquacoltura ed è il secondo partner commerciale dell'UE nella regione dell'Associazione delle Nazioni del Sud-Est Asiatico (ASEAN); sottolinea il potenziale di crescita e i significativi benefici che la pesca potrebbe offrire alle piccole e medie imprese europee e ritiene che questo settore dell'economia sia di vitale interesse per la prosperità e l'innovazione europee;</w:t>
      </w:r>
    </w:p>
    <w:p w:rsidR="00313943" w:rsidRPr="00FA7BFE" w:rsidRDefault="00313943" w:rsidP="00313943">
      <w:pPr>
        <w:pStyle w:val="NormalHanging12a"/>
      </w:pPr>
      <w:r>
        <w:t>1.</w:t>
      </w:r>
      <w:r>
        <w:tab/>
        <w:t>apprezza e constata l'adozione, da parte del governo vietnamita nel 2017, di una nuova legge quadro per il settore della pesca, che tiene in considerazione gli obblighi e gli accordi internazionali e regionali e le raccomandazioni della Commissione, congiuntamente a vari documenti paralegislativi, apprezza, inoltre, gli sforzi concertati volti a informare i pescatori in merito alle norme giuridiche e alla creazione di strutture coordinate di monitoraggio, controllo ed esecuzione per contrastare e scoraggiare efficacemente la pesca INN, nonché l'impegno del Vietnam a presentare il suo piano nazionale di attuazione per conformarsi alle disposizioni dell'ALS;</w:t>
      </w:r>
    </w:p>
    <w:p w:rsidR="00313943" w:rsidRPr="00FA7BFE" w:rsidRDefault="00313943" w:rsidP="00313943">
      <w:pPr>
        <w:pStyle w:val="NormalHanging12a"/>
      </w:pPr>
      <w:r>
        <w:t>2.</w:t>
      </w:r>
      <w:r>
        <w:tab/>
        <w:t>è preoccupato per il cosiddetto fenomeno della "nave blu" dei pescatori vietnamiti, che è stato praticato negli anni passati nelle acque territoriali di vari paesi vicini quali la Thailandia, le Filippine, l'Indonesia e la Malaysia, in paesi del Pacifico come Palau, Micronesia, Papua Nuova Guinea, Isole Salomone, Vanuatu e Nuova Caledonia e in Australia, e che ha generato preoccupazioni economiche, sociali e in materia di sicurezza per le nazioni interessate e per la regione nel suo complesso; auspica che gli sforzi compiuti dalle autorità forniscano quanto immediatamente risultati per il bene comune delle relazioni UE-Vietnam e per la stabilità della regione del Sud-Est asiatico nel suo insieme;</w:t>
      </w:r>
    </w:p>
    <w:p w:rsidR="00313943" w:rsidRPr="00FA7BFE" w:rsidRDefault="00313943" w:rsidP="00313943">
      <w:pPr>
        <w:pStyle w:val="NormalHanging12a"/>
      </w:pPr>
      <w:r>
        <w:t>3.</w:t>
      </w:r>
      <w:r>
        <w:tab/>
        <w:t>apprezza il quadro per la cooperazione stabilito nel capitolo dell'ALS sul commercio e lo sviluppo sostenibile in relazione alla promozione dell'acquacoltura sostenibile e al rafforzamento della cooper</w:t>
      </w:r>
      <w:r w:rsidR="00521D88">
        <w:t>azione tra i partner nella lotta</w:t>
      </w:r>
      <w:r>
        <w:t xml:space="preserve"> contro la pesca INN;</w:t>
      </w:r>
    </w:p>
    <w:p w:rsidR="00313943" w:rsidRPr="00FA7BFE" w:rsidRDefault="00313943" w:rsidP="00313943">
      <w:pPr>
        <w:pStyle w:val="NormalHanging12a"/>
        <w:rPr>
          <w:szCs w:val="24"/>
        </w:rPr>
      </w:pPr>
      <w:r>
        <w:t>4.</w:t>
      </w:r>
      <w:r>
        <w:tab/>
        <w:t>sottolinea l'importanza di rafforzare il dialogo costruttivo con il Vietnam al fine di affrontare con successo le sfide globali poste dalla pesca illegale e ritiene che l'ALS funga da segnale di incoraggiamento affinché il Vietnam raddoppi gli sforzi volti a istituire rapidamente un quadro normativo e di controllo per combattere efficacemente la pesca INN;</w:t>
      </w:r>
    </w:p>
    <w:p w:rsidR="00313943" w:rsidRPr="00FA7BFE" w:rsidRDefault="00313943" w:rsidP="00313943">
      <w:pPr>
        <w:pStyle w:val="NormalHanging12a"/>
      </w:pPr>
      <w:r>
        <w:lastRenderedPageBreak/>
        <w:t>5.</w:t>
      </w:r>
      <w:r>
        <w:tab/>
        <w:t>sottolinea che l'entrata in vigore dell'ALS potrebbe creare le condizioni per una cooperazione importante e proficua tra le due parti in vista dell'efficace attuazione delle disposizioni in materia di sviluppo sostenibile; sottolinea che la corretta attuazione dell'ALS potrebbe far avanzare il rispetto da parte del Vietnam degli standard dell'UE in materia di ambiente, governance della pesca, diritti dei lavoratori e diritti sociali e ritiene che ogni ulteriore ritardo nella ratifica pregiudicherebbe la credibilità e l'influenza dell'UE in Vietnam come pure le sue ambizioni geostrategiche generali nella regione dell'ASEAN;</w:t>
      </w:r>
    </w:p>
    <w:p w:rsidR="00313943" w:rsidRPr="00FA7BFE" w:rsidRDefault="00313943" w:rsidP="00313943">
      <w:pPr>
        <w:pStyle w:val="NormalHanging12a"/>
      </w:pPr>
      <w:r>
        <w:t xml:space="preserve">6. </w:t>
      </w:r>
      <w:r>
        <w:tab/>
        <w:t>apprezza il rafforzamento della cooperazione regionale in materia di gestione della pesca tra che gli Stati membri dell'ASEAN; riconosce l'impegno del Vietnam nella lotta alla pesca INN mediante la domanda di adesione, come membro a pieno titolo, alla Commissione per la pesca nel Pacifico centro-occidentale (WCPFC) e l'adesione, il 3 gennaio 2019, all'accordo sulle misure di competenza dello Stato di approdo, il primo accordo internazionale vincolante ad affrontare in modo specifico la pesca INN, e ritiene che entrambi questi passi consentiranno all'UE e al Vietnam di approfondire la loro cooperazione e di elaborare misure più ambiziose per contrastare la pesca INN;</w:t>
      </w:r>
    </w:p>
    <w:p w:rsidR="00313943" w:rsidRPr="00FA7BFE" w:rsidRDefault="00313943" w:rsidP="00313943">
      <w:pPr>
        <w:pStyle w:val="NormalHanging12a"/>
      </w:pPr>
      <w:r>
        <w:t>7.</w:t>
      </w:r>
      <w:r>
        <w:tab/>
        <w:t>sottolinea le enormi sfide cui le autorità vietnamite devono ancor far fronte in relazione alla sovraccapacità della flotta peschereccia del paese, che è estremamente frammentata, e all'eccessivo sfruttamento delle risorse marine;</w:t>
      </w:r>
    </w:p>
    <w:p w:rsidR="00313943" w:rsidRPr="00FA7BFE" w:rsidRDefault="00313943" w:rsidP="00313943">
      <w:pPr>
        <w:pStyle w:val="NormalHanging12a"/>
      </w:pPr>
      <w:r>
        <w:t>8.</w:t>
      </w:r>
      <w:r>
        <w:tab/>
        <w:t>sottolinea che sono stati segnalati gravi abusi in materia di lavoro nel settore della pesca vietnamita; deplora, in tale contesto, che il Vietnam non abbia ancora ratificato la convenzione dell'OIL sul lavoro nel settore della pesca (OIL C188) e sollecita le autorità vietnamite a ratificarla prima dell'entrata in vigore dell'ALS;</w:t>
      </w:r>
    </w:p>
    <w:p w:rsidR="00313943" w:rsidRPr="00FA7BFE" w:rsidRDefault="00313943" w:rsidP="00313943">
      <w:pPr>
        <w:pStyle w:val="NormalHanging12a"/>
      </w:pPr>
      <w:r>
        <w:t xml:space="preserve">9. </w:t>
      </w:r>
      <w:r>
        <w:tab/>
        <w:t>esorta le autorità vietnamite, al fine di garantire parità di condizioni tra gli operatori dell'UE e vietnamiti, prevenire la concorrenza sleale e garantire che nessun prodotto vietnamita provenga dalla pesca INN, a garantire la piena tracciabilità dei prodotti della pesca destinati all'esportazione nel mercato dell'UE e a garantire che tali prodotti soddisfino i requisiti generali ambientali, sociali, fitosanitari e in materia di salute dell'Unione prima di entrare nel mercato dell'UE;</w:t>
      </w:r>
    </w:p>
    <w:p w:rsidR="00313943" w:rsidRPr="00FA7BFE" w:rsidRDefault="00313943" w:rsidP="00313943">
      <w:pPr>
        <w:pStyle w:val="NormalHanging12a"/>
      </w:pPr>
      <w:r>
        <w:t>10.</w:t>
      </w:r>
      <w:r>
        <w:tab/>
        <w:t>sottolinea la necessità di ulteriori sforzi per garantire che il nuovo quadro giuridico sia attuato e applicato in modo efficace, in particolare a livello provinciale, e di comunicare l'importanza della conformità alle parti interessate locali del settore della pesca;</w:t>
      </w:r>
    </w:p>
    <w:p w:rsidR="00313943" w:rsidRPr="00FA7BFE" w:rsidRDefault="00313943" w:rsidP="00313943">
      <w:pPr>
        <w:pStyle w:val="NormalHanging12a"/>
      </w:pPr>
      <w:r>
        <w:t>11.</w:t>
      </w:r>
      <w:r>
        <w:tab/>
        <w:t>ricorda che i prodotti della pesca e dell'acquacoltura sono settori in cui gli investimenti sono soggetti a determinate condizioni, come descritto nel quadro di investimenti del Vietnam, che vieta qualsiasi investimento ritenuto dannoso per l'ambiente, tra gli altri settori;</w:t>
      </w:r>
    </w:p>
    <w:p w:rsidR="00313943" w:rsidRPr="00FA7BFE" w:rsidRDefault="00313943" w:rsidP="00313943">
      <w:pPr>
        <w:pStyle w:val="NormalHanging12a"/>
      </w:pPr>
      <w:r>
        <w:t>12.</w:t>
      </w:r>
      <w:r>
        <w:tab/>
        <w:t>incoraggia le autorità vietnamite a stanziare risorse finanziarie e umane sufficienti per la lotta contro la pesca INN a livello sia nazionale che provinciale e a intensificare le campagne di sensibilizzazione e le iniziative di sviluppo delle capacità per scoraggiare l'uso improprio di antibiotici nell'acquacoltura e impedire l'insorgere della resistenza antimicrobica;</w:t>
      </w:r>
    </w:p>
    <w:p w:rsidR="00313943" w:rsidRPr="00FA7BFE" w:rsidRDefault="00313943" w:rsidP="00313943">
      <w:pPr>
        <w:pStyle w:val="NormalHanging12a"/>
      </w:pPr>
      <w:r>
        <w:t>13.</w:t>
      </w:r>
      <w:r>
        <w:tab/>
        <w:t xml:space="preserve">sottolinea l'importanza della coerenza politica tra le iniziative dell'Unione, in particolare </w:t>
      </w:r>
      <w:r>
        <w:lastRenderedPageBreak/>
        <w:t>per quanto riguarda gli scambi commerciali e le attività ambientali; sottolinea la necessità che gli accordi commerciali siano connessi e allineati alla politica comune della pesca, compresa la politica dell'UE in materia di pesca INN, e che le disposizioni del capitolo dell'ALS relativo al commercio e allo sviluppo sostenibile siano rispettate e trattate in modo coerente; invita pertanto la Commissione a garantire l'efficace integrazione e la coerenza tra le varie politiche di sviluppo sostenibile dell'UE, comprese la pesca e l'acquacoltura sostenibili, nell'ambito dei futuri accordi commerciali;</w:t>
      </w:r>
    </w:p>
    <w:p w:rsidR="00313943" w:rsidRPr="00FA7BFE" w:rsidRDefault="00313943" w:rsidP="00313943">
      <w:pPr>
        <w:pStyle w:val="NormalHanging12a"/>
      </w:pPr>
      <w:r>
        <w:t>14.</w:t>
      </w:r>
      <w:r>
        <w:tab/>
        <w:t>sottolinea che il commercio di prodotti della pesca e dell'acquacoltura e le tariffe preferenziali dovrebbero essere accompagnate da determinate condizioni, quali controlli, monitoraggio, audit e revisione dei risultati dell'attuazione del piano d'azione vietnamita per contrastare la pesca INN e gli impegni assunti dal Vietnam a norma dell'articolo 13.9 dell'accordo di libero scambio;</w:t>
      </w:r>
    </w:p>
    <w:p w:rsidR="00313943" w:rsidRPr="00FA7BFE" w:rsidRDefault="00313943" w:rsidP="00313943">
      <w:pPr>
        <w:pStyle w:val="NormalHanging12a"/>
      </w:pPr>
      <w:r>
        <w:t>15.</w:t>
      </w:r>
      <w:r>
        <w:tab/>
        <w:t>esprime preoccupazione per l'inclusione di un contingente di esportazione verso l'UE di 11 500 tonnellate di tonno in scatola in esenzione da dazi e per il suo impatto sulla competitività del settore conserviero nell'UE, in particolare in considerazione del "cartellino giallo" emesso nei confronti del Vietnam per carenze in materia di pesca INN; ritiene necessario subordinare tale contingente alla correzione di tale carenze e monitorare l'impatto di tale tipo di contingente sull'industria e sul mercato dell'Unione;</w:t>
      </w:r>
    </w:p>
    <w:p w:rsidR="00313943" w:rsidRPr="00FA7BFE" w:rsidRDefault="00313943" w:rsidP="00313943">
      <w:pPr>
        <w:pStyle w:val="NormalHanging12a"/>
      </w:pPr>
      <w:r>
        <w:t>16.</w:t>
      </w:r>
      <w:r>
        <w:tab/>
        <w:t xml:space="preserve">esprime il proprio disappunto per le disposizioni di cui all'articolo 12.26, paragrafo 2, dell'ALS che, in linea di principio, non </w:t>
      </w:r>
      <w:bookmarkStart w:id="1" w:name="_GoBack"/>
      <w:r>
        <w:t>consentono l'aggiunta di un prodotto all'elenco delle indicazioni geografiche che devono e</w:t>
      </w:r>
      <w:bookmarkEnd w:id="1"/>
      <w:r>
        <w:t>ssere protette sul territorio della rispettiva parte, se tale prodotto non è già stato incluso nell'elenco pertinente di una delle due parti alla data della firma dell'accordo; sottolinea l'importanza, in tale contesto, di includere tutti i prodotti ittici dell'UE protetti con un'indicazione geografica di origine nel capitolo 12 dell'ALS relativo alla proprietà intellettuale;</w:t>
      </w:r>
    </w:p>
    <w:p w:rsidR="00313943" w:rsidRPr="00FA7BFE" w:rsidRDefault="00313943" w:rsidP="00313943">
      <w:pPr>
        <w:pStyle w:val="NormalHanging12a"/>
      </w:pPr>
      <w:r>
        <w:t>17.</w:t>
      </w:r>
      <w:r>
        <w:tab/>
        <w:t>ricorda che la notifica del "cartellino giallo" dovrebbe essere considerata uno strumento per esortare le autorità vietnamite ad adottare misure per contrastare le attività di pesca INN; ritiene che un'ulteriore prolungamento del "cartellino giallo" dovrebbe essere accompagnato da tempistiche e obiettivi operativi chiari al fine di attuare le misure necessarie e conferire un senso costruttivo alla sanzione; ricorda altresì che la revoca del cartellino giallo deve essere subordinata alla piena ed efficace attuazione di tutte le raccomandazioni formulate dall'Unione nel 2017;</w:t>
      </w:r>
    </w:p>
    <w:p w:rsidR="00313943" w:rsidRPr="00FA7BFE" w:rsidRDefault="00313943" w:rsidP="00313943">
      <w:pPr>
        <w:pStyle w:val="NormalHanging12a"/>
      </w:pPr>
      <w:r>
        <w:t>18.</w:t>
      </w:r>
      <w:r>
        <w:tab/>
        <w:t>invita la Commissione a fornire al Vietnam un sostegno finanziario e tecnico specifico al fine di facilitare l'attuazione di norme di sostenibilità ambientale per i prodotti ittici; invita, inoltre, la Commissione a incentivare le attività di pesca vietnamite individuali al fine di contribuire al rispetto delle norme in materia di sostenibilità;</w:t>
      </w:r>
    </w:p>
    <w:p w:rsidR="00313943" w:rsidRPr="00FA7BFE" w:rsidRDefault="00313943" w:rsidP="00313943">
      <w:pPr>
        <w:pStyle w:val="NormalHanging12a"/>
      </w:pPr>
      <w:r>
        <w:t>19.</w:t>
      </w:r>
      <w:r>
        <w:tab/>
        <w:t>sottolinea l'importanza di una politica commerciale responsabile quale strumento per l'attuazione degli obiettivi di sviluppo sostenibile;</w:t>
      </w:r>
    </w:p>
    <w:p w:rsidR="00313943" w:rsidRPr="00313943" w:rsidRDefault="00313943" w:rsidP="00313943">
      <w:pPr>
        <w:pStyle w:val="Normal12Hanging"/>
        <w:ind w:left="560" w:hanging="560"/>
      </w:pPr>
      <w:r>
        <w:t xml:space="preserve">20. </w:t>
      </w:r>
      <w:r>
        <w:tab/>
        <w:t xml:space="preserve">ricorda che il regolamento sulla pesca INN rappresenta lo strumento più efficace per garantire una pesca sostenibile a livello globale ed esprime preoccupazione per la concessione di condizioni commerciali preferenziali a un paese soggetto alla procedura del cartellino giallo; invita la Commissione a continuare a monitorare gli sforzi del </w:t>
      </w:r>
      <w:r>
        <w:lastRenderedPageBreak/>
        <w:t>Vietnam per garantire che il paese continui a progredire nella lotta contro la pesca INN e ad utilizzare appieno tutti gli strumenti a sua disposizione, compreso il "cartellino rosso", qualora il Vietnam non soddisfi le condizioni per una pesca sostenibile e per la sicurezza delle importazioni di pesce e prodotti ittici nel mercato dell'UE; invita la Commissione a prevedere misure di salvaguardia nei futuri accordi, quali la possibilità di sospendere le tariffe preferenziali per i prodotti ittici, fino a quando il cartellino giallo non sarà revocato.</w:t>
      </w:r>
    </w:p>
    <w:p w:rsidR="00313943" w:rsidRDefault="00313943" w:rsidP="00313943">
      <w:pPr>
        <w:sectPr w:rsidR="00313943" w:rsidSect="003139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567" w:footer="567" w:gutter="0"/>
          <w:cols w:space="720"/>
          <w:noEndnote/>
          <w:titlePg/>
        </w:sectPr>
      </w:pPr>
    </w:p>
    <w:p w:rsidR="00313943" w:rsidRPr="0099178F" w:rsidRDefault="00313943" w:rsidP="00313943">
      <w:pPr>
        <w:pStyle w:val="PageHeadingNotTOC"/>
      </w:pPr>
      <w:bookmarkStart w:id="2" w:name="RollCallPageAD"/>
      <w:r>
        <w:lastRenderedPageBreak/>
        <w:t>VOTAZIONE FINALE PER APPELLO NOMINALE</w:t>
      </w:r>
      <w:r>
        <w:br/>
        <w:t>IN SEDE DI COMMISSIONE COMPETENTE PER PARERE</w:t>
      </w:r>
    </w:p>
    <w:p w:rsidR="00313943" w:rsidRDefault="00313943" w:rsidP="0031394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13943" w:rsidRPr="00F64B87" w:rsidTr="0039159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313943" w:rsidRPr="00F079B8" w:rsidRDefault="00313943" w:rsidP="00391590">
            <w:pPr>
              <w:pStyle w:val="RollCallVotes"/>
            </w:pPr>
            <w:r>
              <w:t>22</w:t>
            </w:r>
          </w:p>
        </w:tc>
        <w:tc>
          <w:tcPr>
            <w:tcW w:w="7371" w:type="dxa"/>
            <w:shd w:val="pct10" w:color="000000" w:fill="FFFFFF"/>
          </w:tcPr>
          <w:p w:rsidR="00313943" w:rsidRPr="00AB7DBA" w:rsidRDefault="00313943" w:rsidP="00391590">
            <w:pPr>
              <w:pStyle w:val="RollCallSymbols14pt"/>
            </w:pPr>
            <w:r>
              <w:t>+</w:t>
            </w:r>
          </w:p>
        </w:tc>
      </w:tr>
      <w:tr w:rsidR="00313943" w:rsidRPr="00521D88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Pr="00F079B8" w:rsidRDefault="00313943" w:rsidP="00391590">
            <w:pPr>
              <w:pStyle w:val="RollCallTable"/>
            </w:pPr>
            <w:r>
              <w:t>ECR</w:t>
            </w:r>
          </w:p>
        </w:tc>
        <w:tc>
          <w:tcPr>
            <w:tcW w:w="7371" w:type="dxa"/>
            <w:shd w:val="clear" w:color="auto" w:fill="FFFFFF"/>
          </w:tcPr>
          <w:p w:rsidR="00313943" w:rsidRPr="00521D88" w:rsidRDefault="00313943" w:rsidP="00391590">
            <w:pPr>
              <w:pStyle w:val="RollCallTable"/>
              <w:rPr>
                <w:lang w:val="nl-NL"/>
              </w:rPr>
            </w:pPr>
            <w:r w:rsidRPr="00521D88">
              <w:rPr>
                <w:lang w:val="nl-NL"/>
              </w:rPr>
              <w:t>Bert-Jan Ruissen, Ruža Tomašić</w:t>
            </w:r>
          </w:p>
        </w:tc>
      </w:tr>
      <w:tr w:rsidR="00313943" w:rsidRPr="00F64B87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NI</w:t>
            </w:r>
          </w:p>
        </w:tc>
        <w:tc>
          <w:tcPr>
            <w:tcW w:w="737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Rosa D'Amato</w:t>
            </w:r>
          </w:p>
        </w:tc>
      </w:tr>
      <w:tr w:rsidR="00313943" w:rsidRPr="00313943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PPE</w:t>
            </w:r>
          </w:p>
        </w:tc>
        <w:tc>
          <w:tcPr>
            <w:tcW w:w="737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Peter van Dalen, Niclas Herbst, Jeroen Lenaers, Francisco José Millán Mon, Cláudia Monteiro de Aguiar, Maria Walsh, Theodoros Zagorakis</w:t>
            </w:r>
          </w:p>
        </w:tc>
      </w:tr>
      <w:tr w:rsidR="00313943" w:rsidRPr="00313943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RENEW</w:t>
            </w:r>
          </w:p>
        </w:tc>
        <w:tc>
          <w:tcPr>
            <w:tcW w:w="737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Izaskun Bilbao Barandica, Chris Davies, Pierre Karleskind</w:t>
            </w:r>
          </w:p>
        </w:tc>
      </w:tr>
      <w:tr w:rsidR="00313943" w:rsidRPr="00313943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S&amp;D</w:t>
            </w:r>
          </w:p>
        </w:tc>
        <w:tc>
          <w:tcPr>
            <w:tcW w:w="737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Clara Aguilera, Pietro Bartolo, Richard Corbett, Nicolás González Casares, Predrag Fred Matić, Manuel Pizarro</w:t>
            </w:r>
          </w:p>
        </w:tc>
      </w:tr>
      <w:tr w:rsidR="00313943" w:rsidRPr="00313943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Christian Allard, Francisco Guerreiro, Grace O'Sullivan</w:t>
            </w:r>
          </w:p>
        </w:tc>
      </w:tr>
    </w:tbl>
    <w:p w:rsidR="00313943" w:rsidRPr="00521D88" w:rsidRDefault="00313943" w:rsidP="0031394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13943" w:rsidRPr="00F64B87" w:rsidTr="0039159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313943" w:rsidRPr="00BF54D6" w:rsidRDefault="00313943" w:rsidP="00391590">
            <w:pPr>
              <w:pStyle w:val="RollCallVotes"/>
            </w:pPr>
            <w:r>
              <w:t>2</w:t>
            </w:r>
          </w:p>
        </w:tc>
        <w:tc>
          <w:tcPr>
            <w:tcW w:w="7371" w:type="dxa"/>
            <w:shd w:val="pct10" w:color="000000" w:fill="FFFFFF"/>
          </w:tcPr>
          <w:p w:rsidR="00313943" w:rsidRPr="00AB7DBA" w:rsidRDefault="00313943" w:rsidP="00391590">
            <w:pPr>
              <w:pStyle w:val="RollCallSymbols14pt"/>
            </w:pPr>
            <w:r>
              <w:t>-</w:t>
            </w:r>
          </w:p>
        </w:tc>
      </w:tr>
      <w:tr w:rsidR="00313943" w:rsidRPr="00F64B87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Pr="00F079B8" w:rsidRDefault="00313943" w:rsidP="00391590">
            <w:pPr>
              <w:pStyle w:val="RollCallTable"/>
            </w:pPr>
            <w:r>
              <w:t>GUE/NGL</w:t>
            </w:r>
          </w:p>
        </w:tc>
        <w:tc>
          <w:tcPr>
            <w:tcW w:w="7371" w:type="dxa"/>
            <w:shd w:val="clear" w:color="auto" w:fill="FFFFFF"/>
          </w:tcPr>
          <w:p w:rsidR="00313943" w:rsidRPr="00F079B8" w:rsidRDefault="00313943" w:rsidP="00391590">
            <w:pPr>
              <w:pStyle w:val="RollCallTable"/>
            </w:pPr>
            <w:r>
              <w:t>João Ferreira</w:t>
            </w:r>
          </w:p>
        </w:tc>
      </w:tr>
      <w:tr w:rsidR="00313943" w:rsidRPr="00F64B87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NI</w:t>
            </w:r>
          </w:p>
        </w:tc>
        <w:tc>
          <w:tcPr>
            <w:tcW w:w="7371" w:type="dxa"/>
            <w:shd w:val="clear" w:color="auto" w:fill="FFFFFF"/>
          </w:tcPr>
          <w:p w:rsidR="00313943" w:rsidRDefault="00313943" w:rsidP="00391590">
            <w:pPr>
              <w:pStyle w:val="RollCallTable"/>
            </w:pPr>
            <w:r>
              <w:t>June Alison Mummery</w:t>
            </w:r>
          </w:p>
        </w:tc>
      </w:tr>
    </w:tbl>
    <w:p w:rsidR="00313943" w:rsidRDefault="00313943" w:rsidP="0031394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13943" w:rsidRPr="00F64B87" w:rsidTr="0039159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313943" w:rsidRPr="00BF54D6" w:rsidRDefault="00313943" w:rsidP="00391590">
            <w:pPr>
              <w:pStyle w:val="RollCallVotes"/>
            </w:pPr>
            <w:r>
              <w:t>2</w:t>
            </w:r>
          </w:p>
        </w:tc>
        <w:tc>
          <w:tcPr>
            <w:tcW w:w="7371" w:type="dxa"/>
            <w:shd w:val="pct10" w:color="000000" w:fill="FFFFFF"/>
          </w:tcPr>
          <w:p w:rsidR="00313943" w:rsidRPr="00AB7DBA" w:rsidRDefault="00313943" w:rsidP="00391590">
            <w:pPr>
              <w:pStyle w:val="RollCallSymbols14pt"/>
            </w:pPr>
            <w:r>
              <w:t>0</w:t>
            </w:r>
          </w:p>
        </w:tc>
      </w:tr>
      <w:tr w:rsidR="00313943" w:rsidRPr="00F64B87" w:rsidTr="00391590">
        <w:trPr>
          <w:cantSplit/>
        </w:trPr>
        <w:tc>
          <w:tcPr>
            <w:tcW w:w="1701" w:type="dxa"/>
            <w:shd w:val="clear" w:color="auto" w:fill="FFFFFF"/>
          </w:tcPr>
          <w:p w:rsidR="00313943" w:rsidRPr="00F079B8" w:rsidRDefault="00313943" w:rsidP="00391590">
            <w:pPr>
              <w:pStyle w:val="RollCallTable"/>
            </w:pPr>
            <w:r>
              <w:t>ID</w:t>
            </w:r>
          </w:p>
        </w:tc>
        <w:tc>
          <w:tcPr>
            <w:tcW w:w="7371" w:type="dxa"/>
            <w:shd w:val="clear" w:color="auto" w:fill="FFFFFF"/>
          </w:tcPr>
          <w:p w:rsidR="00313943" w:rsidRPr="00F079B8" w:rsidRDefault="00313943" w:rsidP="00391590">
            <w:pPr>
              <w:pStyle w:val="RollCallTable"/>
            </w:pPr>
            <w:r>
              <w:t>Rosanna Conte, Maxette Pirbakas</w:t>
            </w:r>
          </w:p>
        </w:tc>
      </w:tr>
    </w:tbl>
    <w:p w:rsidR="00313943" w:rsidRDefault="00313943" w:rsidP="00B735E3"/>
    <w:p w:rsidR="00313943" w:rsidRDefault="00313943" w:rsidP="00B735E3"/>
    <w:p w:rsidR="00313943" w:rsidRDefault="00313943" w:rsidP="00B735E3">
      <w:r>
        <w:t>Significato dei simboli utilizzati:</w:t>
      </w:r>
    </w:p>
    <w:p w:rsidR="00313943" w:rsidRPr="00313943" w:rsidRDefault="00313943" w:rsidP="003858C5">
      <w:pPr>
        <w:pStyle w:val="RollCallTabs"/>
      </w:pPr>
      <w:r>
        <w:t>+</w:t>
      </w:r>
      <w:r>
        <w:tab/>
        <w:t>:</w:t>
      </w:r>
      <w:r>
        <w:tab/>
        <w:t>favorevoli</w:t>
      </w:r>
    </w:p>
    <w:p w:rsidR="00313943" w:rsidRPr="00313943" w:rsidRDefault="00313943" w:rsidP="003858C5">
      <w:pPr>
        <w:pStyle w:val="RollCallTabs"/>
      </w:pPr>
      <w:r>
        <w:t>-</w:t>
      </w:r>
      <w:r>
        <w:tab/>
        <w:t>:</w:t>
      </w:r>
      <w:r>
        <w:tab/>
        <w:t>contrari</w:t>
      </w:r>
    </w:p>
    <w:p w:rsidR="00313943" w:rsidRPr="00313943" w:rsidRDefault="00313943" w:rsidP="003858C5">
      <w:pPr>
        <w:pStyle w:val="RollCallTabs"/>
      </w:pPr>
      <w:r>
        <w:t>0</w:t>
      </w:r>
      <w:r>
        <w:tab/>
        <w:t>:</w:t>
      </w:r>
      <w:r>
        <w:tab/>
        <w:t>astenuti</w:t>
      </w:r>
    </w:p>
    <w:p w:rsidR="00313943" w:rsidRDefault="00313943" w:rsidP="00207509"/>
    <w:bookmarkEnd w:id="2"/>
    <w:p w:rsidR="002E2F2E" w:rsidRPr="00313943" w:rsidRDefault="002E2F2E" w:rsidP="00313943"/>
    <w:sectPr w:rsidR="002E2F2E" w:rsidRPr="00313943" w:rsidSect="00313943"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B1" w:rsidRPr="005E23F7" w:rsidRDefault="000003B1">
      <w:r w:rsidRPr="005E23F7">
        <w:separator/>
      </w:r>
    </w:p>
  </w:endnote>
  <w:endnote w:type="continuationSeparator" w:id="0">
    <w:p w:rsidR="000003B1" w:rsidRPr="005E23F7" w:rsidRDefault="000003B1">
      <w:r w:rsidRPr="005E23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54" w:rsidRDefault="00F36F54" w:rsidP="00F36F54">
    <w:pPr>
      <w:pStyle w:val="Footer"/>
    </w:pPr>
    <w:r>
      <w:t>PE</w:t>
    </w:r>
    <w:r w:rsidRPr="00F36F54">
      <w:rPr>
        <w:rStyle w:val="HideTWBExt"/>
      </w:rPr>
      <w:t>&lt;NoPE&gt;</w:t>
    </w:r>
    <w:r>
      <w:t>641.153</w:t>
    </w:r>
    <w:r w:rsidRPr="00F36F54">
      <w:rPr>
        <w:rStyle w:val="HideTWBExt"/>
      </w:rPr>
      <w:t>&lt;/NoPE&gt;&lt;Version&gt;</w:t>
    </w:r>
    <w:r>
      <w:t>v04-00</w:t>
    </w:r>
    <w:r w:rsidRPr="00F36F54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21D88">
      <w:rPr>
        <w:noProof/>
      </w:rPr>
      <w:t>6</w:t>
    </w:r>
    <w:r>
      <w:fldChar w:fldCharType="end"/>
    </w:r>
    <w:r>
      <w:t>/</w:t>
    </w:r>
    <w:fldSimple w:instr=" NUMPAGES  \* MERGEFORMAT ">
      <w:r w:rsidR="00521D88">
        <w:rPr>
          <w:noProof/>
        </w:rPr>
        <w:t>8</w:t>
      </w:r>
    </w:fldSimple>
    <w:r>
      <w:tab/>
    </w:r>
    <w:r w:rsidRPr="00F36F54">
      <w:rPr>
        <w:rStyle w:val="HideTWBExt"/>
      </w:rPr>
      <w:t>&lt;PathFdR&gt;</w:t>
    </w:r>
    <w:r>
      <w:t>AD\1194264IT.docx</w:t>
    </w:r>
    <w:r w:rsidRPr="00F36F54">
      <w:rPr>
        <w:rStyle w:val="HideTWBExt"/>
      </w:rPr>
      <w:t>&lt;/PathFdR&gt;</w:t>
    </w:r>
  </w:p>
  <w:p w:rsidR="002E2F2E" w:rsidRPr="005E23F7" w:rsidRDefault="00F36F54" w:rsidP="00F36F54">
    <w:pPr>
      <w:pStyle w:val="Footer2"/>
    </w:pPr>
    <w:r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54" w:rsidRDefault="00F36F54" w:rsidP="00F36F54">
    <w:pPr>
      <w:pStyle w:val="Footer"/>
    </w:pPr>
    <w:r w:rsidRPr="00F36F54">
      <w:rPr>
        <w:rStyle w:val="HideTWBExt"/>
      </w:rPr>
      <w:t>&lt;PathFdR&gt;</w:t>
    </w:r>
    <w:r>
      <w:t>AD\1194264IT.docx</w:t>
    </w:r>
    <w:r w:rsidRPr="00F36F54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21D88">
      <w:rPr>
        <w:noProof/>
      </w:rPr>
      <w:t>5</w:t>
    </w:r>
    <w:r>
      <w:fldChar w:fldCharType="end"/>
    </w:r>
    <w:r>
      <w:t>/</w:t>
    </w:r>
    <w:fldSimple w:instr=" NUMPAGES  \* MERGEFORMAT ">
      <w:r w:rsidR="00521D88">
        <w:rPr>
          <w:noProof/>
        </w:rPr>
        <w:t>8</w:t>
      </w:r>
    </w:fldSimple>
    <w:r>
      <w:tab/>
      <w:t>PE</w:t>
    </w:r>
    <w:r w:rsidRPr="00F36F54">
      <w:rPr>
        <w:rStyle w:val="HideTWBExt"/>
      </w:rPr>
      <w:t>&lt;NoPE&gt;</w:t>
    </w:r>
    <w:r>
      <w:t>641.153</w:t>
    </w:r>
    <w:r w:rsidRPr="00F36F54">
      <w:rPr>
        <w:rStyle w:val="HideTWBExt"/>
      </w:rPr>
      <w:t>&lt;/NoPE&gt;&lt;Version&gt;</w:t>
    </w:r>
    <w:r>
      <w:t>v04-00</w:t>
    </w:r>
    <w:r w:rsidRPr="00F36F54">
      <w:rPr>
        <w:rStyle w:val="HideTWBExt"/>
      </w:rPr>
      <w:t>&lt;/Version&gt;</w:t>
    </w:r>
  </w:p>
  <w:p w:rsidR="002E2F2E" w:rsidRPr="005E23F7" w:rsidRDefault="00F36F54" w:rsidP="00F36F54">
    <w:pPr>
      <w:pStyle w:val="Footer2"/>
    </w:pPr>
    <w:r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54" w:rsidRDefault="00F36F54" w:rsidP="00F36F54">
    <w:pPr>
      <w:pStyle w:val="Footer"/>
    </w:pPr>
    <w:r w:rsidRPr="00F36F54">
      <w:rPr>
        <w:rStyle w:val="HideTWBExt"/>
      </w:rPr>
      <w:t>&lt;PathFdR&gt;</w:t>
    </w:r>
    <w:r>
      <w:t>AD\1194264IT.docx</w:t>
    </w:r>
    <w:r w:rsidRPr="00F36F54">
      <w:rPr>
        <w:rStyle w:val="HideTWBExt"/>
      </w:rPr>
      <w:t>&lt;/PathFdR&gt;</w:t>
    </w:r>
    <w:r>
      <w:tab/>
    </w:r>
    <w:r>
      <w:tab/>
      <w:t>PE</w:t>
    </w:r>
    <w:r w:rsidRPr="00F36F54">
      <w:rPr>
        <w:rStyle w:val="HideTWBExt"/>
      </w:rPr>
      <w:t>&lt;NoPE&gt;</w:t>
    </w:r>
    <w:r>
      <w:t>641.153</w:t>
    </w:r>
    <w:r w:rsidRPr="00F36F54">
      <w:rPr>
        <w:rStyle w:val="HideTWBExt"/>
      </w:rPr>
      <w:t>&lt;/NoPE&gt;&lt;Version&gt;</w:t>
    </w:r>
    <w:r>
      <w:t>v04-00</w:t>
    </w:r>
    <w:r w:rsidRPr="00F36F54">
      <w:rPr>
        <w:rStyle w:val="HideTWBExt"/>
      </w:rPr>
      <w:t>&lt;/Version&gt;</w:t>
    </w:r>
  </w:p>
  <w:p w:rsidR="002E2F2E" w:rsidRPr="005E23F7" w:rsidRDefault="00F36F54" w:rsidP="00F36F54">
    <w:pPr>
      <w:pStyle w:val="Footer2"/>
      <w:tabs>
        <w:tab w:val="center" w:pos="4535"/>
      </w:tabs>
    </w:pPr>
    <w:r>
      <w:t>IT</w:t>
    </w:r>
    <w:r>
      <w:tab/>
    </w:r>
    <w:r w:rsidRPr="00F36F54"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B1" w:rsidRPr="005E23F7" w:rsidRDefault="000003B1">
      <w:r w:rsidRPr="005E23F7">
        <w:separator/>
      </w:r>
    </w:p>
  </w:footnote>
  <w:footnote w:type="continuationSeparator" w:id="0">
    <w:p w:rsidR="000003B1" w:rsidRPr="005E23F7" w:rsidRDefault="000003B1">
      <w:r w:rsidRPr="005E23F7">
        <w:continuationSeparator/>
      </w:r>
    </w:p>
  </w:footnote>
  <w:footnote w:id="1">
    <w:p w:rsidR="00313943" w:rsidRDefault="00313943" w:rsidP="00313943">
      <w:pPr>
        <w:pStyle w:val="FootnoteText"/>
      </w:pPr>
      <w:r>
        <w:rPr>
          <w:rStyle w:val="FootnoteReference"/>
        </w:rPr>
        <w:footnoteRef/>
      </w:r>
      <w:r>
        <w:t>GU L 354, del 28.12.2013, pag. 22.</w:t>
      </w:r>
    </w:p>
  </w:footnote>
  <w:footnote w:id="2">
    <w:p w:rsidR="00313943" w:rsidRDefault="00313943" w:rsidP="00313943">
      <w:pPr>
        <w:pStyle w:val="FootnoteText"/>
      </w:pPr>
      <w:r>
        <w:rPr>
          <w:rStyle w:val="FootnoteReference"/>
        </w:rPr>
        <w:footnoteRef/>
      </w:r>
      <w:r>
        <w:t xml:space="preserve"> Testi approvati, P8_TA(2018)0223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43" w:rsidRDefault="00313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43" w:rsidRDefault="00313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43" w:rsidRDefault="00313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JMNU" w:val="1"/>
    <w:docVar w:name="COM2KEY" w:val="INTA"/>
    <w:docVar w:name="COMKEY" w:val="PECH"/>
    <w:docVar w:name="LastEditedSection" w:val=" 1"/>
    <w:docVar w:name="PROCMNU" w:val=" 4"/>
    <w:docVar w:name="RepeatBlock-AmendIT" w:val="{\rtf1\adeflang1025\ansi\ansicpg1252\uc1\adeff0\deff0\stshfdbch0\stshfloch0\stshfhich0\stshfbi0\deflang2057\deflangfe2057\themelang2057\themelangfe0\themelangcs1108{\fonttbl{\f0\fbidi \froman\fcharset0\fprq2{\*\panose 02020603050405020304}Times New Roman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0\fbidi \froman\fcharset238\fprq2 Times New Roman CE;}{\f291\fbidi \froman\fcharset204\fprq2 Times New Roman Cyr;}_x000d__x000a_{\f293\fbidi \froman\fcharset161\fprq2 Times New Roman Greek;}{\f294\fbidi \froman\fcharset162\fprq2 Times New Roman Tur;}{\f295\fbidi \froman\fcharset177\fprq2 Times New Roman (Hebrew);}{\f296\fbidi \froman\fcharset178\fprq2 Times New Roman (Arabic);}_x000d__x000a_{\f297\fbidi \froman\fcharset186\fprq2 Times New Roman Baltic;}{\f298\fbidi \froman\fcharset163\fprq2 Times New Roman (Vietnamese);}{\f630\fbidi \froman\fcharset238\fprq2 Cambria Math CE;}{\f631\fbidi \froman\fcharset204\fprq2 Cambria Math Cyr;}_x000d__x000a_{\f633\fbidi \froman\fcharset161\fprq2 Cambria Math Greek;}{\f634\fbidi \froman\fcharset162\fprq2 Cambria Math Tur;}{\f637\fbidi \froman\fcharset186\fprq2 Cambria Math Baltic;}{\f63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cf15 \spriority0 \styrsid16655731 HideTWBInt;}{_x000d__x000a_\s18\ql \fi-567\li567\ri0\sa240\nowidctlpar\wrapdefault\aspalpha\aspnum\faauto\adjustright\rin0\lin567\itap0 \rtlch\fcs1 \af0\afs20\alang1025 \ltrch\fcs0 \fs24\lang1040\langfe2057\cgrid\langnp1040\langfenp2057 _x000d__x000a_\sbasedon0 \snext18 \spriority0 \styrsid16655731 Normal12Hanging;}}{\*\rsidtbl \rsid24658\rsid223860\rsid735077\rsid1718133\rsid2892074\rsid3565327\rsid4666813\rsid6641733\rsid7823322\rsid9636012\rsid10238017\rsid10377208\rsid11215221\rsid11549030_x000d__x000a_\rsid12154954\rsid14382809\rsid14424199\rsid15204470\rsid15285974\rsid15950462\rsid16324206\rsid16655731\rsid16662270}{\mmathPr\mmathFont34\mbrkBin0\mbrkBinSub0\msmallFrac0\mdispDef1\mlMargin0\mrMargin0\mdefJc1\mwrapIndent1440\mintLim0\mnaryLim1}{\info_x000d__x000a_{\author LOPS Maria Arcangela}{\operator LOPS Maria Arcangela}{\creatim\yr2019\mo12\dy10\hr9\min34}{\revtim\yr2019\mo12\dy10\hr9\min34}{\version1}{\edmins0}{\nofpages1}{\nofwords2}{\nofchars16}{\nofcharsws17}{\vern99}}{\*\xmlnstbl {\xmlns1 http://schemas._x000d__x000a_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30\pgbrdrhead\pgbrdrfoot\splytwnine\ftnlytwnine\htmautsp\nolnhtadjtbl\useltbaln\alntblind\lytcalctblwd\lyttblrtgr\lnbrkrule\nobrkwrptbl\snaptogridincell\allowfieldendsel\wrppunct_x000d__x000a_\asianbrkrule\nojkernpunct\rsidroot1665573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lop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23801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3801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3801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3801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6655731 \rtlch\fcs1 \af0\afs20\alang1025 \ltrch\fcs0 \fs24\lang1040\langfe2057\cgrid\langnp1040\langfenp2057 {\rtlch\fcs1 \af0 _x000d__x000a_\ltrch\fcs0 \insrsid16655731\charrsid10764771 {\*\bkmkstart restart}#}{\rtlch\fcs1 \af0 \ltrch\fcs0 \cs17\v\cf15\dbch\af31501\insrsid16655731\charrsid10764771 \hich\af0\dbch\af31501\loch\f0 NRMSG}{\rtlch\fcs1 \af0 \ltrch\fcs0 _x000d__x000a_\insrsid16655731\charrsid10764771 #.\tab #}{\rtlch\fcs1 \af0 \ltrch\fcs0 \cs17\v\cf15\dbch\af31501\insrsid16655731\charrsid10764771 \hich\af0\dbch\af31501\loch\f0 TESTO}{\rtlch\fcs1 \af0 \ltrch\fcs0 \insrsid16655731\charrsid10764771 #}{\rtlch\fcs1 \af0 _x000d__x000a_\ltrch\fcs0 \insrsid16655731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b_x000d__x000a_8b9834af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0\fbidi \froman\fcharset238\fprq2 Times New Roman CE;}{\f291\fbidi \froman\fcharset204\fprq2 Times New Roman Cyr;}_x000d__x000a_{\f293\fbidi \froman\fcharset161\fprq2 Times New Roman Greek;}{\f294\fbidi \froman\fcharset162\fprq2 Times New Roman Tur;}{\f295\fbidi \froman\fcharset177\fprq2 Times New Roman (Hebrew);}{\f296\fbidi \froman\fcharset178\fprq2 Times New Roman (Arabic);}_x000d__x000a_{\f297\fbidi \froman\fcharset186\fprq2 Times New Roman Baltic;}{\f298\fbidi \froman\fcharset163\fprq2 Times New Roman (Vietnamese);}{\f630\fbidi \froman\fcharset238\fprq2 Cambria Math CE;}{\f631\fbidi \froman\fcharset204\fprq2 Cambria Math Cyr;}_x000d__x000a_{\f633\fbidi \froman\fcharset161\fprq2 Cambria Math Greek;}{\f634\fbidi \froman\fcharset162\fprq2 Cambria Math Tur;}{\f637\fbidi \froman\fcharset186\fprq2 Cambria Math Baltic;}{\f63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s17\ql \fi-567\li567\ri0\sa240\nowidctlpar\wrapdefault\aspalpha\aspnum\faauto\adjustright\rin0\lin567\itap0 \rtlch\fcs1 \af0\afs20\alang1025 \ltrch\fcs0 _x000d__x000a_\fs24\lang2057\langfe2057\cgrid\langnp2057\langfenp2057 \sbasedon0 \snext17 \spriority0 \styrsid12866049 Normal12Hanging;}}{\*\rsidtbl \rsid24658\rsid223860\rsid735077\rsid1718133\rsid2892074\rsid3565327\rsid4666813\rsid6641733\rsid7823322\rsid9636012_x000d__x000a_\rsid10377208\rsid11215221\rsid11549030\rsid12154954\rsid12866049\rsid14102169\rsid14382809\rsid14424199\rsid15204470\rsid15285974\rsid15950462\rsid16324206\rsid16662270}{\mmathPr\mmathFont34\mbrkBin0\mbrkBinSub0\msmallFrac0\mdispDef1\mlMargin0\mrMargin0_x000d__x000a_\mdefJc1\mwrapIndent1440\mintLim0\mnaryLim1}{\info{\author LOPS Maria Arcangela}{\operator LOPS Maria Arcangela}{\creatim\yr2019\mo12\dy10\hr9\min34}{\revtim\yr2019\mo12\dy10\hr9\min34}{\version1}{\edmins0}{\nofpages1}{\nofwords5}{\nofchars30}_x000d__x000a_{\nofcharsws34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30\pgbrdrhead\pgbrdrfoot\splytwnine\ftnlytwnine\htmautsp\nolnhtadjtbl\useltbaln\alntblind\lytcalctblwd\lyttblrtgr\lnbrkrule\nobrkwrptbl\snaptogridincell\allowfieldendsel\wrppunct_x000d__x000a_\asianbrkrule\nojkernpunct\rsidroot1286604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lop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10216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1021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1021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10216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7\ql \fi-567\li567\ri0\sa240\nowidctlpar\wrapdefault\aspalpha\aspnum\faauto\adjustright\rin0\lin567\itap0\pararsid12866049 \rtlch\fcs1 \af0\afs20\alang1025 \ltrch\fcs0 \fs24\lang2057\langfe2057\cgrid\langnp2057\langfenp2057 {\rtlch\fcs1 \af0 _x000d__x000a_\ltrch\fcs0 \insrsid12866049\charrsid1525456 {\*\bkmkstart restart}[ZSUGGESTIONNR]\tab [ZSUGGESTIONTEXT]}{\rtlch\fcs1 \af0 \ltrch\fcs0 \insrsid12866049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2_x000d__x000a_b09934af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94"/>
    <w:docVar w:name="TXTLANGUE" w:val="IT"/>
    <w:docVar w:name="TXTLANGUEMIN" w:val="it"/>
    <w:docVar w:name="TXTNRPE" w:val="641.153"/>
    <w:docVar w:name="TXTNRPROC" w:val="2018/0356 M"/>
    <w:docVar w:name="TXTPEorAP" w:val="PE"/>
    <w:docVar w:name="TXTROUTE" w:val="AD\1194264IT.docx"/>
    <w:docVar w:name="TXTTITLE" w:val="on  the draft Council decision on the conclusion of the Free Trade Agreement between the European Union and the Socialist Republic of Viet Nam"/>
    <w:docVar w:name="TXTVERSION" w:val="04-00"/>
  </w:docVars>
  <w:rsids>
    <w:rsidRoot w:val="000003B1"/>
    <w:rsid w:val="000003B1"/>
    <w:rsid w:val="000E7EBF"/>
    <w:rsid w:val="00140BE6"/>
    <w:rsid w:val="00157098"/>
    <w:rsid w:val="0016635E"/>
    <w:rsid w:val="001746D0"/>
    <w:rsid w:val="001D2ED9"/>
    <w:rsid w:val="002E2F2E"/>
    <w:rsid w:val="00313943"/>
    <w:rsid w:val="00325BCB"/>
    <w:rsid w:val="003567F8"/>
    <w:rsid w:val="003828DB"/>
    <w:rsid w:val="00390EB2"/>
    <w:rsid w:val="00396A0E"/>
    <w:rsid w:val="003E2402"/>
    <w:rsid w:val="004C28FB"/>
    <w:rsid w:val="00521D88"/>
    <w:rsid w:val="0054236E"/>
    <w:rsid w:val="005B2F11"/>
    <w:rsid w:val="005D60C6"/>
    <w:rsid w:val="005E23F7"/>
    <w:rsid w:val="00657AFB"/>
    <w:rsid w:val="006A1D84"/>
    <w:rsid w:val="006B4229"/>
    <w:rsid w:val="0077632F"/>
    <w:rsid w:val="008313E7"/>
    <w:rsid w:val="0088288B"/>
    <w:rsid w:val="008A32C5"/>
    <w:rsid w:val="008F7002"/>
    <w:rsid w:val="009A7944"/>
    <w:rsid w:val="00A16BEA"/>
    <w:rsid w:val="00A72C35"/>
    <w:rsid w:val="00B362F7"/>
    <w:rsid w:val="00BD1EAA"/>
    <w:rsid w:val="00C42255"/>
    <w:rsid w:val="00C93356"/>
    <w:rsid w:val="00DF580B"/>
    <w:rsid w:val="00E71AE4"/>
    <w:rsid w:val="00E856D2"/>
    <w:rsid w:val="00EE3535"/>
    <w:rsid w:val="00F36F54"/>
    <w:rsid w:val="00FB4A40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9CE5CE"/>
  <w15:chartTrackingRefBased/>
  <w15:docId w15:val="{15E72891-55DA-4FFE-892F-38DEDB1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12Hanging">
    <w:name w:val="Normal12Hanging"/>
    <w:basedOn w:val="Normal12"/>
    <w:rsid w:val="008313E7"/>
    <w:pPr>
      <w:ind w:left="567" w:hanging="567"/>
    </w:pPr>
  </w:style>
  <w:style w:type="paragraph" w:customStyle="1" w:styleId="NormalHanging12a">
    <w:name w:val="NormalHanging12a"/>
    <w:basedOn w:val="Normal"/>
    <w:link w:val="NormalHanging12aChar"/>
    <w:rsid w:val="00313943"/>
    <w:pPr>
      <w:spacing w:after="240"/>
      <w:ind w:left="567" w:hanging="567"/>
    </w:pPr>
  </w:style>
  <w:style w:type="character" w:customStyle="1" w:styleId="NormalHanging12aChar">
    <w:name w:val="NormalHanging12a Char"/>
    <w:link w:val="NormalHanging12a"/>
    <w:rsid w:val="00313943"/>
    <w:rPr>
      <w:sz w:val="24"/>
      <w:lang w:val="it-IT"/>
    </w:rPr>
  </w:style>
  <w:style w:type="paragraph" w:styleId="FootnoteText">
    <w:name w:val="footnote text"/>
    <w:basedOn w:val="Normal"/>
    <w:link w:val="FootnoteTextChar"/>
    <w:rsid w:val="0031394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13943"/>
    <w:rPr>
      <w:lang w:val="it-IT"/>
    </w:rPr>
  </w:style>
  <w:style w:type="character" w:styleId="FootnoteReference">
    <w:name w:val="footnote reference"/>
    <w:rsid w:val="00313943"/>
    <w:rPr>
      <w:vertAlign w:val="superscript"/>
    </w:rPr>
  </w:style>
  <w:style w:type="paragraph" w:customStyle="1" w:styleId="Normal12a">
    <w:name w:val="Normal12a"/>
    <w:basedOn w:val="Normal"/>
    <w:rsid w:val="00313943"/>
    <w:pPr>
      <w:spacing w:after="240"/>
    </w:pPr>
  </w:style>
  <w:style w:type="paragraph" w:customStyle="1" w:styleId="RollCallSymbols14pt">
    <w:name w:val="RollCallSymbols14pt"/>
    <w:basedOn w:val="Normal"/>
    <w:rsid w:val="00313943"/>
    <w:pPr>
      <w:spacing w:before="120" w:after="120"/>
      <w:jc w:val="center"/>
    </w:pPr>
    <w:rPr>
      <w:rFonts w:ascii="Arial" w:hAnsi="Arial"/>
      <w:b/>
      <w:bCs/>
      <w:snapToGrid w:val="0"/>
      <w:sz w:val="28"/>
      <w:lang w:eastAsia="en-US"/>
    </w:rPr>
  </w:style>
  <w:style w:type="paragraph" w:customStyle="1" w:styleId="RollCallTabs">
    <w:name w:val="RollCallTabs"/>
    <w:basedOn w:val="Normal"/>
    <w:qFormat/>
    <w:rsid w:val="00313943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RollCallVotes">
    <w:name w:val="RollCallVotes"/>
    <w:basedOn w:val="Normal"/>
    <w:rsid w:val="00313943"/>
    <w:pPr>
      <w:spacing w:before="120" w:after="120"/>
      <w:jc w:val="center"/>
    </w:pPr>
    <w:rPr>
      <w:b/>
      <w:bCs/>
      <w:snapToGrid w:val="0"/>
      <w:sz w:val="16"/>
      <w:lang w:eastAsia="en-US"/>
    </w:rPr>
  </w:style>
  <w:style w:type="paragraph" w:customStyle="1" w:styleId="RollCallTable">
    <w:name w:val="RollCallTable"/>
    <w:basedOn w:val="Normal"/>
    <w:rsid w:val="00313943"/>
    <w:pPr>
      <w:spacing w:before="120" w:after="120"/>
    </w:pPr>
    <w:rPr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LOPS Maria Arcangela</dc:creator>
  <cp:keywords/>
  <dc:description/>
  <cp:lastModifiedBy>BIANCHETTI Laura</cp:lastModifiedBy>
  <cp:revision>2</cp:revision>
  <cp:lastPrinted>2004-10-28T10:33:00Z</cp:lastPrinted>
  <dcterms:created xsi:type="dcterms:W3CDTF">2019-12-17T14:21:00Z</dcterms:created>
  <dcterms:modified xsi:type="dcterms:W3CDTF">2019-12-17T14:21:00Z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1194264</vt:lpwstr>
  </property>
  <property fmtid="{D5CDD505-2E9C-101B-9397-08002B2CF9AE}" pid="5" name="&lt;Type&gt;">
    <vt:lpwstr>AD</vt:lpwstr>
  </property>
  <property fmtid="{D5CDD505-2E9C-101B-9397-08002B2CF9AE}" pid="6" name="&lt;ModelCod&gt;">
    <vt:lpwstr>\\eiciLUXpr1\pdocep$\DocEP\DOCS\General\PA\PA_NonLeg.dot(06/02/2019 08:44:12)</vt:lpwstr>
  </property>
  <property fmtid="{D5CDD505-2E9C-101B-9397-08002B2CF9AE}" pid="7" name="&lt;ModelTra&gt;">
    <vt:lpwstr>\\eiciLUXpr1\pdocep$\DocEP\TRANSFIL\IT\PA_NonLeg.IT(07/02/2018 17:28:20)</vt:lpwstr>
  </property>
  <property fmtid="{D5CDD505-2E9C-101B-9397-08002B2CF9AE}" pid="8" name="&lt;Model&gt;">
    <vt:lpwstr>PA_NonLeg</vt:lpwstr>
  </property>
  <property fmtid="{D5CDD505-2E9C-101B-9397-08002B2CF9AE}" pid="9" name="FooterPath">
    <vt:lpwstr>AD\1194264IT.docx</vt:lpwstr>
  </property>
  <property fmtid="{D5CDD505-2E9C-101B-9397-08002B2CF9AE}" pid="10" name="PE number">
    <vt:lpwstr>641.153</vt:lpwstr>
  </property>
  <property fmtid="{D5CDD505-2E9C-101B-9397-08002B2CF9AE}" pid="11" name="SubscribeElise">
    <vt:lpwstr/>
  </property>
  <property fmtid="{D5CDD505-2E9C-101B-9397-08002B2CF9AE}" pid="12" name="Bookout">
    <vt:lpwstr>OK - 2019/12/17 15:21</vt:lpwstr>
  </property>
  <property fmtid="{D5CDD505-2E9C-101B-9397-08002B2CF9AE}" pid="13" name="SDLStudio">
    <vt:lpwstr/>
  </property>
  <property fmtid="{D5CDD505-2E9C-101B-9397-08002B2CF9AE}" pid="14" name="&lt;Extension&gt;">
    <vt:lpwstr>IT</vt:lpwstr>
  </property>
</Properties>
</file>