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Evropský parlament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59191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{PECH}</w:t>
      </w:r>
      <w:r>
        <w:t>Výbor pro rybolov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2019/2085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(DEC)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15/11/2019</w:t>
      </w:r>
      <w:r>
        <w:rPr>
          <w:rStyle w:val="HideTWBInt"/>
        </w:rPr>
        <w:t>}</w:t>
      </w:r>
      <w:r>
        <w:t>15. 11. 2019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POZMĚŇOVACÍ NÁVRHY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1 - 11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PE642.908v01-00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Udělení absolutoria za rok 2018: Evropská agentura pro kontrolu rybolovu (EFCA)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2019/2085(DEC)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vyjadřuje uspokojení nad tím, že Účetní dvůr prohlásil operace, na nichž se zakládá účetní závěrka agentury za rozpočtový rok 2018, za legální a správné;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vyjadřuje uspokojení nad tím, že Účetní dvůr prohlásil operace, na nichž se zakládá účetní závěrka agentury za rozpočtový rok 2018, za legální a správné;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zdůrazňuje, že Evropský účetní dvůr nevyjádřil žádné otevřené výhrady;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poukazuje na to, že navzdory výraznému navýšení rozpočtu od roku 2017 v souvislosti s novými povinnostmi čerpala agentura v roce 2018 úspěšně svůj rozpočet, přičemž míra čerpání prostředků na závazky činila 99,7 % a prostředků na platby 87,6 %, a to v souladu s výsledky v předchozích letech;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poukazuje na to, že navzdory výraznému navýšení rozpočtu od roku 2017 v souvislosti s novými povinnostmi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 oblasti podpory - ve spolupráci s Evropskou agenturou pro pohraniční a pobřežní stráž a Evropskou agenturou pro námořní bezpečnost - funkcí pobřežní stráže na vnitrostátní i unijní úrovni</w:t>
            </w:r>
            <w:r>
              <w:t xml:space="preserve"> čerpala agentura v roce 2018 úspěšně svůj rozpočet, přičemž míra čerpání prostředků na závazky činila 99,7 % a prostředků na platby 87,6 %, a to v souladu s výsledky v předchozích letech;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vybízí agenturu, aby nadále usilovala o optimální čerpání přidělených prostředků;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rybolovu; zdůrazňuje proto, že je třeba agentuře poskytnou přiměřené finanční a lidské zdroje, které budou odpovídat jejím rostoucím povinnostem;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jelikož by to mohlo vést k oslabení dohledu nad rybolovem a k navýšení objemu nezákonného, nehlášeného a neregulovaného rybolovu</w:t>
            </w:r>
            <w:r>
              <w:t>; zdůrazňuje proto, že je třeba agentuře poskytnou přiměřené finanční a lidské zdroje, které budou odpovídat jejím rostoucím povinnostem;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rybolovu; zdůrazňuje proto, že je třeba agentuře poskytnou přiměřené finanční a lidské zdroje, které budou odpovídat jejím rostoucím povinnostem;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za poskytování asistence členským státům a Komisi v této oblasti</w:t>
            </w:r>
            <w:r>
              <w:t>; zdůrazňuje proto, že je třeba agentuře poskytnou přiměřené finanční a lidské zdroje, které budou odpovídat jejím rostoucím povinnostem;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Chris Davies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rybolovu; zdůrazňuje proto, že je třeba agentuře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poskytnou</w:t>
            </w:r>
            <w:r>
              <w:t xml:space="preserve"> přiměřené finanční a lidské zdroje, které budou odpovídat jejím rostoucím povinnostem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domnívá se, že by úloha agentury při podpoře zřízení Evropské pohraniční a pobřežní stráže neměla za žádných okolností oslabovat hlavní činnost agentury jakožto subjektu Unie, který nese odpovědnost za organizaci operační koordinace kontrol v oblasti rybolovu; zdůrazňuje proto, že je třeba agentuře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poskytnout</w:t>
            </w:r>
            <w:r>
              <w:t xml:space="preserve"> přiměřené finanční a lidské zdroje, které budou odpovídat jejím rostoucím povinnostem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 umožnit jí zvýšit počet kontrol, které provádí, a nabýt druhé plavidlo k usnadnění tohoto úkolu.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>poznamenává, že agentura podporovala politiku rovného zacházení, jejímž cílem je zlepšit vyvážené zastoupení žen a mužů mezi jejími zaměstnanci;  konstatuje, že k 31. prosinci 2018 tvořily ženy 44 % zaměstnanců; vyjadřuje politování nad tím, že procentní podíl žen funkční třídy AD 8 nebo vyšších tříd činilo 15 %, což je o 7 procentních bodů méně než v roce 2017; vyzývá agenturu, aby posílila svou politiku v oblasti vyváženého zastoupení žen a mužů;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 xml:space="preserve">poznamenává, že agentura podporovala politiku rovného zacházení, jejímž cílem je zlepšit vyvážené zastoupení žen a mužů mezi jejími zaměstnanci;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konstatuje, že poté, co správní rada v roce 2017 přijala prováděcí pravidla pro boj proti obtěžování, agentura zahájila a následně úspěšně dokončila výběrové řízení na důvěrné poradce a v roce 2018 pro zaměstnance uspořádala osvětové programy s cílem předcházet obtěžování;</w:t>
            </w:r>
            <w:r>
              <w:t xml:space="preserve">  konstatuje, že k 31. prosinci 2018 tvořily ženy 44 % zaměstnanců; vyjadřuje politování nad tím, že procentní podíl žen funkční třídy AD 8 nebo vyšších tříd činilo 15 %, což je o 7 procentních bodů méně než v roce 2017; vyzývá agenturu, aby posílila svou politiku v oblasti vyváženého zastoupení žen a mužů;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zdůrazňuje, že agentura přijala v červnu 2018 rozhodnutí o zveřejňování informací o schůzkách s organizacemi nebo osobami samostatně výdělečně činnými a že na základě dohody mezi Evropským parlamentem a Evropskou komisí o rejstříku transparentnosti bude agentura příslušné schůzky výkonného ředitele a zaměstananců s lobisty zveřejňovat online na svých webových stránkách;</w:t>
            </w:r>
            <w:r>
              <w:t xml:space="preserve"> 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připomíná, že v návaznosti na přípravnou činnost v roce 2017 zavedla agentura v roce 2018 systém řízení bezpečnosti informací založený na mezinárodní normě ISO 27001, jehož cílem je chránit agenturu před technologickými riziky a zachovávat důvěrnost, celistvost a dostupnost informací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 c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8c.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 xml:space="preserve">zdůrazňuje aktivní úlohu a přidanou hodnotu agentury v projektu PESCAO, pokud jde o rozvoj kapacit pro boj proti nezákonnému, nehlášenému a neregulovanému rybolovu a lepší řízení rybolovných zdrojů v západní Africe;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 tři operace provedené v roce 2018, které se týkaly Senegalu, Gambie, Guiney-Bissau, Guiney-Conakry, Sierry Leone, Kapverd a Mauritánie;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Nicolás González Casares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 d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8d.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uznává kvalitu a význam úkolů, které agentura provádí, a vítá její důslednost a velmi dobré výsledky dosažené od doby, kdy byla zřízena;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stanoviska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8a.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 významnou úlohu agentury při provádění společné rybářské politiky a dosahování jejích cílů, zejména pokud jde o povinnost vykládky, jelikož členské státy mají problém této povinnosti dostát;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643.199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AM\1192580CS.docx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CS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AM\1192580CS.docx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8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643.199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AM\1192580CS.docx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643.199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CS</w:t>
    </w:r>
    <w:r>
      <w:tab/>
    </w:r>
    <w:r>
      <w:rPr>
        <w:rStyle w:val="EPFooter2Middle"/>
      </w:rPr>
      <w:t>Jednotná v rozmanitosti</w:t>
    </w:r>
    <w:r>
      <w:tab/>
    </w:r>
    <w:r>
      <w:t>CS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248\fbidi \froman\fcharset238\fprq2 Times New Roman CE;}{\f249\fbidi \froman\fcharset204\fprq2 Times New Roman Cyr;}&#13;&#10;{\f251\fbidi \froman\fcharset161\fprq2 Times New Roman Greek;}{\f252\fbidi \froman\fcharset162\fprq2 Times New Roman Tur;}{\f253\fbidi \froman\fcharset177\fprq2 Times New Roman (Hebrew);}{\f254\fbidi \froman\fcharset178\fprq2 Times New Roman (Arabic);}&#13;&#10;{\f255\fbidi \froman\fcharset186\fprq2 Times New Roman Baltic;}{\f256\fbidi \froman\fcharset163\fprq2 Times New Roman (Vietnamese);}{\f258\fbidi \fswiss\fcharset238\fprq2 Arial CE;}{\f259\fbidi \fswiss\fcharset204\fprq2 Arial Cyr;}&#13;&#10;{\f261\fbidi \fswiss\fcharset161\fprq2 Arial Greek;}{\f262\fbidi \fswiss\fcharset162\fprq2 Arial Tur;}{\f263\fbidi \fswiss\fcharset177\fprq2 Arial (Hebrew);}{\f264\fbidi \fswiss\fcharset178\fprq2 Arial (Arabic);}&#13;&#10;{\f265\fbidi \fswiss\fcharset186\fprq2 Arial Baltic;}{\f266\fbidi \fswiss\fcharset163\fprq2 Arial (Vietnamese);}{\f588\fbidi \froman\fcharset238\fprq2 Cambria Math CE;}{\f589\fbidi \froman\fcharset204\fprq2 Cambria Math Cyr;}&#13;&#10;{\f591\fbidi \froman\fcharset161\fprq2 Cambria Math Greek;}{\f592\fbidi \froman\fcharset162\fprq2 Cambria Math Tur;}{\f595\fbidi \froman\fcharset186\fprq2 Cambria Math Baltic;}{\f596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3105041 HideTWBExt;}{\s16\qr \li0\ri0\sb240\sa240\nowidctlpar\wrapdefault\aspalpha\aspnum\faauto\adjustright\rin0\lin0\itap0 \rtlch\fcs1 \af0\afs20\alang1025 \ltrch\fcs0 &#13;&#10;\fs24\lang1024\langfe1024\cgrid\noproof\langnp2057\langfenp2057 \sbasedon0 \snext16 \spriority0 \styrsid3105041 Olang;}{\s17\ql \li0\ri0\sa120\nowidctlpar\wrapdefault\aspalpha\aspnum\faauto\adjustright\rin0\lin0\itap0 \rtlch\fcs1 \af0\afs20\alang1025 &#13;&#10;\ltrch\fcs0 \fs24\lang1024\langfe1024\cgrid\noproof\langnp2057\langfenp2057 \sbasedon0 \snext17 \slink18 \spriority0 \styrsid3105041 Normal6;}{\*\cs18 \additive \fs24\lang1024\langfe1024\noproof\langnp2057\langfenp2057 &#13;&#10;\slink17 \slocked \spriority0 \styrsid3105041 Normal6 Char;}{\s19\ql \li0\ri0\nowidctlpar\wrapdefault\aspalpha\aspnum\faauto\adjustright\rin0\lin0\itap0 \rtlch\fcs1 \af0\afs20\alang1025 \ltrch\fcs0 &#13;&#10;\b\fs24\lang2057\langfe2057\cgrid\langnp2057\langfenp2057 \sbasedon0 \snext19 \slink20 \spriority0 \styrsid3105041 NormalBold;}{\*\cs20 \additive \b\fs24\lang2057\langfe2057\langnp2057\langfenp2057 \slink19 \slocked \spriority0 \styrsid3105041 &#13;&#10;NormalBold Char;}{\s21\qc \li0\ri0\sa240\nowidctlpar\wrapdefault\aspalpha\aspnum\faauto\adjustright\rin0\lin0\itap0 \rtlch\fcs1 \af0\afs20\alang1025 \ltrch\fcs0 \i\fs24\lang2057\langfe2057\cgrid\langnp2057\langfenp2057 &#13;&#10;\sbasedon0 \snext21 \spriority0 \styrsid3105041 ColumnHeading;}{\s22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2 \spriority0 \styrsid3105041 AMNumberTabs;}}{\*\rsidtbl \rsid24658\rsid735077\rsid2892074\rsid3105041\rsid4666813\rsid6641733\rsid9636012\rsid11215221\rsid12154954&#13;&#10;\rsid14424199\rsid15204470\rsid15285974\rsid15950462\rsid15992473\rsid16324206\rsid16662270}{\mmathPr\mmathFont34\mbrkBin0\mbrkBinSub0\msmallFrac0\mdispDef1\mlMargin0\mrMargin0\mdefJc1\mwrapIndent1440\mintLim0\mnaryLim1}{\info{\author FELIX Karina}&#13;&#10;{\operator FELIX Karina}{\creatim\yr2015\mo5\dy8\hr15\min29}{\revtim\yr2015\mo5\dy8\hr15\min29}{\version1}{\edmins0}{\nofpages1}{\nofwords48}{\nofchars268}{\*\company European Parliament}{\nofcharsws315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3105041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5992473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2\ql \li0\ri0\sb240\keepn\nowidctlpar\tx879\tx936\tx1021\tx1077\tx1134\tx1191\tx1247\tx1304\tx1361\tx1418\tx1474\tx1531\tx1588\tx1644\tx1701\tx1758\tx1814\tx1871\tx2070\tx2126\tx3374\tx3430\wrapdefault\aspalpha\aspnum\faauto\adjustright\rin0&#13;&#10;\lin0\itap0\pararsid13646180 \rtlch\fcs1 \af0\afs20\alang1025 \ltrch\fcs0 \b\fs24\lang2057\langfe2057\cgrid\langnp2057\langfenp2057 {\rtlch\fcs1 \af0 \ltrch\fcs0 \cs15\b0\v\f1\fs20\cf9\lang1024\langfe1024\noproof\insrsid3105041\charrsid4417459 &#13;&#10;{\*\bkmkstart restart}&lt;Amend&gt;}{\rtlch\fcs1 \af0 \ltrch\fcs0 \insrsid3105041\charrsid1799708 [ZAMENDMENT]}{\rtlch\fcs1 \af0 \ltrch\fcs0 \insrsid3105041 \tab \tab }{\rtlch\fcs1 \af0 \ltrch\fcs0 &#13;&#10;\cs15\b0\v\f1\fs20\cf9\lang1024\langfe1024\noproof\insrsid3105041\charrsid4417459 &lt;NumAm&gt;}{\rtlch\fcs1 \af0 \ltrch\fcs0 \insrsid3105041\charrsid1799708 [ZNRAM]}{\rtlch\fcs1 \af0 \ltrch\fcs0 &#13;&#10;\cs15\b0\v\f1\fs20\cf9\lang1024\langfe1024\noproof\insrsid3105041\charrsid4417459 &lt;/NumAm&gt;}{\rtlch\fcs1 \af0 \ltrch\fcs0 \insrsid3105041\charrsid4080556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14699840 &lt;RepeatBlock-By&gt;}{\rtlch\fcs1 \af0 \ltrch\fcs0 \lang1024\langfe1024\noproof\insrsid3105041\charrsid14699840 [RepeatMembers]}{\rtlch\fcs1 \af0 \ltrch\fcs0 &#13;&#10;\cs15\b0\v\f1\fs20\cf9\lang1024\langfe1024\noproof\insrsid3105041\charrsid14699840 &lt;Members&gt;}{\rtlch\fcs1 \af0 \ltrch\fcs0 \insrsid3105041\charrsid14699840 [ZMEMBERS]}{\rtlch\fcs1 \af0 \ltrch\fcs0 &#13;&#10;\cs15\b0\v\f1\fs20\cf9\lang1024\langfe1024\noproof\insrsid3105041\charrsid14699840 &lt;/Members&gt;}{\rtlch\fcs1 \af0 \ltrch\fcs0 \insrsid3105041\charrsid14699840 &#13;&#10;\par }\pard\plain \ltrpar\ql \li0\ri0\widctlpar\wrapdefault\aspalpha\aspnum\faauto\adjustright\rin0\lin0\itap0\pararsid3025377 \rtlch\fcs1 \af0\afs20\alang1025 \ltrch\fcs0 \fs24\lang2057\langfe2057\cgrid\langnp2057\langfenp2057 {\rtlch\fcs1 \af0 \ltrch\fcs0 &#13;&#10;\cs15\v\f1\fs20\cf9\lang1024\langfe1024\noproof\insrsid3105041\charrsid14699840 &lt;AuNomDe&gt;&lt;OptDel&gt;}{\rtlch\fcs1 \af0 \ltrch\fcs0 \insrsid3105041\charrsid14699840 [ZONBEHALF]}{\rtlch\fcs1 \af0 \ltrch\fcs0 &#13;&#10;\cs15\v\f1\fs20\cf9\lang1024\langfe1024\noproof\insrsid3105041\charrsid14699840 &lt;/OptDel&gt;&lt;/AuNomDe&gt;}{\rtlch\fcs1 \af0 \ltrch\fcs0 \insrsid3105041\charrsid14699840 &#13;&#10;\par &lt;&lt;&lt;}{\rtlch\fcs1 \af0 \ltrch\fcs0 \cs15\v\f1\fs20\cf9\lang1024\langfe1024\noproof\insrsid3105041\charrsid14699840 &lt;/RepeatBlock-By&gt;}{\rtlch\fcs1 \af0 \ltrch\fcs0 \insrsid3105041\charrsid14699840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4737239 &lt;DocAmend&gt;}{\rtlch\fcs1 \af0 \ltrch\fcs0 \insrsid3105041\charrsid1799708 [Z}{\rtlch\fcs1 \af0 \ltrch\fcs0 \insrsid3105041 AMDOC}{\rtlch\fcs1 \af0 \ltrch\fcs0 &#13;&#10;\insrsid3105041\charrsid1799708 ]}{\rtlch\fcs1 \af0 \ltrch\fcs0 \cs15\b0\v\f1\fs20\cf9\lang1024\langfe1024\noproof\insrsid3105041\charrsid4737239 &lt;/DocAmend&gt;}{\rtlch\fcs1 \af0 \ltrch\fcs0 \insrsid3105041\charrsid1799708 &#13;&#10;\par }\pard \ltrpar\s19\ql \li0\ri0\nowidctlpar\wrapdefault\aspalpha\aspnum\faauto\adjustright\rin0\lin0\itap0\pararsid14055546 {\rtlch\fcs1 \af0 \ltrch\fcs0 \cs15\b0\v\f1\fs20\cf9\lang1024\langfe1024\noproof\insrsid3105041\charrsid1799708 &lt;Article&gt;}{&#13;&#10;\rtlch\fcs1 \af0 \ltrch\fcs0 \insrsid3105041\charrsid1799708 [ZAMPART]}{\rtlch\fcs1 \af0 \ltrch\fcs0 \cs15\b0\v\f1\fs20\cf9\lang1024\langfe1024\noproof\insrsid3105041\charrsid1799708 &lt;/Article&gt;}{\rtlch\fcs1 \af0 \ltrch\fcs0 &#13;&#10;\insrsid3105041\charrsid1799708 &#13;&#10;\par \ltrrow}\trowd \ltrrow\ts11\trqc\trgaph340\trleft-340\trftsWidth3\trwWidth9752\trftsWidthB3\trftsWidthA3\trpaddl340\trpaddr340\trpaddfl3\trpaddfr3\tblrsid14055546\tblind0\tblindtype3 \clvertalt\clbrdrt\brdrtbl \clbrdrl\brdrtbl \clbrdrb\brdrtbl \clbrdrr&#13;&#10;\brdrtbl \cltxlrtb\clftsWidth3\clwWidth9752\clshdrawnil \cellx9412\pard\plain \ltrpar\ql \li0\ri0\keepn\widctlpar\intbl\wrapdefault\aspalpha\aspnum\faauto\adjustright\rin0\lin0\pararsid10708565 \rtlch\fcs1 \af0\afs20\alang1025 \ltrch\fcs0 &#13;&#10;\fs24\lang2057\langfe2057\cgrid\langnp2057\langfenp2057 {\rtlch\fcs1 \af0 \ltrch\fcs0 \insrsid3105041\charrsid1799708 \cell }\pard \ltrpar\ql \li0\ri0\widctlpar\intbl\wrapdefault\aspalpha\aspnum\faauto\adjustright\rin0\lin0 {\rtlch\fcs1 \af0 \ltrch\fcs0 &#13;&#10;\insrsid3105041\charrsid1799708 \trowd \ltrrow\ts11\trqc\trgaph340\trleft-340\trftsWidth3\trwWidth9752\trftsWidthB3\trftsWidthA3\trpaddl340\trpaddr340\trpaddfl3\trpaddfr3\tblrsid14055546\tblind0\tblindtype3 \clvertalt\clbrdrt\brdrtbl \clbrdrl\brdrtbl &#13;&#10;\clbrdrb\brdrtbl \clbrdrr\brdrtbl \cltxlrtb\clftsWidth3\clwWidth9752\clshdrawnil \cellx9412\row \ltrrow}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pard\plain \ltrpar&#13;&#10;\s21\qc \li0\ri0\sa240\keepn\nowidctlpar\intbl\wrapdefault\aspalpha\aspnum\faauto\adjustright\rin0\lin0\pararsid10708565 \rtlch\fcs1 \af0\afs20\alang1025 \ltrch\fcs0 \i\fs24\lang2057\langfe2057\cgrid\langnp2057\langfenp2057 {\rtlch\fcs1 \af0 \ltrch\fcs0 &#13;&#10;\insrsid3105041\charrsid1799708 [ZLEFT]\cell [ZRIGHT]\cell }\pard\plain \ltrpar\ql \li0\ri0\widctlpar\intbl\wrapdefault\aspalpha\aspnum\faauto\adjustright\rin0\lin0 \rtlch\fcs1 \af0\afs20\alang1025 \ltrch\fcs0 &#13;&#10;\fs24\lang2057\langfe2057\cgrid\langnp2057\langfenp2057 {\rtlch\fcs1 \af0 \ltrch\fcs0 \insrsid3105041\charrsid1799708 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7\ql \li0\ri0\sa120\nowidctlpar\intbl\wrapdefault\aspalpha\aspnum\faauto\adjustright\rin0\lin0\pararsid14055546 \rtlch\fcs1 \af0\afs20\alang1025 \ltrch\fcs0 \fs24\lang1024\langfe1024\cgrid\noproof\langnp2057\langfenp2057 {\rtlch\fcs1 \af0 \ltrch\fcs0 &#13;&#10;\insrsid3105041\charrsid1799708 [ZTEXTL]\cell [ZTEXTR]}{\rtlch\fcs1 \af0\afs24 \ltrch\fcs0 \insrsid3105041\charrsid1799708 \cell }\pard\plain \ltrpar\ql \li0\ri0\widctlpar\intbl\wrapdefault\aspalpha\aspnum\faauto\adjustright\rin0\lin0 \rtlch\fcs1 &#13;&#10;\af0\afs20\alang1025 \ltrch\fcs0 \fs24\lang2057\langfe2057\cgrid\langnp2057\langfenp2057 {\rtlch\fcs1 \af0 \ltrch\fcs0 \insrsid3105041\charrsid1799708 \trowd \lastrow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16\qr \li0\ri0\sb240\sa240\nowidctlpar\wrapdefault\aspalpha\aspnum\faauto\adjustright\rin0\lin0\itap0\pararsid14055546 \rtlch\fcs1 \af0\afs20\alang1025 \ltrch\fcs0 \fs24\lang1024\langfe1024\cgrid\noproof\langnp2057\langfenp2057 {\rtlch\fcs1 \af0 &#13;&#10;\ltrch\fcs0 \noproof0\insrsid3105041\charrsid1799708 Or. }{\rtlch\fcs1 \af0 \ltrch\fcs0 \cs15\v\f1\fs20\cf9\noproof0\insrsid3105041\charrsid1799708 &lt;Original&gt;}{\rtlch\fcs1 \af0 \ltrch\fcs0 \noproof0\insrsid3105041\charrsid1799708 [ZORLANG]}{\rtlch\fcs1 &#13;&#10;\af0 \ltrch\fcs0 \cs15\v\f1\fs20\cf9\noproof0\insrsid3105041\charrsid1799708 &lt;/Original&gt;}{\rtlch\fcs1 \af0 \ltrch\fcs0 \noproof0\insrsid3105041\charrsid1799708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lang1024\langfe1024\noproof\insrsid3105041\charrsid1799708 &lt;/Amend&gt;}{\rtlch\fcs1 \af0 \ltrch\fcs0 \insrsid24658\charrsid16324206 {\*\bkmkend restart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b8&#13;&#10;880893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1192580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20191128-081614-160531-267981</vt:lpwstr>
  </property>
  <property fmtid="{D5CDD505-2E9C-101B-9397-08002B2CF9AE}" pid="7" name="FooterPath">
    <vt:lpwstr>AM\1192580CS.docx</vt:lpwstr>
  </property>
  <property fmtid="{D5CDD505-2E9C-101B-9397-08002B2CF9AE}" pid="8" name="PE Number">
    <vt:lpwstr>643.199</vt:lpwstr>
  </property>
  <property fmtid="{D5CDD505-2E9C-101B-9397-08002B2CF9AE}" pid="9" name="UID">
    <vt:lpwstr>eu.europa.europarl-DIN1-2019-0000019142_02.00-cs-01.00_text-xml</vt:lpwstr>
  </property>
</Properties>
</file>