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E1655" w:rsidRPr="0050043A" w:rsidTr="00035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E1655" w:rsidRPr="0050043A" w:rsidRDefault="0020347E" w:rsidP="00035402">
            <w:pPr>
              <w:pStyle w:val="EPName"/>
            </w:pPr>
            <w:r w:rsidRPr="0050043A">
              <w:t>Evropský parlament</w:t>
            </w:r>
          </w:p>
          <w:p w:rsidR="00CE1655" w:rsidRPr="0050043A" w:rsidRDefault="00305ED2" w:rsidP="00305ED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50043A">
              <w:t>2019-2024</w:t>
            </w:r>
          </w:p>
        </w:tc>
        <w:tc>
          <w:tcPr>
            <w:tcW w:w="2268" w:type="dxa"/>
            <w:shd w:val="clear" w:color="auto" w:fill="auto"/>
          </w:tcPr>
          <w:p w:rsidR="00CE1655" w:rsidRPr="0050043A" w:rsidRDefault="00FC705F" w:rsidP="00035402">
            <w:pPr>
              <w:pStyle w:val="EPLogo"/>
            </w:pPr>
            <w:r w:rsidRPr="0050043A">
              <w:rPr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7D" w:rsidRPr="0050043A" w:rsidRDefault="00000C7D" w:rsidP="00000C7D">
      <w:pPr>
        <w:pStyle w:val="LineTop"/>
      </w:pPr>
    </w:p>
    <w:p w:rsidR="00000C7D" w:rsidRPr="0050043A" w:rsidRDefault="00000C7D" w:rsidP="00000C7D">
      <w:pPr>
        <w:pStyle w:val="EPBody"/>
      </w:pPr>
      <w:r w:rsidRPr="0050043A">
        <w:rPr>
          <w:rStyle w:val="HideTWBExt"/>
          <w:noProof w:val="0"/>
        </w:rPr>
        <w:t>&lt;</w:t>
      </w:r>
      <w:r w:rsidRPr="0050043A">
        <w:rPr>
          <w:rStyle w:val="HideTWBExt"/>
          <w:i w:val="0"/>
          <w:noProof w:val="0"/>
        </w:rPr>
        <w:t>Commission</w:t>
      </w:r>
      <w:r w:rsidRPr="0050043A">
        <w:rPr>
          <w:rStyle w:val="HideTWBExt"/>
          <w:noProof w:val="0"/>
        </w:rPr>
        <w:t>&gt;</w:t>
      </w:r>
      <w:r w:rsidRPr="0050043A">
        <w:rPr>
          <w:rStyle w:val="HideTWBInt"/>
        </w:rPr>
        <w:t>{PETI}</w:t>
      </w:r>
      <w:r w:rsidRPr="0050043A">
        <w:t>Petiční výbor</w:t>
      </w:r>
      <w:r w:rsidRPr="0050043A">
        <w:rPr>
          <w:rStyle w:val="HideTWBExt"/>
          <w:noProof w:val="0"/>
        </w:rPr>
        <w:t>&lt;/</w:t>
      </w:r>
      <w:r w:rsidRPr="0050043A">
        <w:rPr>
          <w:rStyle w:val="HideTWBExt"/>
          <w:i w:val="0"/>
          <w:noProof w:val="0"/>
        </w:rPr>
        <w:t>Commission</w:t>
      </w:r>
      <w:r w:rsidRPr="0050043A">
        <w:rPr>
          <w:rStyle w:val="HideTWBExt"/>
          <w:noProof w:val="0"/>
        </w:rPr>
        <w:t>&gt;</w:t>
      </w:r>
    </w:p>
    <w:p w:rsidR="00000C7D" w:rsidRPr="0050043A" w:rsidRDefault="00305ED2" w:rsidP="00000C7D">
      <w:pPr>
        <w:pStyle w:val="EPBody"/>
      </w:pPr>
      <w:r w:rsidRPr="0050043A">
        <w:t>předseda</w:t>
      </w:r>
    </w:p>
    <w:p w:rsidR="00000C7D" w:rsidRPr="0050043A" w:rsidRDefault="00000C7D" w:rsidP="00000C7D">
      <w:pPr>
        <w:pStyle w:val="LineBottom"/>
      </w:pPr>
    </w:p>
    <w:p w:rsidR="00E71F4C" w:rsidRPr="0050043A" w:rsidRDefault="00501E47" w:rsidP="007C3F41">
      <w:pPr>
        <w:pStyle w:val="LetterDate"/>
      </w:pPr>
      <w:r w:rsidRPr="0050043A">
        <w:rPr>
          <w:rStyle w:val="HideTWBExt"/>
          <w:noProof w:val="0"/>
        </w:rPr>
        <w:t>&lt;Date&gt;</w:t>
      </w:r>
      <w:r w:rsidRPr="0050043A">
        <w:rPr>
          <w:rStyle w:val="HideTWBInt"/>
        </w:rPr>
        <w:t>{</w:t>
      </w:r>
      <w:r w:rsidR="00B41EC3" w:rsidRPr="0050043A">
        <w:rPr>
          <w:rStyle w:val="HideTWBInt"/>
        </w:rPr>
        <w:t>21</w:t>
      </w:r>
      <w:r w:rsidRPr="0050043A">
        <w:rPr>
          <w:rStyle w:val="HideTWBInt"/>
        </w:rPr>
        <w:t>/1/20</w:t>
      </w:r>
      <w:r w:rsidR="00B41EC3" w:rsidRPr="0050043A">
        <w:rPr>
          <w:rStyle w:val="HideTWBInt"/>
        </w:rPr>
        <w:t>20</w:t>
      </w:r>
      <w:r w:rsidRPr="0050043A">
        <w:rPr>
          <w:rStyle w:val="HideTWBInt"/>
        </w:rPr>
        <w:t>}</w:t>
      </w:r>
      <w:r w:rsidR="00B41EC3" w:rsidRPr="0050043A">
        <w:t>21</w:t>
      </w:r>
      <w:r w:rsidRPr="0050043A">
        <w:t>.1.20</w:t>
      </w:r>
      <w:r w:rsidR="00B41EC3" w:rsidRPr="0050043A">
        <w:t>20</w:t>
      </w:r>
      <w:r w:rsidRPr="0050043A">
        <w:rPr>
          <w:rStyle w:val="HideTWBExt"/>
          <w:noProof w:val="0"/>
        </w:rPr>
        <w:t>&lt;/Date&gt;</w:t>
      </w:r>
    </w:p>
    <w:p w:rsidR="007179A7" w:rsidRPr="0050043A" w:rsidRDefault="00305ED2">
      <w:r w:rsidRPr="0050043A">
        <w:t>Pan Antonio Tajani</w:t>
      </w:r>
    </w:p>
    <w:p w:rsidR="007179A7" w:rsidRPr="0050043A" w:rsidRDefault="00F26DAB">
      <w:r w:rsidRPr="0050043A">
        <w:t>předseda</w:t>
      </w:r>
    </w:p>
    <w:p w:rsidR="007179A7" w:rsidRPr="0050043A" w:rsidRDefault="00305ED2">
      <w:r w:rsidRPr="0050043A">
        <w:t>Výbor pro ústavní záležitosti</w:t>
      </w:r>
    </w:p>
    <w:p w:rsidR="007179A7" w:rsidRPr="0050043A" w:rsidRDefault="0020347E">
      <w:r w:rsidRPr="0050043A">
        <w:t>BRUSEL</w:t>
      </w:r>
    </w:p>
    <w:p w:rsidR="003A06AA" w:rsidRPr="0050043A" w:rsidRDefault="0020347E" w:rsidP="003A06AA">
      <w:pPr>
        <w:pStyle w:val="LetterSubject"/>
      </w:pPr>
      <w:r w:rsidRPr="0050043A">
        <w:t>Věc:</w:t>
      </w:r>
      <w:r w:rsidRPr="0050043A">
        <w:tab/>
      </w:r>
      <w:r w:rsidR="003A06AA" w:rsidRPr="0050043A">
        <w:rPr>
          <w:rStyle w:val="HideTWBExt"/>
          <w:noProof w:val="0"/>
        </w:rPr>
        <w:t>&lt;Titre&gt;</w:t>
      </w:r>
      <w:r w:rsidR="003A06AA" w:rsidRPr="0050043A">
        <w:t>Stanovisko</w:t>
      </w:r>
      <w:r w:rsidR="00876FD3">
        <w:t xml:space="preserve"> k </w:t>
      </w:r>
      <w:r w:rsidR="003A06AA" w:rsidRPr="0050043A">
        <w:t>rozhodnutí Rady</w:t>
      </w:r>
      <w:r w:rsidR="00876FD3">
        <w:t xml:space="preserve"> o </w:t>
      </w:r>
      <w:r w:rsidR="003A06AA" w:rsidRPr="0050043A">
        <w:t>uzavření Dohody</w:t>
      </w:r>
      <w:r w:rsidR="00876FD3">
        <w:t xml:space="preserve"> o </w:t>
      </w:r>
      <w:r w:rsidR="003A06AA" w:rsidRPr="0050043A">
        <w:t>vystoupení Spojeného království Velké Británie</w:t>
      </w:r>
      <w:r w:rsidR="00876FD3">
        <w:t xml:space="preserve"> a </w:t>
      </w:r>
      <w:r w:rsidR="003A06AA" w:rsidRPr="0050043A">
        <w:t>Severního Irska</w:t>
      </w:r>
      <w:r w:rsidR="00876FD3">
        <w:t xml:space="preserve"> z </w:t>
      </w:r>
      <w:r w:rsidR="003A06AA" w:rsidRPr="0050043A">
        <w:t>Evropské unie</w:t>
      </w:r>
      <w:r w:rsidR="00876FD3">
        <w:t xml:space="preserve"> a </w:t>
      </w:r>
      <w:r w:rsidR="003A06AA" w:rsidRPr="0050043A">
        <w:t>Evropského společenství pro atomovou energii</w:t>
      </w:r>
      <w:r w:rsidR="003A06AA" w:rsidRPr="0050043A">
        <w:rPr>
          <w:rStyle w:val="HideTWBExt"/>
          <w:noProof w:val="0"/>
        </w:rPr>
        <w:t>&lt;/Titre&gt;</w:t>
      </w:r>
      <w:r w:rsidR="003A06AA" w:rsidRPr="0050043A">
        <w:t xml:space="preserve"> </w:t>
      </w:r>
      <w:r w:rsidR="003A06AA" w:rsidRPr="0050043A">
        <w:rPr>
          <w:rStyle w:val="HideTWBExt"/>
          <w:noProof w:val="0"/>
        </w:rPr>
        <w:t>&lt;DocRef&gt;</w:t>
      </w:r>
      <w:r w:rsidR="003A06AA" w:rsidRPr="0050043A">
        <w:t>(2018/0427(NLE))</w:t>
      </w:r>
      <w:r w:rsidR="003A06AA" w:rsidRPr="0050043A">
        <w:rPr>
          <w:rStyle w:val="HideTWBExt"/>
          <w:noProof w:val="0"/>
        </w:rPr>
        <w:t>&lt;/DocRef&gt;</w:t>
      </w:r>
    </w:p>
    <w:p w:rsidR="00305ED2" w:rsidRPr="0050043A" w:rsidRDefault="00305ED2" w:rsidP="00305ED2">
      <w:pPr>
        <w:pStyle w:val="LetterSalutation"/>
        <w:jc w:val="both"/>
      </w:pPr>
      <w:r w:rsidRPr="0050043A">
        <w:t>Vážený pane předsedo,</w:t>
      </w:r>
    </w:p>
    <w:p w:rsidR="00305ED2" w:rsidRPr="0050043A" w:rsidRDefault="00305ED2" w:rsidP="00305ED2">
      <w:pPr>
        <w:pStyle w:val="Normal12a"/>
        <w:jc w:val="both"/>
      </w:pPr>
      <w:r w:rsidRPr="0050043A">
        <w:t>píši Vám</w:t>
      </w:r>
      <w:r w:rsidR="00876FD3">
        <w:t xml:space="preserve"> v </w:t>
      </w:r>
      <w:r w:rsidRPr="0050043A">
        <w:t>souvislosti</w:t>
      </w:r>
      <w:r w:rsidR="00876FD3">
        <w:t xml:space="preserve"> s </w:t>
      </w:r>
      <w:r w:rsidRPr="0050043A">
        <w:t>udělením souhlasu Vašeho výboru</w:t>
      </w:r>
      <w:r w:rsidR="00876FD3">
        <w:t xml:space="preserve"> s </w:t>
      </w:r>
      <w:r w:rsidRPr="0050043A">
        <w:t>rozhodnutím Rady</w:t>
      </w:r>
      <w:r w:rsidR="00876FD3">
        <w:t xml:space="preserve"> o </w:t>
      </w:r>
      <w:r w:rsidRPr="0050043A">
        <w:t>uzavření Dohody</w:t>
      </w:r>
      <w:r w:rsidR="00876FD3">
        <w:t xml:space="preserve"> o </w:t>
      </w:r>
      <w:r w:rsidRPr="0050043A">
        <w:t>vystoupení Spojeného království Velké Británie</w:t>
      </w:r>
      <w:r w:rsidR="00876FD3">
        <w:t xml:space="preserve"> a </w:t>
      </w:r>
      <w:r w:rsidRPr="0050043A">
        <w:t>Severního Irska</w:t>
      </w:r>
      <w:r w:rsidR="00876FD3">
        <w:t xml:space="preserve"> z </w:t>
      </w:r>
      <w:r w:rsidRPr="0050043A">
        <w:t>Evropské unie</w:t>
      </w:r>
      <w:r w:rsidR="00876FD3">
        <w:t xml:space="preserve"> a </w:t>
      </w:r>
      <w:r w:rsidRPr="0050043A">
        <w:t>Evropského společenství pro atomovou energii (2018/0427</w:t>
      </w:r>
      <w:r w:rsidR="0055223D" w:rsidRPr="0050043A">
        <w:t>(NLE)). Petiční výbor přijal na </w:t>
      </w:r>
      <w:r w:rsidRPr="0050043A">
        <w:t>svém zasedání dne 21. ledna 2020 stanovisk</w:t>
      </w:r>
      <w:bookmarkStart w:id="0" w:name="_GoBack"/>
      <w:bookmarkEnd w:id="0"/>
      <w:r w:rsidRPr="0050043A">
        <w:t>o ve formě dopisu, který Vám tímto předávám.</w:t>
      </w:r>
    </w:p>
    <w:p w:rsidR="00305ED2" w:rsidRPr="0050043A" w:rsidRDefault="00305ED2" w:rsidP="00305ED2">
      <w:pPr>
        <w:pStyle w:val="Normal12a"/>
        <w:jc w:val="both"/>
      </w:pPr>
      <w:r w:rsidRPr="0050043A">
        <w:t>Petiční výbor se na této schůzi</w:t>
      </w:r>
      <w:r w:rsidRPr="0050043A">
        <w:rPr>
          <w:rStyle w:val="FootnoteReference"/>
        </w:rPr>
        <w:footnoteReference w:id="1"/>
      </w:r>
      <w:r w:rsidR="0098679D">
        <w:t xml:space="preserve"> </w:t>
      </w:r>
      <w:r w:rsidRPr="0050043A">
        <w:t>rozhodl vyzvat Výbor pro ústavní záležitosti jako věcně příslušný výbor, aby Parlamentu doporučil udělit souhlas</w:t>
      </w:r>
      <w:r w:rsidR="00876FD3">
        <w:t xml:space="preserve"> s </w:t>
      </w:r>
      <w:r w:rsidRPr="0050043A">
        <w:t>rozhodnutím Rady.</w:t>
      </w:r>
    </w:p>
    <w:p w:rsidR="00305ED2" w:rsidRPr="0050043A" w:rsidRDefault="00305ED2" w:rsidP="00305ED2">
      <w:pPr>
        <w:pStyle w:val="Normal12a"/>
        <w:jc w:val="both"/>
      </w:pPr>
      <w:r w:rsidRPr="0050043A">
        <w:t>Článek 227 SFEU přiznává právo podat petici</w:t>
      </w:r>
      <w:r w:rsidR="00876FD3">
        <w:t xml:space="preserve"> k </w:t>
      </w:r>
      <w:r w:rsidRPr="0050043A">
        <w:t>Evropské</w:t>
      </w:r>
      <w:r w:rsidR="0055223D" w:rsidRPr="0050043A">
        <w:t>mu parlamentu všem občanům EU</w:t>
      </w:r>
      <w:r w:rsidR="00876FD3">
        <w:t xml:space="preserve"> a </w:t>
      </w:r>
      <w:r w:rsidRPr="0050043A">
        <w:t>všem společnostem nebo jednotlivcům</w:t>
      </w:r>
      <w:r w:rsidR="00876FD3">
        <w:t xml:space="preserve"> s </w:t>
      </w:r>
      <w:r w:rsidRPr="0050043A">
        <w:t xml:space="preserve">bydlištěm na území EU. To znamená, že po brexitu již občané Spojeného království, kteří pobývají ve Spojeném království, nebudou mít </w:t>
      </w:r>
      <w:r w:rsidR="0098679D">
        <w:t xml:space="preserve">po 31. lednu </w:t>
      </w:r>
      <w:r w:rsidRPr="0050043A">
        <w:t xml:space="preserve">právo </w:t>
      </w:r>
      <w:r w:rsidR="0098679D">
        <w:t>podílet se na evropské občanské iniciativě</w:t>
      </w:r>
      <w:r w:rsidR="00876FD3">
        <w:t xml:space="preserve"> a s </w:t>
      </w:r>
      <w:r w:rsidR="0098679D">
        <w:t>koncem přechodného období (31. prosince) ztratí oprávnění předložit petici Evropskému parlamentu spolu</w:t>
      </w:r>
      <w:r w:rsidR="00876FD3">
        <w:t xml:space="preserve"> s </w:t>
      </w:r>
      <w:r w:rsidR="0098679D">
        <w:t>právem podat stížnost Evropskému veřejnému ochránci práv.</w:t>
      </w:r>
      <w:r w:rsidRPr="0050043A">
        <w:t xml:space="preserve"> Občané EU ve Spojeném království si všechna tato práva zachovají. Občané Spojeného království pobývající</w:t>
      </w:r>
      <w:r w:rsidR="00876FD3">
        <w:t xml:space="preserve"> v </w:t>
      </w:r>
      <w:r w:rsidRPr="0050043A">
        <w:t>EU naproti tomu pozbydou práva účastnit se evropské občanské iniciativy, ale petiční právo jim zůstane zachováno.</w:t>
      </w:r>
    </w:p>
    <w:p w:rsidR="00305ED2" w:rsidRPr="0050043A" w:rsidRDefault="00305ED2" w:rsidP="00305ED2">
      <w:pPr>
        <w:pStyle w:val="Normal12a"/>
        <w:jc w:val="both"/>
      </w:pPr>
      <w:r w:rsidRPr="0050043A">
        <w:t>Petiční výbor přikládá velký význam 210 peticím, které obdržel od občanů</w:t>
      </w:r>
      <w:r w:rsidR="00876FD3">
        <w:t xml:space="preserve"> a v </w:t>
      </w:r>
      <w:r w:rsidRPr="0050043A">
        <w:t xml:space="preserve">nichž občané </w:t>
      </w:r>
      <w:r w:rsidRPr="0050043A">
        <w:lastRenderedPageBreak/>
        <w:t>vyjadřují vážné znepokojení nad tím, jaký bude mít brexit dopad na jejich práva, zejména pokud jde</w:t>
      </w:r>
      <w:r w:rsidR="00876FD3">
        <w:t xml:space="preserve"> o </w:t>
      </w:r>
      <w:r w:rsidRPr="0050043A">
        <w:t>právo obrátit se na veřejného ochránce práv</w:t>
      </w:r>
      <w:r w:rsidR="00876FD3">
        <w:t xml:space="preserve"> a </w:t>
      </w:r>
      <w:r w:rsidRPr="0050043A">
        <w:t>právo účastnit se evropské občanské iniciativy. Petiční výbor dále obdržel mnoho petic týkajících se práva na sloučení rodiny práva na zdravotní péči, hlasovacích práv</w:t>
      </w:r>
      <w:r w:rsidR="00876FD3">
        <w:t xml:space="preserve"> a </w:t>
      </w:r>
      <w:r w:rsidRPr="0050043A">
        <w:t>práva pobytu. Petiční výbor by proto rád zdůraznil, že je důležité chránit občanská práva zaručená dohodou</w:t>
      </w:r>
      <w:r w:rsidR="00876FD3">
        <w:t xml:space="preserve"> o </w:t>
      </w:r>
      <w:r w:rsidRPr="0050043A">
        <w:t>vystoupení.</w:t>
      </w:r>
    </w:p>
    <w:p w:rsidR="00305ED2" w:rsidRPr="0050043A" w:rsidRDefault="00305ED2" w:rsidP="00305ED2">
      <w:pPr>
        <w:pStyle w:val="Normal12a"/>
        <w:jc w:val="both"/>
      </w:pPr>
      <w:r w:rsidRPr="0050043A">
        <w:t>Petiční výbor připomíná, že ochrana práv občanů byla vždy</w:t>
      </w:r>
      <w:r w:rsidR="0055223D" w:rsidRPr="0050043A">
        <w:t xml:space="preserve"> jeho hlavní prioritou. Bere na </w:t>
      </w:r>
      <w:r w:rsidRPr="0050043A">
        <w:t>vědomí, že dohoda stanoví ustanovení</w:t>
      </w:r>
      <w:r w:rsidR="00876FD3">
        <w:t xml:space="preserve"> k </w:t>
      </w:r>
      <w:r w:rsidRPr="0050043A">
        <w:t>zaručení statusu</w:t>
      </w:r>
      <w:r w:rsidR="00876FD3">
        <w:t xml:space="preserve"> a </w:t>
      </w:r>
      <w:r w:rsidRPr="0050043A">
        <w:t>práv občanů EU</w:t>
      </w:r>
      <w:r w:rsidR="00876FD3">
        <w:t xml:space="preserve"> a </w:t>
      </w:r>
      <w:r w:rsidRPr="0050043A">
        <w:t>Spojeného království</w:t>
      </w:r>
      <w:r w:rsidR="00876FD3">
        <w:t xml:space="preserve"> a </w:t>
      </w:r>
      <w:r w:rsidRPr="0050043A">
        <w:t>jejich rodin vyplývajících</w:t>
      </w:r>
      <w:r w:rsidR="00876FD3">
        <w:t xml:space="preserve"> z </w:t>
      </w:r>
      <w:r w:rsidRPr="0050043A">
        <w:t>práva Unie, které jsou dotčeny vystoupením Spojeného království. Petiční výbor konstatuje, že práva těch občanů Unie</w:t>
      </w:r>
      <w:r w:rsidR="00876FD3">
        <w:t xml:space="preserve"> a </w:t>
      </w:r>
      <w:r w:rsidRPr="0050043A">
        <w:t>jejich rodinných příslušníků, kteří využili svého práva na volný pohyb ve Spojeném království</w:t>
      </w:r>
      <w:r w:rsidR="00876FD3">
        <w:t xml:space="preserve"> v </w:t>
      </w:r>
      <w:r w:rsidRPr="0050043A">
        <w:t>souladu</w:t>
      </w:r>
      <w:r w:rsidR="00876FD3">
        <w:t xml:space="preserve"> s </w:t>
      </w:r>
      <w:r w:rsidRPr="0050043A">
        <w:t>právem Unie před koncem přechodného období</w:t>
      </w:r>
      <w:r w:rsidR="00876FD3">
        <w:t xml:space="preserve"> a </w:t>
      </w:r>
      <w:r w:rsidRPr="0050043A">
        <w:t>kteří ve Spojeném království pobývají</w:t>
      </w:r>
      <w:r w:rsidR="00876FD3">
        <w:t xml:space="preserve"> i </w:t>
      </w:r>
      <w:r w:rsidRPr="0050043A">
        <w:t>nadále, jakož</w:t>
      </w:r>
      <w:r w:rsidR="00876FD3">
        <w:t xml:space="preserve"> i </w:t>
      </w:r>
      <w:r w:rsidRPr="0050043A">
        <w:t>práva občanů Spojeného království, kteří uplatňují stejné právo</w:t>
      </w:r>
      <w:r w:rsidR="00876FD3">
        <w:t xml:space="preserve"> v </w:t>
      </w:r>
      <w:r w:rsidRPr="0050043A">
        <w:t>některém členském státě EU 27, jsou dohodou</w:t>
      </w:r>
      <w:r w:rsidR="00876FD3">
        <w:t xml:space="preserve"> o </w:t>
      </w:r>
      <w:r w:rsidRPr="0050043A">
        <w:t>vystoupení chráněna.</w:t>
      </w:r>
    </w:p>
    <w:p w:rsidR="00305ED2" w:rsidRPr="0050043A" w:rsidRDefault="00305ED2" w:rsidP="00305ED2">
      <w:pPr>
        <w:pStyle w:val="Normal12a"/>
        <w:jc w:val="both"/>
      </w:pPr>
      <w:r w:rsidRPr="0050043A">
        <w:t>Petiční výbor připomíná, že právo volit ve volbách je základním právem, které mají ústavní tradice členských států společné</w:t>
      </w:r>
      <w:r w:rsidR="00876FD3">
        <w:t xml:space="preserve"> a </w:t>
      </w:r>
      <w:r w:rsidRPr="0050043A">
        <w:t>které je uznáno ve Smlouvách</w:t>
      </w:r>
      <w:r w:rsidR="00876FD3">
        <w:t xml:space="preserve"> o </w:t>
      </w:r>
      <w:r w:rsidRPr="0050043A">
        <w:t>EU na základě práva podílet se na politickém rozhodování.</w:t>
      </w:r>
      <w:r w:rsidR="00B41EC3" w:rsidRPr="0050043A">
        <w:t xml:space="preserve"> Ú</w:t>
      </w:r>
      <w:r w:rsidRPr="0050043A">
        <w:t>čast na demokratickém životě</w:t>
      </w:r>
      <w:r w:rsidR="00876FD3">
        <w:t xml:space="preserve"> a </w:t>
      </w:r>
      <w:r w:rsidRPr="0050043A">
        <w:t>volební právo občanů EU žijících</w:t>
      </w:r>
      <w:r w:rsidR="00876FD3">
        <w:t xml:space="preserve"> v </w:t>
      </w:r>
      <w:r w:rsidRPr="0050043A">
        <w:t>jiném členském státě je ostatně často předmětem různých petic.</w:t>
      </w:r>
    </w:p>
    <w:p w:rsidR="00305ED2" w:rsidRPr="0050043A" w:rsidRDefault="00305ED2" w:rsidP="00305ED2">
      <w:pPr>
        <w:pStyle w:val="Normal12a"/>
        <w:jc w:val="both"/>
      </w:pPr>
      <w:r w:rsidRPr="0050043A">
        <w:t>Petiční výbor proto vyjadřuje politování nad tím, že mnoho občanů Spojeného království bylo zbaveno práva volit poté, co žily více než 15 let</w:t>
      </w:r>
      <w:r w:rsidR="00876FD3">
        <w:t xml:space="preserve"> v </w:t>
      </w:r>
      <w:r w:rsidRPr="0050043A">
        <w:t>jiném členském státě. Spojené království zbavilo své státní příslušníky tohoto práva na základě předpokladu, že osoby žijící</w:t>
      </w:r>
      <w:r w:rsidR="00876FD3">
        <w:t xml:space="preserve"> v </w:t>
      </w:r>
      <w:r w:rsidRPr="0050043A">
        <w:t>zahraničí nejsou dotčeny politickými rozhodnutími přijatými</w:t>
      </w:r>
      <w:r w:rsidR="00876FD3">
        <w:t xml:space="preserve"> v </w:t>
      </w:r>
      <w:r w:rsidRPr="0050043A">
        <w:t>jejich domovské zemi. Spojené království rovněž zbavuje volebního práva své státní příslušníky</w:t>
      </w:r>
      <w:r w:rsidR="00876FD3">
        <w:t xml:space="preserve"> v </w:t>
      </w:r>
      <w:r w:rsidRPr="0050043A">
        <w:t>evropských volbách, pokud žijí trvale ve třetí zemi,</w:t>
      </w:r>
      <w:r w:rsidR="00876FD3">
        <w:t xml:space="preserve"> a </w:t>
      </w:r>
      <w:r w:rsidRPr="0050043A">
        <w:t>to</w:t>
      </w:r>
      <w:r w:rsidR="00876FD3">
        <w:t xml:space="preserve"> i v </w:t>
      </w:r>
      <w:r w:rsidRPr="0050043A">
        <w:t>některém členském státě.</w:t>
      </w:r>
    </w:p>
    <w:p w:rsidR="00305ED2" w:rsidRPr="0050043A" w:rsidRDefault="00305ED2" w:rsidP="00305ED2">
      <w:pPr>
        <w:pStyle w:val="Normal12a"/>
        <w:jc w:val="both"/>
      </w:pPr>
      <w:r w:rsidRPr="0050043A">
        <w:t>Výbor vyjadřuje politování nad tím, že mnoha občanům Spojeného království</w:t>
      </w:r>
      <w:r w:rsidR="00876FD3">
        <w:t xml:space="preserve"> a </w:t>
      </w:r>
      <w:r w:rsidRPr="0050043A">
        <w:t>veškerým občanům EU 27 nebylo dovoleno hlasovat</w:t>
      </w:r>
      <w:r w:rsidR="00876FD3">
        <w:t xml:space="preserve"> v </w:t>
      </w:r>
      <w:r w:rsidRPr="0050043A">
        <w:t>referendu</w:t>
      </w:r>
      <w:r w:rsidR="00876FD3">
        <w:t xml:space="preserve"> o </w:t>
      </w:r>
      <w:r w:rsidRPr="0050043A">
        <w:t>vystoupení Spojeného království,</w:t>
      </w:r>
      <w:r w:rsidR="00876FD3">
        <w:t xml:space="preserve"> a </w:t>
      </w:r>
      <w:r w:rsidRPr="0050043A">
        <w:t>to</w:t>
      </w:r>
      <w:r w:rsidR="00876FD3">
        <w:t xml:space="preserve"> i v </w:t>
      </w:r>
      <w:r w:rsidRPr="0050043A">
        <w:t>případě, že výsledek hlasování byl pro jejich život zása</w:t>
      </w:r>
      <w:r w:rsidR="0055223D" w:rsidRPr="0050043A">
        <w:t>dní. Právo volit ve volbách</w:t>
      </w:r>
      <w:r w:rsidR="00876FD3">
        <w:t xml:space="preserve"> a v </w:t>
      </w:r>
      <w:r w:rsidRPr="0050043A">
        <w:t>právních referendech je základním právem</w:t>
      </w:r>
      <w:r w:rsidR="00876FD3">
        <w:t xml:space="preserve"> a </w:t>
      </w:r>
      <w:r w:rsidRPr="0050043A">
        <w:t>musí být chráněno za všech okolností. Toto právo by občanům, kteří se rozhodnou usadit</w:t>
      </w:r>
      <w:r w:rsidR="00876FD3">
        <w:t xml:space="preserve"> a </w:t>
      </w:r>
      <w:r w:rsidRPr="0050043A">
        <w:t>volně se pohybovat</w:t>
      </w:r>
      <w:r w:rsidR="00876FD3">
        <w:t xml:space="preserve"> v </w:t>
      </w:r>
      <w:r w:rsidRPr="0050043A">
        <w:t>jiném členském státě, nemělo být odepřeno.</w:t>
      </w:r>
    </w:p>
    <w:p w:rsidR="00305ED2" w:rsidRPr="0050043A" w:rsidRDefault="00305ED2" w:rsidP="00305ED2">
      <w:pPr>
        <w:pStyle w:val="Normal12a"/>
        <w:jc w:val="both"/>
      </w:pPr>
      <w:r w:rsidRPr="0050043A">
        <w:t>Petiční výbor navíc zdůrazňuje, že hostitelský stát má zajistit, aby veškeré administrativní postupy pro předkládání žádostí</w:t>
      </w:r>
      <w:r w:rsidR="00876FD3">
        <w:t xml:space="preserve"> o </w:t>
      </w:r>
      <w:r w:rsidRPr="0050043A">
        <w:t>získání statusu oprávněného pobytu byly bezproblémové, transparentní</w:t>
      </w:r>
      <w:r w:rsidR="00876FD3">
        <w:t xml:space="preserve"> a </w:t>
      </w:r>
      <w:r w:rsidRPr="0050043A">
        <w:t>jednoduché</w:t>
      </w:r>
      <w:r w:rsidR="00876FD3">
        <w:t xml:space="preserve"> a </w:t>
      </w:r>
      <w:r w:rsidRPr="0050043A">
        <w:t>aby nedocházelo ke zbytečné administrativní zátěži. Výbor se domnívá, že systém „postupu registrace“ navržený ministerstvem vnitra Spojeného království pro státní příslušníky EU 27, kteří žádají</w:t>
      </w:r>
      <w:r w:rsidR="00876FD3">
        <w:t xml:space="preserve"> o </w:t>
      </w:r>
      <w:r w:rsidRPr="0050043A">
        <w:t>status pobytu, není tak transparentní</w:t>
      </w:r>
      <w:r w:rsidR="00876FD3">
        <w:t xml:space="preserve"> a </w:t>
      </w:r>
      <w:r w:rsidRPr="0050043A">
        <w:t>jednoduchý, jak by měl být, neboť vytváří zbytečnou</w:t>
      </w:r>
      <w:r w:rsidR="00876FD3">
        <w:t xml:space="preserve"> a </w:t>
      </w:r>
      <w:r w:rsidRPr="0050043A">
        <w:t>nespravedlivou administrativní zátěž pro občany EU 27</w:t>
      </w:r>
      <w:r w:rsidR="00876FD3">
        <w:t xml:space="preserve"> a </w:t>
      </w:r>
      <w:r w:rsidRPr="0050043A">
        <w:t>představuje dokonce</w:t>
      </w:r>
      <w:r w:rsidR="00876FD3">
        <w:t xml:space="preserve"> i </w:t>
      </w:r>
      <w:r w:rsidRPr="0050043A">
        <w:t>riziko, že občané, kteří získali status oprávněného pobytu, by</w:t>
      </w:r>
      <w:r w:rsidR="00876FD3">
        <w:t xml:space="preserve"> o </w:t>
      </w:r>
      <w:r w:rsidRPr="0050043A">
        <w:t>toto právo mohli být připraveni.</w:t>
      </w:r>
    </w:p>
    <w:p w:rsidR="00305ED2" w:rsidRPr="0050043A" w:rsidRDefault="00305ED2" w:rsidP="00305ED2">
      <w:pPr>
        <w:pStyle w:val="Normal12a"/>
        <w:jc w:val="both"/>
      </w:pPr>
      <w:r w:rsidRPr="0050043A">
        <w:t>Petiční výbor vyjadřuje znepokojení nad současným prováděním systému registrace</w:t>
      </w:r>
      <w:r w:rsidR="00876FD3">
        <w:t xml:space="preserve"> k </w:t>
      </w:r>
      <w:r w:rsidRPr="0050043A">
        <w:t>pobytu ve Spojeném království, zejména pokud jde</w:t>
      </w:r>
      <w:r w:rsidR="00876FD3">
        <w:t xml:space="preserve"> o </w:t>
      </w:r>
      <w:r w:rsidRPr="0050043A">
        <w:t>svévolné používání postupu udělování předběžného namísto plného statusu usazené osoby („pre</w:t>
      </w:r>
      <w:r w:rsidR="0055223D" w:rsidRPr="0050043A">
        <w:t>-settled to deny full“),</w:t>
      </w:r>
      <w:r w:rsidR="00876FD3">
        <w:t xml:space="preserve"> a </w:t>
      </w:r>
      <w:r w:rsidR="0055223D" w:rsidRPr="0050043A">
        <w:t>to</w:t>
      </w:r>
      <w:r w:rsidR="00876FD3">
        <w:t xml:space="preserve"> z </w:t>
      </w:r>
      <w:r w:rsidRPr="0050043A">
        <w:t>technických důvodů,</w:t>
      </w:r>
      <w:r w:rsidR="00876FD3">
        <w:t xml:space="preserve"> a </w:t>
      </w:r>
      <w:r w:rsidRPr="0050043A">
        <w:t>nad možnými důsledky pro osoby, kte</w:t>
      </w:r>
      <w:r w:rsidR="0055223D" w:rsidRPr="0050043A">
        <w:t>rým se nepodaří podat žádost ve </w:t>
      </w:r>
      <w:r w:rsidRPr="0050043A">
        <w:t>stanovené lhůtě. Tato obava se zakládá na rétorice ministerstva vnitra, pokud jde</w:t>
      </w:r>
      <w:r w:rsidR="00876FD3">
        <w:t xml:space="preserve"> o </w:t>
      </w:r>
      <w:r w:rsidRPr="0050043A">
        <w:t>možné deportace občanů EU, jakož</w:t>
      </w:r>
      <w:r w:rsidR="00876FD3">
        <w:t xml:space="preserve"> i </w:t>
      </w:r>
      <w:r w:rsidRPr="0050043A">
        <w:t>na neexistenci opatření na pomoc zranitelným občanům.</w:t>
      </w:r>
    </w:p>
    <w:p w:rsidR="00305ED2" w:rsidRPr="0050043A" w:rsidRDefault="00305ED2" w:rsidP="00305ED2">
      <w:pPr>
        <w:pStyle w:val="Normal12a"/>
        <w:jc w:val="both"/>
      </w:pPr>
      <w:r w:rsidRPr="0050043A">
        <w:lastRenderedPageBreak/>
        <w:t>S ohledem na výše uvedené skutečnosti vyzývá Petiční výbor orgány Spojeného království, aby přijaly veškerá nezbytná opatření, která zaručí, že práva občanů EU žijících ve Spojeném království budou náležitě chráněna</w:t>
      </w:r>
      <w:r w:rsidR="00876FD3">
        <w:t xml:space="preserve"> a </w:t>
      </w:r>
      <w:r w:rsidRPr="0050043A">
        <w:t>zaručena.</w:t>
      </w:r>
    </w:p>
    <w:p w:rsidR="00F26DAB" w:rsidRPr="0050043A" w:rsidRDefault="00305ED2" w:rsidP="00F26DAB">
      <w:pPr>
        <w:pStyle w:val="Normal12a"/>
        <w:jc w:val="both"/>
      </w:pPr>
      <w:r w:rsidRPr="0050043A">
        <w:t>Petiční výbor vyzývá Výbor pro ústavní záležitosti, aby Parlam</w:t>
      </w:r>
      <w:r w:rsidR="0055223D" w:rsidRPr="0050043A">
        <w:t>entu doporučil udělit souhlas</w:t>
      </w:r>
      <w:r w:rsidR="00876FD3">
        <w:t xml:space="preserve"> s </w:t>
      </w:r>
      <w:r w:rsidRPr="0050043A">
        <w:t>rozhodnutím Rady</w:t>
      </w:r>
      <w:r w:rsidR="00876FD3">
        <w:t xml:space="preserve"> o </w:t>
      </w:r>
      <w:r w:rsidRPr="0050043A">
        <w:t>uzavření Dohody</w:t>
      </w:r>
      <w:r w:rsidR="00876FD3">
        <w:t xml:space="preserve"> o </w:t>
      </w:r>
      <w:r w:rsidRPr="0050043A">
        <w:t>vystoupení Spojen</w:t>
      </w:r>
      <w:r w:rsidR="0055223D" w:rsidRPr="0050043A">
        <w:t>ého království Velké Británie</w:t>
      </w:r>
      <w:r w:rsidR="00876FD3">
        <w:t xml:space="preserve"> a </w:t>
      </w:r>
      <w:r w:rsidRPr="0050043A">
        <w:t>Severního Irska</w:t>
      </w:r>
      <w:r w:rsidR="00876FD3">
        <w:t xml:space="preserve"> z </w:t>
      </w:r>
      <w:r w:rsidRPr="0050043A">
        <w:t>Evropské unie</w:t>
      </w:r>
      <w:r w:rsidR="00876FD3">
        <w:t xml:space="preserve"> a </w:t>
      </w:r>
      <w:r w:rsidRPr="0050043A">
        <w:t>Evropského společenství pro atomovou energii.</w:t>
      </w:r>
    </w:p>
    <w:p w:rsidR="00F26DAB" w:rsidRPr="0050043A" w:rsidRDefault="00F26DAB" w:rsidP="00F26DAB">
      <w:pPr>
        <w:pStyle w:val="Normal12a"/>
        <w:jc w:val="both"/>
      </w:pPr>
    </w:p>
    <w:p w:rsidR="00F26DAB" w:rsidRPr="0050043A" w:rsidRDefault="00F26DAB" w:rsidP="00F26DAB">
      <w:pPr>
        <w:pStyle w:val="Normal12a"/>
        <w:jc w:val="both"/>
      </w:pPr>
    </w:p>
    <w:p w:rsidR="00F26DAB" w:rsidRPr="0050043A" w:rsidRDefault="00F26DAB" w:rsidP="00F26DAB">
      <w:pPr>
        <w:widowControl/>
        <w:jc w:val="both"/>
      </w:pPr>
      <w:r w:rsidRPr="0050043A">
        <w:t>S pozdravem,</w:t>
      </w:r>
    </w:p>
    <w:p w:rsidR="00F26DAB" w:rsidRPr="0050043A" w:rsidRDefault="00F26DAB" w:rsidP="00F26DAB">
      <w:pPr>
        <w:widowControl/>
        <w:jc w:val="both"/>
      </w:pPr>
    </w:p>
    <w:p w:rsidR="00F26DAB" w:rsidRPr="0050043A" w:rsidRDefault="00F26DAB" w:rsidP="00F26DAB">
      <w:pPr>
        <w:widowControl/>
        <w:jc w:val="both"/>
      </w:pPr>
    </w:p>
    <w:p w:rsidR="00F26DAB" w:rsidRPr="0050043A" w:rsidRDefault="00F26DAB" w:rsidP="00F26DAB">
      <w:pPr>
        <w:widowControl/>
        <w:jc w:val="both"/>
      </w:pPr>
    </w:p>
    <w:p w:rsidR="00F26DAB" w:rsidRPr="0050043A" w:rsidRDefault="00F26DAB" w:rsidP="00F26DAB">
      <w:pPr>
        <w:widowControl/>
        <w:jc w:val="both"/>
      </w:pPr>
      <w:r w:rsidRPr="0050043A">
        <w:t>Dolors Montserrat</w:t>
      </w:r>
    </w:p>
    <w:p w:rsidR="00F26DAB" w:rsidRPr="0050043A" w:rsidRDefault="00CC2B7A" w:rsidP="00F26DAB">
      <w:pPr>
        <w:widowControl/>
        <w:jc w:val="both"/>
      </w:pPr>
      <w:r w:rsidRPr="0050043A">
        <w:t>předsedkyně</w:t>
      </w:r>
    </w:p>
    <w:p w:rsidR="00F26DAB" w:rsidRPr="0050043A" w:rsidRDefault="00F26DAB" w:rsidP="00F26DAB">
      <w:pPr>
        <w:widowControl/>
      </w:pPr>
      <w:r w:rsidRPr="0050043A">
        <w:t>Petiční výbor</w:t>
      </w:r>
    </w:p>
    <w:p w:rsidR="009D564F" w:rsidRPr="0050043A" w:rsidRDefault="009D564F" w:rsidP="00305ED2">
      <w:pPr>
        <w:pStyle w:val="LetterSalutation"/>
      </w:pPr>
    </w:p>
    <w:sectPr w:rsidR="009D564F" w:rsidRPr="0050043A" w:rsidSect="00B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7E" w:rsidRPr="0050043A" w:rsidRDefault="0020347E">
      <w:r w:rsidRPr="0050043A">
        <w:separator/>
      </w:r>
    </w:p>
  </w:endnote>
  <w:endnote w:type="continuationSeparator" w:id="0">
    <w:p w:rsidR="0020347E" w:rsidRPr="0050043A" w:rsidRDefault="0020347E">
      <w:r w:rsidRPr="005004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2D" w:rsidRPr="0050043A" w:rsidRDefault="00B7342D" w:rsidP="00B7342D">
    <w:pPr>
      <w:pStyle w:val="EPFooter"/>
    </w:pPr>
    <w:r w:rsidRPr="0050043A">
      <w:t>PE</w:t>
    </w:r>
    <w:r w:rsidRPr="0050043A">
      <w:rPr>
        <w:rStyle w:val="HideTWBExt"/>
        <w:noProof w:val="0"/>
      </w:rPr>
      <w:t>&lt;NoPE&gt;</w:t>
    </w:r>
    <w:r w:rsidRPr="0050043A">
      <w:t>643.213</w:t>
    </w:r>
    <w:r w:rsidRPr="0050043A">
      <w:rPr>
        <w:rStyle w:val="HideTWBExt"/>
        <w:noProof w:val="0"/>
      </w:rPr>
      <w:t>&lt;/NoPE&gt;&lt;Version&gt;</w:t>
    </w:r>
    <w:r w:rsidRPr="0050043A">
      <w:t>v02-00</w:t>
    </w:r>
    <w:r w:rsidRPr="0050043A">
      <w:rPr>
        <w:rStyle w:val="HideTWBExt"/>
        <w:noProof w:val="0"/>
      </w:rPr>
      <w:t>&lt;/Version&gt;</w:t>
    </w:r>
    <w:r w:rsidRPr="0050043A">
      <w:tab/>
    </w:r>
    <w:r w:rsidRPr="0050043A">
      <w:fldChar w:fldCharType="begin"/>
    </w:r>
    <w:r w:rsidRPr="0050043A">
      <w:instrText xml:space="preserve"> PAGE  \* MERGEFORMAT </w:instrText>
    </w:r>
    <w:r w:rsidRPr="0050043A">
      <w:fldChar w:fldCharType="separate"/>
    </w:r>
    <w:r w:rsidR="00876FD3">
      <w:rPr>
        <w:noProof/>
      </w:rPr>
      <w:t>2</w:t>
    </w:r>
    <w:r w:rsidRPr="0050043A">
      <w:fldChar w:fldCharType="end"/>
    </w:r>
    <w:r w:rsidRPr="0050043A">
      <w:t>/</w:t>
    </w:r>
    <w:r w:rsidR="00876FD3">
      <w:fldChar w:fldCharType="begin"/>
    </w:r>
    <w:r w:rsidR="00876FD3">
      <w:instrText xml:space="preserve"> NUMPAGES  \* MERGEFORMAT </w:instrText>
    </w:r>
    <w:r w:rsidR="00876FD3">
      <w:fldChar w:fldCharType="separate"/>
    </w:r>
    <w:r w:rsidR="00876FD3">
      <w:rPr>
        <w:noProof/>
      </w:rPr>
      <w:t>3</w:t>
    </w:r>
    <w:r w:rsidR="00876FD3">
      <w:rPr>
        <w:noProof/>
      </w:rPr>
      <w:fldChar w:fldCharType="end"/>
    </w:r>
    <w:r w:rsidRPr="0050043A">
      <w:tab/>
    </w:r>
    <w:r w:rsidRPr="0050043A">
      <w:rPr>
        <w:rStyle w:val="HideTWBExt"/>
        <w:noProof w:val="0"/>
      </w:rPr>
      <w:t>&lt;PathFdR&gt;</w:t>
    </w:r>
    <w:r w:rsidRPr="0050043A">
      <w:t>AL\1196949CS.docx</w:t>
    </w:r>
    <w:r w:rsidRPr="0050043A">
      <w:rPr>
        <w:rStyle w:val="HideTWBExt"/>
        <w:noProof w:val="0"/>
      </w:rPr>
      <w:t>&lt;/PathFdR&gt;</w:t>
    </w:r>
  </w:p>
  <w:p w:rsidR="00000C7D" w:rsidRPr="0050043A" w:rsidRDefault="00B7342D" w:rsidP="00B7342D">
    <w:pPr>
      <w:pStyle w:val="EPFooter2"/>
    </w:pPr>
    <w:r w:rsidRPr="0050043A">
      <w:t>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2D" w:rsidRPr="0050043A" w:rsidRDefault="00B7342D" w:rsidP="00B7342D">
    <w:pPr>
      <w:pStyle w:val="EPFooter"/>
    </w:pPr>
    <w:r w:rsidRPr="0050043A">
      <w:rPr>
        <w:rStyle w:val="HideTWBExt"/>
        <w:noProof w:val="0"/>
      </w:rPr>
      <w:t>&lt;PathFdR&gt;</w:t>
    </w:r>
    <w:r w:rsidRPr="0050043A">
      <w:t>AL\1196949CS.docx</w:t>
    </w:r>
    <w:r w:rsidRPr="0050043A">
      <w:rPr>
        <w:rStyle w:val="HideTWBExt"/>
        <w:noProof w:val="0"/>
      </w:rPr>
      <w:t>&lt;/PathFdR&gt;</w:t>
    </w:r>
    <w:r w:rsidRPr="0050043A">
      <w:tab/>
    </w:r>
    <w:r w:rsidRPr="0050043A">
      <w:fldChar w:fldCharType="begin"/>
    </w:r>
    <w:r w:rsidRPr="0050043A">
      <w:instrText xml:space="preserve"> PAGE  \* MERGEFORMAT </w:instrText>
    </w:r>
    <w:r w:rsidRPr="0050043A">
      <w:fldChar w:fldCharType="separate"/>
    </w:r>
    <w:r w:rsidR="00876FD3">
      <w:rPr>
        <w:noProof/>
      </w:rPr>
      <w:t>3</w:t>
    </w:r>
    <w:r w:rsidRPr="0050043A">
      <w:fldChar w:fldCharType="end"/>
    </w:r>
    <w:r w:rsidRPr="0050043A">
      <w:t>/</w:t>
    </w:r>
    <w:r w:rsidR="00876FD3">
      <w:fldChar w:fldCharType="begin"/>
    </w:r>
    <w:r w:rsidR="00876FD3">
      <w:instrText xml:space="preserve"> NUMPAGES  \* MERGEFORMAT </w:instrText>
    </w:r>
    <w:r w:rsidR="00876FD3">
      <w:fldChar w:fldCharType="separate"/>
    </w:r>
    <w:r w:rsidR="00876FD3">
      <w:rPr>
        <w:noProof/>
      </w:rPr>
      <w:t>3</w:t>
    </w:r>
    <w:r w:rsidR="00876FD3">
      <w:rPr>
        <w:noProof/>
      </w:rPr>
      <w:fldChar w:fldCharType="end"/>
    </w:r>
    <w:r w:rsidRPr="0050043A">
      <w:tab/>
      <w:t>PE</w:t>
    </w:r>
    <w:r w:rsidRPr="0050043A">
      <w:rPr>
        <w:rStyle w:val="HideTWBExt"/>
        <w:noProof w:val="0"/>
      </w:rPr>
      <w:t>&lt;NoPE&gt;</w:t>
    </w:r>
    <w:r w:rsidRPr="0050043A">
      <w:t>643.213</w:t>
    </w:r>
    <w:r w:rsidRPr="0050043A">
      <w:rPr>
        <w:rStyle w:val="HideTWBExt"/>
        <w:noProof w:val="0"/>
      </w:rPr>
      <w:t>&lt;/NoPE&gt;&lt;Version&gt;</w:t>
    </w:r>
    <w:r w:rsidRPr="0050043A">
      <w:t>v02-00</w:t>
    </w:r>
    <w:r w:rsidRPr="0050043A">
      <w:rPr>
        <w:rStyle w:val="HideTWBExt"/>
        <w:noProof w:val="0"/>
      </w:rPr>
      <w:t>&lt;/Version&gt;</w:t>
    </w:r>
  </w:p>
  <w:p w:rsidR="00000C7D" w:rsidRPr="0050043A" w:rsidRDefault="00B7342D" w:rsidP="00B7342D">
    <w:pPr>
      <w:pStyle w:val="EPFooter2"/>
    </w:pPr>
    <w:r w:rsidRPr="0050043A">
      <w:tab/>
    </w:r>
    <w:r w:rsidRPr="0050043A">
      <w:tab/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2D" w:rsidRPr="0050043A" w:rsidRDefault="00B7342D" w:rsidP="00B7342D">
    <w:pPr>
      <w:pStyle w:val="EPFooter"/>
    </w:pPr>
    <w:r w:rsidRPr="0050043A">
      <w:rPr>
        <w:rStyle w:val="HideTWBExt"/>
        <w:noProof w:val="0"/>
      </w:rPr>
      <w:t>&lt;PathFdR&gt;</w:t>
    </w:r>
    <w:r w:rsidRPr="0050043A">
      <w:t>AL\1196949CS.docx</w:t>
    </w:r>
    <w:r w:rsidRPr="0050043A">
      <w:rPr>
        <w:rStyle w:val="HideTWBExt"/>
        <w:noProof w:val="0"/>
      </w:rPr>
      <w:t>&lt;/PathFdR&gt;</w:t>
    </w:r>
    <w:r w:rsidRPr="0050043A">
      <w:tab/>
    </w:r>
    <w:r w:rsidRPr="0050043A">
      <w:tab/>
      <w:t>PE</w:t>
    </w:r>
    <w:r w:rsidRPr="0050043A">
      <w:rPr>
        <w:rStyle w:val="HideTWBExt"/>
        <w:noProof w:val="0"/>
      </w:rPr>
      <w:t>&lt;NoPE&gt;</w:t>
    </w:r>
    <w:r w:rsidRPr="0050043A">
      <w:t>643.213</w:t>
    </w:r>
    <w:r w:rsidRPr="0050043A">
      <w:rPr>
        <w:rStyle w:val="HideTWBExt"/>
        <w:noProof w:val="0"/>
      </w:rPr>
      <w:t>&lt;/NoPE&gt;&lt;Version&gt;</w:t>
    </w:r>
    <w:r w:rsidRPr="0050043A">
      <w:t>v02-00</w:t>
    </w:r>
    <w:r w:rsidRPr="0050043A">
      <w:rPr>
        <w:rStyle w:val="HideTWBExt"/>
        <w:noProof w:val="0"/>
      </w:rPr>
      <w:t>&lt;/Version&gt;</w:t>
    </w:r>
  </w:p>
  <w:p w:rsidR="00000C7D" w:rsidRPr="0050043A" w:rsidRDefault="00B7342D" w:rsidP="00B7342D">
    <w:pPr>
      <w:pStyle w:val="EPFooter2"/>
    </w:pPr>
    <w:r w:rsidRPr="0050043A">
      <w:t>CS</w:t>
    </w:r>
    <w:r w:rsidRPr="0050043A">
      <w:tab/>
    </w:r>
    <w:r w:rsidRPr="0050043A">
      <w:rPr>
        <w:b w:val="0"/>
        <w:i/>
        <w:color w:val="C0C0C0"/>
        <w:sz w:val="22"/>
      </w:rPr>
      <w:t>Jednotná v rozmanitosti</w:t>
    </w:r>
    <w:r w:rsidRPr="0050043A">
      <w:tab/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7E" w:rsidRPr="0050043A" w:rsidRDefault="0020347E">
      <w:r w:rsidRPr="0050043A">
        <w:separator/>
      </w:r>
    </w:p>
  </w:footnote>
  <w:footnote w:type="continuationSeparator" w:id="0">
    <w:p w:rsidR="0020347E" w:rsidRPr="0050043A" w:rsidRDefault="0020347E">
      <w:r w:rsidRPr="0050043A">
        <w:continuationSeparator/>
      </w:r>
    </w:p>
  </w:footnote>
  <w:footnote w:id="1">
    <w:p w:rsidR="00305ED2" w:rsidRPr="0050043A" w:rsidRDefault="00305ED2" w:rsidP="00305ED2">
      <w:pPr>
        <w:pStyle w:val="FootnoteText"/>
      </w:pPr>
      <w:r w:rsidRPr="0050043A">
        <w:rPr>
          <w:rStyle w:val="FootnoteReference"/>
        </w:rPr>
        <w:footnoteRef/>
      </w:r>
      <w:r w:rsidRPr="0050043A">
        <w:t xml:space="preserve"> Konečného hlasování se zúčastnili:</w:t>
      </w:r>
      <w:r w:rsidR="0098679D" w:rsidRPr="0098679D">
        <w:t xml:space="preserve"> </w:t>
      </w:r>
      <w:r w:rsidR="0098679D">
        <w:t>Dolors Montserrat (předsedkyně), Tatjana Ždanoka (místopředsedkyně), Yana Toom (</w:t>
      </w:r>
      <w:r w:rsidR="0098679D" w:rsidRPr="0098679D">
        <w:t>místopředsedkyně</w:t>
      </w:r>
      <w:r w:rsidR="0098679D">
        <w:t>), Asim Ademov, Alex Agius Saliba, Isabel Benjumea Benjumea, Martin Buschmann, Angel Dzhambazki, Peter Jahr, Manolis Kefalogiannis, Ádám Kósa, Adriana Maldonado López, Ulrike Müller, Lefteris Nikolaou</w:t>
      </w:r>
      <w:r w:rsidR="0098679D">
        <w:noBreakHyphen/>
        <w:t>Alavanos, Demetris Papadakis, Sira Rego, Diana Riba i Giner, Alfred Sant, Nico Semsrott, Andrey Slabakov, Ramona Strugariu, Loránt Vincze, Rainer Wieland, Kosma Złotowski.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9D" w:rsidRDefault="0098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9D" w:rsidRDefault="00986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9D" w:rsidRDefault="0098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0A28"/>
    <w:multiLevelType w:val="singleLevel"/>
    <w:tmpl w:val="A01CE988"/>
    <w:lvl w:ilvl="0">
      <w:start w:val="35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866D9D"/>
    <w:multiLevelType w:val="singleLevel"/>
    <w:tmpl w:val="88A23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092F1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MNU" w:val=" 1"/>
    <w:docVar w:name="COM2KEY" w:val="AFCO"/>
    <w:docVar w:name="COMKEY" w:val="PETI"/>
    <w:docVar w:name="LastEditedSection" w:val=" 1"/>
    <w:docVar w:name="RepeatBlock-AmendCS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0\fbidi \froman\fcharset238\fprq2 Times New Roman CE;}{\f291\fbidi \froman\fcharset204\fprq2 Times New Roman Cyr;}_x000d__x000a_{\f293\fbidi \froman\fcharset161\fprq2 Times New Roman Greek;}{\f294\fbidi \froman\fcharset162\fprq2 Times New Roman Tur;}{\f295\fbidi \froman\fcharset177\fprq2 Times New Roman (Hebrew);}{\f296\fbidi \froman\fcharset178\fprq2 Times New Roman (Arabic);}_x000d__x000a_{\f297\fbidi \froman\fcharset186\fprq2 Times New Roman Baltic;}{\f298\fbidi \froman\fcharset163\fprq2 Times New Roman (Vietnamese);}{\f300\fbidi \fswiss\fcharset238\fprq2 Arial CE;}{\f301\fbidi \fswiss\fcharset204\fprq2 Arial Cyr;}_x000d__x000a_{\f303\fbidi \fswiss\fcharset161\fprq2 Arial Greek;}{\f304\fbidi \fswiss\fcharset162\fprq2 Arial Tur;}{\f305\fbidi \fswiss\fcharset177\fprq2 Arial (Hebrew);}{\f306\fbidi \fswiss\fcharset178\fprq2 Arial (Arabic);}_x000d__x000a_{\f307\fbidi \fswiss\fcharset186\fprq2 Arial Baltic;}{\f308\fbidi \fswiss\fcharset163\fprq2 Arial (Vietnamese);}{\f630\fbidi \froman\fcharset238\fprq2 Cambria Math CE;}{\f631\fbidi \froman\fcharset204\fprq2 Cambria Math Cyr;}_x000d__x000a_{\f633\fbidi \froman\fcharset161\fprq2 Cambria Math Greek;}{\f634\fbidi \froman\fcharset162\fprq2 Cambria Math Tur;}{\f637\fbidi \froman\fcharset186\fprq2 Cambria Math Baltic;}{\f63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3124091 HideTWBInt;}{_x000d__x000a_\s18\ql \fi-567\li567\ri0\sa240\nowidctlpar\wrapdefault\aspalpha\aspnum\faauto\adjustright\rin0\lin567\itap0 \rtlch\fcs1 \af0\afs20\alang1025 \ltrch\fcs0 \fs24\lang1029\langfe2057\cgrid\langnp1029\langfenp2057 _x000d__x000a_\sbasedon0 \snext18 \spriority0 \styrsid13124091 NormalHanging12a;}}{\*\rsidtbl \rsid24658\rsid223860\rsid735077\rsid1718133\rsid2892074\rsid3565327\rsid4666813\rsid6641733\rsid7823322\rsid9636012\rsid10377208\rsid11215221\rsid11549030\rsid12154954_x000d__x000a_\rsid13124091\rsid14382809\rsid14424199\rsid14641810\rsid15204470\rsid15285974\rsid15950462\rsid16324206\rsid16662270}{\mmathPr\mmathFont34\mbrkBin0\mbrkBinSub0\msmallFrac0\mdispDef1\mlMargin0\mrMargin0\mdefJc1\mwrapIndent1440\mintLim0\mnaryLim1}{\info_x000d__x000a_{\author EINHORNOVA Marta}{\operator EINHORNOVA Marta}{\creatim\yr2019\mo12\dy9\hr9\min28}{\revtim\yr2019\mo12\dy9\hr9\min28}{\version1}{\edmins0}{\nofpages1}{\nofwords0}{\nofchars12}{\nofcharsws12}{\vern99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12409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EINHO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6418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6418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6418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64181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3124091 \rtlch\fcs1 \af0\afs20\alang1025 \ltrch\fcs0 \fs24\lang1029\langfe2057\cgrid\langnp1029\langfenp2057 {\rtlch\fcs1 \af0 _x000d__x000a_\ltrch\fcs0 \insrsid13124091\charrsid2110590 {\*\bkmkstart restart}#}{\rtlch\fcs1 \af1 \ltrch\fcs0 \cs17\v\f1\fs20\cf15\insrsid13124091\charrsid2110590 NRMSG}{\rtlch\fcs1 \af0 \ltrch\fcs0 \insrsid13124091\charrsid2110590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d_x000d__x000a_a49e6aae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3030495 NormalHanging12a;}}{\*\rsidtbl \rsid24658\rsid358857\rsid735077\rsid787282\rsid2892074\rsid3030495\rsid3622648\rsid3633181\rsid4666813\rsid5708216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5\hr16\min48}{\revtim\yr2019\mo7\dy5\hr16\min48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03049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63318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331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331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3318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3030495 \rtlch\fcs1 \af0\afs20\alang1025 \ltrch\fcs0 \fs24\lang2057\langfe2057\cgrid\langnp2057\langfenp2057 {\rtlch\fcs1 \af0 _x000d__x000a_\ltrch\fcs0 \insrsid3030495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9_x000d__x000a_53c6403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L_COM"/>
    <w:docVar w:name="strSubDir" w:val="1196"/>
    <w:docVar w:name="TXTLANGUE" w:val="CS"/>
    <w:docVar w:name="TXTLANGUEMIN" w:val="cs"/>
    <w:docVar w:name="TXTNRPE" w:val="643.213"/>
    <w:docVar w:name="TXTPEorAP" w:val="PE"/>
    <w:docVar w:name="TXTROUTE" w:val="AL\1196949CS.docx"/>
    <w:docVar w:name="TXTVERSION" w:val="02-00"/>
  </w:docVars>
  <w:rsids>
    <w:rsidRoot w:val="0020347E"/>
    <w:rsid w:val="00000C7D"/>
    <w:rsid w:val="00035402"/>
    <w:rsid w:val="000923BD"/>
    <w:rsid w:val="00140049"/>
    <w:rsid w:val="001924F0"/>
    <w:rsid w:val="001D1646"/>
    <w:rsid w:val="001E1ECB"/>
    <w:rsid w:val="0020347E"/>
    <w:rsid w:val="002F3C5F"/>
    <w:rsid w:val="00305ED2"/>
    <w:rsid w:val="003740E8"/>
    <w:rsid w:val="003763A3"/>
    <w:rsid w:val="003A06AA"/>
    <w:rsid w:val="003C6D88"/>
    <w:rsid w:val="00482DA5"/>
    <w:rsid w:val="00493031"/>
    <w:rsid w:val="004D0D33"/>
    <w:rsid w:val="004F676F"/>
    <w:rsid w:val="0050043A"/>
    <w:rsid w:val="00501E47"/>
    <w:rsid w:val="0055223D"/>
    <w:rsid w:val="00604B0E"/>
    <w:rsid w:val="006964BC"/>
    <w:rsid w:val="007179A7"/>
    <w:rsid w:val="00722A49"/>
    <w:rsid w:val="007732C5"/>
    <w:rsid w:val="007829F6"/>
    <w:rsid w:val="007B162F"/>
    <w:rsid w:val="007B5A4E"/>
    <w:rsid w:val="007C3F41"/>
    <w:rsid w:val="0080636E"/>
    <w:rsid w:val="008249C6"/>
    <w:rsid w:val="00853AFA"/>
    <w:rsid w:val="00862D62"/>
    <w:rsid w:val="00876FD3"/>
    <w:rsid w:val="0098679D"/>
    <w:rsid w:val="009D564F"/>
    <w:rsid w:val="009F796C"/>
    <w:rsid w:val="00A02156"/>
    <w:rsid w:val="00A10666"/>
    <w:rsid w:val="00A2231F"/>
    <w:rsid w:val="00A31FC7"/>
    <w:rsid w:val="00A61B6A"/>
    <w:rsid w:val="00AC0580"/>
    <w:rsid w:val="00B3064A"/>
    <w:rsid w:val="00B41EC3"/>
    <w:rsid w:val="00B454AC"/>
    <w:rsid w:val="00B61A16"/>
    <w:rsid w:val="00B7342D"/>
    <w:rsid w:val="00BB7240"/>
    <w:rsid w:val="00C127ED"/>
    <w:rsid w:val="00CC2B7A"/>
    <w:rsid w:val="00CE1655"/>
    <w:rsid w:val="00D77EF1"/>
    <w:rsid w:val="00D92A83"/>
    <w:rsid w:val="00DB0EE7"/>
    <w:rsid w:val="00DC2BF8"/>
    <w:rsid w:val="00E01DC1"/>
    <w:rsid w:val="00E042DA"/>
    <w:rsid w:val="00E148FC"/>
    <w:rsid w:val="00E2514A"/>
    <w:rsid w:val="00E56898"/>
    <w:rsid w:val="00E71F4C"/>
    <w:rsid w:val="00E771D1"/>
    <w:rsid w:val="00EB78C7"/>
    <w:rsid w:val="00EC0627"/>
    <w:rsid w:val="00F22C57"/>
    <w:rsid w:val="00F26DAB"/>
    <w:rsid w:val="00F70D50"/>
    <w:rsid w:val="00F96EAB"/>
    <w:rsid w:val="00FB636C"/>
    <w:rsid w:val="00FC705F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87BE-D5ED-4431-8546-2221459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66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B61A1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LetterDate">
    <w:name w:val="LetterDate"/>
    <w:basedOn w:val="Normal"/>
    <w:rsid w:val="007C3F41"/>
    <w:pPr>
      <w:spacing w:before="720" w:after="240"/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Name">
    <w:name w:val="EPName"/>
    <w:basedOn w:val="Normal"/>
    <w:rsid w:val="00CE165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CE165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E1655"/>
    <w:pPr>
      <w:jc w:val="right"/>
    </w:pPr>
  </w:style>
  <w:style w:type="paragraph" w:customStyle="1" w:styleId="LetterSalutation">
    <w:name w:val="LetterSalutation"/>
    <w:basedOn w:val="Normal"/>
    <w:rsid w:val="003740E8"/>
    <w:pPr>
      <w:spacing w:before="600" w:after="360"/>
    </w:pPr>
  </w:style>
  <w:style w:type="paragraph" w:customStyle="1" w:styleId="LetterSubject">
    <w:name w:val="LetterSubject"/>
    <w:basedOn w:val="Normal"/>
    <w:rsid w:val="00BB7240"/>
    <w:pPr>
      <w:spacing w:before="480"/>
      <w:ind w:left="1134" w:hanging="1134"/>
    </w:pPr>
  </w:style>
  <w:style w:type="paragraph" w:customStyle="1" w:styleId="LetterSignature">
    <w:name w:val="LetterSignature"/>
    <w:basedOn w:val="Normal"/>
    <w:next w:val="Normal"/>
    <w:rsid w:val="003740E8"/>
    <w:pPr>
      <w:spacing w:before="1320"/>
    </w:pPr>
  </w:style>
  <w:style w:type="table" w:styleId="TableGrid">
    <w:name w:val="Table Grid"/>
    <w:basedOn w:val="TableNormal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7C3F4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00C7D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E771D1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PageHeadingNotTOC">
    <w:name w:val="PageHeadingNotTOC"/>
    <w:basedOn w:val="Normal"/>
    <w:rsid w:val="007C3F41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Hanging12a">
    <w:name w:val="NormalHanging12a"/>
    <w:basedOn w:val="Normal"/>
    <w:rsid w:val="007C3F41"/>
    <w:pPr>
      <w:spacing w:after="240"/>
      <w:ind w:left="567" w:hanging="567"/>
    </w:pPr>
  </w:style>
  <w:style w:type="paragraph" w:customStyle="1" w:styleId="EPFooter">
    <w:name w:val="EPFooter"/>
    <w:basedOn w:val="Normal"/>
    <w:rsid w:val="00E56898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Header">
    <w:name w:val="header"/>
    <w:basedOn w:val="Normal"/>
    <w:link w:val="HeaderChar"/>
    <w:semiHidden/>
    <w:rsid w:val="00E56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148FC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02156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305ED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05ED2"/>
  </w:style>
  <w:style w:type="character" w:styleId="FootnoteReference">
    <w:name w:val="footnote reference"/>
    <w:basedOn w:val="DefaultParagraphFont"/>
    <w:uiPriority w:val="99"/>
    <w:rsid w:val="00305ED2"/>
    <w:rPr>
      <w:vertAlign w:val="superscript"/>
    </w:rPr>
  </w:style>
  <w:style w:type="paragraph" w:styleId="BalloonText">
    <w:name w:val="Balloon Text"/>
    <w:basedOn w:val="Normal"/>
    <w:link w:val="BalloonTextChar"/>
    <w:rsid w:val="00F2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6DAB"/>
    <w:rPr>
      <w:rFonts w:ascii="Segoe UI" w:hAnsi="Segoe UI" w:cs="Segoe UI"/>
      <w:sz w:val="18"/>
      <w:szCs w:val="18"/>
      <w:lang w:val="cs-CZ"/>
    </w:rPr>
  </w:style>
  <w:style w:type="paragraph" w:styleId="Footer">
    <w:name w:val="footer"/>
    <w:basedOn w:val="Normal"/>
    <w:link w:val="FooterChar"/>
    <w:semiHidden/>
    <w:rsid w:val="00F26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26DAB"/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NHO~1\AppData\Local\Temp\AL_C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AL_COM</Template>
  <TotalTime>0</TotalTime>
  <Pages>3</Pages>
  <Words>853</Words>
  <Characters>5089</Characters>
  <Application>Microsoft Office Word</Application>
  <DocSecurity>0</DocSecurity>
  <Lines>231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AL_Com</vt:lpstr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AL_Com</dc:title>
  <dc:subject/>
  <dc:creator>EINHORNOVA Marta</dc:creator>
  <cp:keywords/>
  <dc:description/>
  <cp:lastModifiedBy>SOCHOROVA Lenka</cp:lastModifiedBy>
  <cp:revision>2</cp:revision>
  <cp:lastPrinted>2019-12-09T08:39:00Z</cp:lastPrinted>
  <dcterms:created xsi:type="dcterms:W3CDTF">2020-01-23T13:34:00Z</dcterms:created>
  <dcterms:modified xsi:type="dcterms:W3CDTF">2020-01-23T13:34:00Z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1196949</vt:lpwstr>
  </property>
  <property fmtid="{D5CDD505-2E9C-101B-9397-08002B2CF9AE}" pid="5" name="&lt;Type&gt;">
    <vt:lpwstr>AL</vt:lpwstr>
  </property>
  <property fmtid="{D5CDD505-2E9C-101B-9397-08002B2CF9AE}" pid="6" name="&lt;ModelCod&gt;">
    <vt:lpwstr>\\eiciLUXpr1\pdocep$\DocEP\DOCS\General\AL\AL_COM.dotx(15/10/2019 06:18:35)</vt:lpwstr>
  </property>
  <property fmtid="{D5CDD505-2E9C-101B-9397-08002B2CF9AE}" pid="7" name="&lt;ModelTra&gt;">
    <vt:lpwstr>\\eiciLUXpr1\pdocep$\DocEP\TRANSFIL\CS\AL_COM.CS(03/10/2019 14:19:00)</vt:lpwstr>
  </property>
  <property fmtid="{D5CDD505-2E9C-101B-9397-08002B2CF9AE}" pid="8" name="&lt;Model&gt;">
    <vt:lpwstr>AL_COM</vt:lpwstr>
  </property>
  <property fmtid="{D5CDD505-2E9C-101B-9397-08002B2CF9AE}" pid="9" name="FooterPath">
    <vt:lpwstr>AL\1196949CS.docx</vt:lpwstr>
  </property>
  <property fmtid="{D5CDD505-2E9C-101B-9397-08002B2CF9AE}" pid="10" name="PE number">
    <vt:lpwstr>643.213</vt:lpwstr>
  </property>
  <property fmtid="{D5CDD505-2E9C-101B-9397-08002B2CF9AE}" pid="11" name="Bookout">
    <vt:lpwstr>OK - 2020/01/23 14:33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CS</vt:lpwstr>
  </property>
</Properties>
</file>