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D2B42" w:rsidRPr="00D204AE" w:rsidTr="009434F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D2B42" w:rsidRPr="00D204AE" w:rsidRDefault="00CB50F3" w:rsidP="009434F7">
            <w:pPr>
              <w:pStyle w:val="EPName"/>
            </w:pPr>
            <w:bookmarkStart w:id="0" w:name="_GoBack"/>
            <w:bookmarkEnd w:id="0"/>
            <w:r w:rsidRPr="00D204AE">
              <w:t>Európai Parlament</w:t>
            </w:r>
          </w:p>
          <w:p w:rsidR="005D2B42" w:rsidRPr="00D204AE" w:rsidRDefault="00B96CF7" w:rsidP="00B96CF7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D204AE">
              <w:t>2019-2024</w:t>
            </w:r>
          </w:p>
        </w:tc>
        <w:tc>
          <w:tcPr>
            <w:tcW w:w="2268" w:type="dxa"/>
            <w:shd w:val="clear" w:color="auto" w:fill="auto"/>
          </w:tcPr>
          <w:p w:rsidR="005D2B42" w:rsidRPr="00D204AE" w:rsidRDefault="00D204AE" w:rsidP="009434F7">
            <w:pPr>
              <w:pStyle w:val="EPLogo"/>
            </w:pPr>
            <w:r w:rsidRPr="00D204A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6pt;height:51.25pt">
                  <v:imagedata r:id="rId7" o:title="EP logo RGB_Mute"/>
                </v:shape>
              </w:pict>
            </w:r>
          </w:p>
        </w:tc>
      </w:tr>
    </w:tbl>
    <w:p w:rsidR="00586F3B" w:rsidRPr="00D204AE" w:rsidRDefault="00586F3B" w:rsidP="00586F3B">
      <w:pPr>
        <w:pStyle w:val="LineTop"/>
      </w:pPr>
    </w:p>
    <w:p w:rsidR="00586F3B" w:rsidRPr="00D204AE" w:rsidRDefault="00586F3B" w:rsidP="00586F3B">
      <w:pPr>
        <w:pStyle w:val="ZCommittee"/>
      </w:pPr>
      <w:r w:rsidRPr="00D204AE">
        <w:rPr>
          <w:rStyle w:val="HideTWBExt"/>
          <w:noProof w:val="0"/>
        </w:rPr>
        <w:t>&lt;</w:t>
      </w:r>
      <w:r w:rsidRPr="00D204AE">
        <w:rPr>
          <w:rStyle w:val="HideTWBExt"/>
          <w:i w:val="0"/>
          <w:noProof w:val="0"/>
        </w:rPr>
        <w:t>Commission</w:t>
      </w:r>
      <w:r w:rsidRPr="00D204AE">
        <w:rPr>
          <w:rStyle w:val="HideTWBExt"/>
          <w:noProof w:val="0"/>
        </w:rPr>
        <w:t>&gt;</w:t>
      </w:r>
      <w:r w:rsidRPr="00D204AE">
        <w:rPr>
          <w:rStyle w:val="HideTWBInt"/>
        </w:rPr>
        <w:t>{PETI}</w:t>
      </w:r>
      <w:r w:rsidRPr="00D204AE">
        <w:t>Petíciós Bizottság</w:t>
      </w:r>
      <w:r w:rsidRPr="00D204AE">
        <w:rPr>
          <w:rStyle w:val="HideTWBExt"/>
          <w:noProof w:val="0"/>
        </w:rPr>
        <w:t>&lt;/</w:t>
      </w:r>
      <w:r w:rsidRPr="00D204AE">
        <w:rPr>
          <w:rStyle w:val="HideTWBExt"/>
          <w:i w:val="0"/>
          <w:noProof w:val="0"/>
        </w:rPr>
        <w:t>Commission</w:t>
      </w:r>
      <w:r w:rsidRPr="00D204AE">
        <w:rPr>
          <w:rStyle w:val="HideTWBExt"/>
          <w:noProof w:val="0"/>
        </w:rPr>
        <w:t>&gt;</w:t>
      </w:r>
    </w:p>
    <w:p w:rsidR="00586F3B" w:rsidRPr="00D204AE" w:rsidRDefault="00586F3B" w:rsidP="00586F3B">
      <w:pPr>
        <w:pStyle w:val="LineBottom"/>
      </w:pPr>
    </w:p>
    <w:p w:rsidR="00C26FE8" w:rsidRPr="00D204AE" w:rsidRDefault="00C26FE8" w:rsidP="00C26FE8">
      <w:pPr>
        <w:pStyle w:val="ZDateCM"/>
      </w:pPr>
      <w:r w:rsidRPr="00D204AE">
        <w:rPr>
          <w:rStyle w:val="HideTWBExt"/>
          <w:noProof w:val="0"/>
        </w:rPr>
        <w:t>&lt;Date&gt;</w:t>
      </w:r>
      <w:r w:rsidRPr="00D204AE">
        <w:rPr>
          <w:rStyle w:val="HideTWBInt"/>
        </w:rPr>
        <w:t>{24/07/2019}</w:t>
      </w:r>
      <w:r w:rsidRPr="00D204AE">
        <w:t>24.7.2019</w:t>
      </w:r>
      <w:r w:rsidRPr="00D204AE">
        <w:rPr>
          <w:rStyle w:val="HideTWBExt"/>
          <w:noProof w:val="0"/>
        </w:rPr>
        <w:t>&lt;/Date&gt;</w:t>
      </w:r>
    </w:p>
    <w:p w:rsidR="00742098" w:rsidRPr="00D204AE" w:rsidRDefault="00742098" w:rsidP="00742098">
      <w:pPr>
        <w:pStyle w:val="TypeDoc"/>
      </w:pPr>
      <w:r w:rsidRPr="00D204AE">
        <w:rPr>
          <w:rStyle w:val="HideTWBExt"/>
          <w:b w:val="0"/>
          <w:noProof w:val="0"/>
        </w:rPr>
        <w:t>&lt;TitreType&gt;</w:t>
      </w:r>
      <w:r w:rsidRPr="00D204AE">
        <w:t>KÖZLEMÉNY A KÉPVISELŐK RÉSZÉRE</w:t>
      </w:r>
      <w:r w:rsidRPr="00D204AE">
        <w:rPr>
          <w:rStyle w:val="HideTWBExt"/>
          <w:b w:val="0"/>
          <w:noProof w:val="0"/>
        </w:rPr>
        <w:t>&lt;/TitreType&gt;</w:t>
      </w:r>
    </w:p>
    <w:p w:rsidR="00742098" w:rsidRPr="00D204AE" w:rsidRDefault="00CB50F3" w:rsidP="00B96CF7">
      <w:pPr>
        <w:pStyle w:val="SubjectCM"/>
        <w:jc w:val="both"/>
      </w:pPr>
      <w:r w:rsidRPr="00D204AE">
        <w:t>Tárgy:</w:t>
      </w:r>
      <w:r w:rsidRPr="00D204AE">
        <w:tab/>
      </w:r>
      <w:r w:rsidRPr="00D204AE">
        <w:rPr>
          <w:rStyle w:val="HideTWBExt"/>
          <w:noProof w:val="0"/>
        </w:rPr>
        <w:t>&lt;TITRE&gt;</w:t>
      </w:r>
      <w:r w:rsidRPr="00D204AE">
        <w:t xml:space="preserve"> P. F. N. spanyol állampolgár által a „Coordinadora Antencoro do Umia” nevében benyújtott 1123/2018. számú petíció a galíciai Umia folyón található A Baxe gát bontásáról</w:t>
      </w:r>
      <w:r w:rsidRPr="00D204AE">
        <w:rPr>
          <w:rStyle w:val="HideTWBExt"/>
          <w:noProof w:val="0"/>
        </w:rPr>
        <w:t>&lt;/TITRE&gt;</w:t>
      </w:r>
    </w:p>
    <w:p w:rsidR="00742098" w:rsidRPr="00D204AE" w:rsidRDefault="00742098" w:rsidP="00B96CF7">
      <w:pPr>
        <w:pStyle w:val="Normal12a12bHanging"/>
        <w:jc w:val="both"/>
        <w:rPr>
          <w:b/>
        </w:rPr>
      </w:pPr>
      <w:r w:rsidRPr="00D204AE">
        <w:rPr>
          <w:b/>
        </w:rPr>
        <w:t>1.</w:t>
      </w:r>
      <w:r w:rsidRPr="00D204AE">
        <w:rPr>
          <w:b/>
        </w:rPr>
        <w:tab/>
        <w:t>A petíció összefoglalása</w:t>
      </w:r>
    </w:p>
    <w:p w:rsidR="00742098" w:rsidRPr="00D204AE" w:rsidRDefault="00B96CF7" w:rsidP="00B96CF7">
      <w:pPr>
        <w:jc w:val="both"/>
      </w:pPr>
      <w:r w:rsidRPr="00D204AE">
        <w:t>A petíció benyújtója annak biztosítására szólít fel, hogy az illetékes hatóságok sürgősen hozzanak olyan intézkedéseket, amelyek lehetővé teszik a galíciai Umia folyó állapotának helyreállítását az A Baxe vízerőmű duzzasztógátjának lebontása révén. A petíció benyújtója azt kifogásolja, hogy a gát megépítése súlyos környezeti károkat okozott a folyómederben, ami káros következményekkel jár az emberek és állatok egészségére nézve.</w:t>
      </w:r>
    </w:p>
    <w:p w:rsidR="00742098" w:rsidRPr="00D204AE" w:rsidRDefault="00742098" w:rsidP="00B96CF7">
      <w:pPr>
        <w:pStyle w:val="Normal12a12bHanging"/>
        <w:jc w:val="both"/>
        <w:rPr>
          <w:b/>
        </w:rPr>
      </w:pPr>
      <w:r w:rsidRPr="00D204AE">
        <w:rPr>
          <w:b/>
        </w:rPr>
        <w:t>2.</w:t>
      </w:r>
      <w:r w:rsidRPr="00D204AE">
        <w:rPr>
          <w:b/>
        </w:rPr>
        <w:tab/>
        <w:t>Elfogadhatóság</w:t>
      </w:r>
    </w:p>
    <w:p w:rsidR="00742098" w:rsidRPr="00D204AE" w:rsidRDefault="00B96CF7" w:rsidP="00B96CF7">
      <w:pPr>
        <w:jc w:val="both"/>
      </w:pPr>
      <w:r w:rsidRPr="00D204AE">
        <w:t>Elfogadhatónak nyilvánítva: 2019. március 4. Tájékoztatás kérése a Bizottságtól (az eljárási szabályzat 227. cikkének (6) bekezdése szerint) megtörtént.</w:t>
      </w:r>
    </w:p>
    <w:p w:rsidR="00742098" w:rsidRPr="00D204AE" w:rsidRDefault="00B96CF7">
      <w:pPr>
        <w:pStyle w:val="Normal12a12bHanging"/>
      </w:pPr>
      <w:r w:rsidRPr="00D204AE">
        <w:rPr>
          <w:b/>
        </w:rPr>
        <w:t>3.</w:t>
      </w:r>
      <w:r w:rsidRPr="00D204AE">
        <w:rPr>
          <w:b/>
        </w:rPr>
        <w:tab/>
        <w:t>A Bizottságtól kapott válasz:</w:t>
      </w:r>
      <w:r w:rsidRPr="00D204AE">
        <w:t xml:space="preserve"> 2019. július 24.</w:t>
      </w:r>
    </w:p>
    <w:p w:rsidR="00B96CF7" w:rsidRPr="00D204AE" w:rsidRDefault="00B96CF7" w:rsidP="00B96CF7">
      <w:pPr>
        <w:tabs>
          <w:tab w:val="left" w:pos="0"/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</w:tabs>
        <w:suppressAutoHyphens/>
        <w:autoSpaceDE w:val="0"/>
        <w:autoSpaceDN w:val="0"/>
        <w:adjustRightInd w:val="0"/>
        <w:spacing w:before="240" w:after="240"/>
        <w:rPr>
          <w:spacing w:val="-3"/>
          <w:u w:val="single"/>
        </w:rPr>
      </w:pPr>
      <w:r w:rsidRPr="00D204AE">
        <w:rPr>
          <w:u w:val="single"/>
        </w:rPr>
        <w:t>A Bizottság észrevételei</w:t>
      </w:r>
    </w:p>
    <w:p w:rsidR="00B96CF7" w:rsidRPr="00D204AE" w:rsidRDefault="00B96CF7" w:rsidP="00B96CF7">
      <w:pPr>
        <w:tabs>
          <w:tab w:val="left" w:pos="0"/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</w:tabs>
        <w:suppressAutoHyphens/>
        <w:autoSpaceDE w:val="0"/>
        <w:autoSpaceDN w:val="0"/>
        <w:adjustRightInd w:val="0"/>
        <w:spacing w:before="240" w:after="240"/>
        <w:jc w:val="both"/>
        <w:rPr>
          <w:spacing w:val="-3"/>
        </w:rPr>
      </w:pPr>
      <w:r w:rsidRPr="00D204AE">
        <w:t xml:space="preserve">Ahogyan arra a petíció benyújtója is rámutat, a 0079/1998. számú petíciót követően a Bizottság saját kezdeményezésére kötelezettségszegési eljárást indított (hiv.: 1999/2271) annak ellenőrzése érdekében, hogy a spanyol hatóságok a jelen ügyben helyesen alkalmazzák-e az uniós környezetvédelmi jogszabályok vonatkozó rendelkezéseit. A Bizottság által a kötelezettségszegési eljárás során összegyűjtött információkból levont következtetések nem utalnak az uniós jog megsértése: a szóban forgó – 1998-ban engedélyezett – gátépítési </w:t>
      </w:r>
      <w:r w:rsidRPr="00D204AE">
        <w:lastRenderedPageBreak/>
        <w:t>projektet a 85/337/EGK irányelv</w:t>
      </w:r>
      <w:r w:rsidRPr="00D204AE">
        <w:rPr>
          <w:rStyle w:val="FootnoteReference"/>
          <w:spacing w:val="-3"/>
        </w:rPr>
        <w:footnoteReference w:id="1"/>
      </w:r>
      <w:r w:rsidRPr="00D204AE">
        <w:t xml:space="preserve"> rendelkezéseivel összhangban környezeti hatásvizsgálatnak vetették alá. Az illetékes spanyol bíróság egy 1999-ben meghozott ítéletben ugyanezt a következtetést vonta le. A Bizottság ennek megfelelően 2006. decemberében úgy határozott, hogy lezárja az 1999/2271. számú kötelezettségszegési eljárást. A Bizottság megfelelően tájékoztatta a Petíciós Bizottságot, valamint a petíciók benyújtóit a kötelezettségszegési eljárás lefolytatása során bekövetkezett valamennyi fejleményről, és az ügy lezárását megalapozó indokokról.</w:t>
      </w:r>
    </w:p>
    <w:p w:rsidR="00B96CF7" w:rsidRPr="00D204AE" w:rsidRDefault="00B96CF7" w:rsidP="00B96CF7">
      <w:pPr>
        <w:tabs>
          <w:tab w:val="left" w:pos="0"/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</w:tabs>
        <w:suppressAutoHyphens/>
        <w:autoSpaceDE w:val="0"/>
        <w:autoSpaceDN w:val="0"/>
        <w:adjustRightInd w:val="0"/>
        <w:spacing w:before="240" w:after="240"/>
        <w:jc w:val="both"/>
        <w:rPr>
          <w:spacing w:val="-3"/>
        </w:rPr>
      </w:pPr>
      <w:r w:rsidRPr="00D204AE">
        <w:t xml:space="preserve">A Bizottság megjegyzi, hogy a petíció benyújtói által állításaik alátámasztására benyújtott egyetlen bizonyíték néhány olyan fényképet tartalmaz, amely a folyó korábbi és jelenlegi állapotát hasonlítja össze. </w:t>
      </w:r>
    </w:p>
    <w:p w:rsidR="00B96CF7" w:rsidRPr="00D204AE" w:rsidRDefault="00B96CF7" w:rsidP="00B96CF7">
      <w:pPr>
        <w:tabs>
          <w:tab w:val="left" w:pos="0"/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  <w:tab w:val="left" w:pos="7771"/>
          <w:tab w:val="left" w:pos="8491"/>
        </w:tabs>
        <w:suppressAutoHyphens/>
        <w:autoSpaceDE w:val="0"/>
        <w:autoSpaceDN w:val="0"/>
        <w:adjustRightInd w:val="0"/>
        <w:spacing w:before="240" w:after="240"/>
        <w:jc w:val="both"/>
        <w:rPr>
          <w:spacing w:val="-3"/>
          <w:u w:val="single"/>
        </w:rPr>
      </w:pPr>
      <w:r w:rsidRPr="00D204AE">
        <w:rPr>
          <w:u w:val="single"/>
        </w:rPr>
        <w:t>Következtetés</w:t>
      </w:r>
    </w:p>
    <w:p w:rsidR="00B96CF7" w:rsidRPr="00D204AE" w:rsidRDefault="00B96CF7" w:rsidP="00B96CF7">
      <w:pPr>
        <w:spacing w:before="240" w:after="240"/>
        <w:jc w:val="both"/>
        <w:rPr>
          <w:i/>
        </w:rPr>
      </w:pPr>
      <w:r w:rsidRPr="00D204AE">
        <w:t xml:space="preserve">A Bizottság alaposan megvizsgálta a 0079/1998. számú petícióban felvetett tényeket, és nem tudta megállapítani az uniós jog megsértését. Mivel a petíció benyújtói nem bocsátottak rendelkezésre olyan érdemi információt, amely ellentmondana a vizsgálat következtetéseinek, a Bizottság a továbbiakban nem kívánja nyomon követi ezt a petíciót. </w:t>
      </w:r>
    </w:p>
    <w:sectPr w:rsidR="00B96CF7" w:rsidRPr="00D204AE" w:rsidSect="00D2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F3" w:rsidRPr="00D204AE" w:rsidRDefault="00CB50F3">
      <w:r w:rsidRPr="00D204AE">
        <w:separator/>
      </w:r>
    </w:p>
  </w:endnote>
  <w:endnote w:type="continuationSeparator" w:id="0">
    <w:p w:rsidR="00CB50F3" w:rsidRPr="00D204AE" w:rsidRDefault="00CB50F3">
      <w:r w:rsidRPr="00D204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AE" w:rsidRPr="00D204AE" w:rsidRDefault="00D204AE" w:rsidP="00D204AE">
    <w:pPr>
      <w:pStyle w:val="Footer"/>
    </w:pPr>
    <w:r w:rsidRPr="00D204AE">
      <w:t>PE</w:t>
    </w:r>
    <w:r w:rsidRPr="00D204AE">
      <w:rPr>
        <w:rStyle w:val="HideTWBExt"/>
        <w:noProof w:val="0"/>
      </w:rPr>
      <w:t>&lt;NoPE&gt;</w:t>
    </w:r>
    <w:r w:rsidRPr="00D204AE">
      <w:t>639.895</w:t>
    </w:r>
    <w:r w:rsidRPr="00D204AE">
      <w:rPr>
        <w:rStyle w:val="HideTWBExt"/>
        <w:noProof w:val="0"/>
      </w:rPr>
      <w:t>&lt;/NoPE&gt;&lt;Version&gt;</w:t>
    </w:r>
    <w:r w:rsidRPr="00D204AE">
      <w:t>v01-00</w:t>
    </w:r>
    <w:r w:rsidRPr="00D204AE">
      <w:rPr>
        <w:rStyle w:val="HideTWBExt"/>
        <w:noProof w:val="0"/>
      </w:rPr>
      <w:t>&lt;/Version&gt;</w:t>
    </w:r>
    <w:r w:rsidRPr="00D204AE">
      <w:tab/>
    </w:r>
    <w:r w:rsidRPr="00D204AE">
      <w:fldChar w:fldCharType="begin"/>
    </w:r>
    <w:r w:rsidRPr="00D204AE">
      <w:instrText xml:space="preserve"> PAGE  \* MERGEFORMAT </w:instrText>
    </w:r>
    <w:r w:rsidRPr="00D204AE">
      <w:fldChar w:fldCharType="separate"/>
    </w:r>
    <w:r w:rsidR="00A27675">
      <w:rPr>
        <w:noProof/>
      </w:rPr>
      <w:t>2</w:t>
    </w:r>
    <w:r w:rsidRPr="00D204AE">
      <w:fldChar w:fldCharType="end"/>
    </w:r>
    <w:r w:rsidRPr="00D204AE">
      <w:t>/</w:t>
    </w:r>
    <w:fldSimple w:instr=" NUMPAGES  \* MERGEFORMAT ">
      <w:r w:rsidR="00A27675">
        <w:rPr>
          <w:noProof/>
        </w:rPr>
        <w:t>2</w:t>
      </w:r>
    </w:fldSimple>
    <w:r w:rsidRPr="00D204AE">
      <w:tab/>
    </w:r>
    <w:r w:rsidRPr="00D204AE">
      <w:rPr>
        <w:rStyle w:val="HideTWBExt"/>
        <w:noProof w:val="0"/>
      </w:rPr>
      <w:t>&lt;PathFdR&gt;</w:t>
    </w:r>
    <w:r w:rsidRPr="00D204AE">
      <w:t>CM\1186753HU.docx</w:t>
    </w:r>
    <w:r w:rsidRPr="00D204AE">
      <w:rPr>
        <w:rStyle w:val="HideTWBExt"/>
        <w:noProof w:val="0"/>
      </w:rPr>
      <w:t>&lt;/PathFdR&gt;</w:t>
    </w:r>
  </w:p>
  <w:p w:rsidR="00515EFE" w:rsidRPr="00D204AE" w:rsidRDefault="00D204AE" w:rsidP="00D204AE">
    <w:pPr>
      <w:pStyle w:val="Footer2"/>
    </w:pPr>
    <w:r w:rsidRPr="00D204AE"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AE" w:rsidRPr="00D204AE" w:rsidRDefault="00D204AE" w:rsidP="00D204AE">
    <w:pPr>
      <w:pStyle w:val="Footer"/>
    </w:pPr>
    <w:r w:rsidRPr="00D204AE">
      <w:rPr>
        <w:rStyle w:val="HideTWBExt"/>
        <w:noProof w:val="0"/>
      </w:rPr>
      <w:t>&lt;PathFdR&gt;</w:t>
    </w:r>
    <w:r w:rsidRPr="00D204AE">
      <w:t>CM\1186753HU.docx</w:t>
    </w:r>
    <w:r w:rsidRPr="00D204AE">
      <w:rPr>
        <w:rStyle w:val="HideTWBExt"/>
        <w:noProof w:val="0"/>
      </w:rPr>
      <w:t>&lt;/PathFdR&gt;</w:t>
    </w:r>
    <w:r w:rsidRPr="00D204AE">
      <w:tab/>
    </w:r>
    <w:r w:rsidRPr="00D204AE">
      <w:fldChar w:fldCharType="begin"/>
    </w:r>
    <w:r w:rsidRPr="00D204AE">
      <w:instrText xml:space="preserve"> PAGE  \* MERGEFORMAT </w:instrText>
    </w:r>
    <w:r w:rsidRPr="00D204AE">
      <w:fldChar w:fldCharType="separate"/>
    </w:r>
    <w:r w:rsidR="00A27675">
      <w:rPr>
        <w:noProof/>
      </w:rPr>
      <w:t>2</w:t>
    </w:r>
    <w:r w:rsidRPr="00D204AE">
      <w:fldChar w:fldCharType="end"/>
    </w:r>
    <w:r w:rsidRPr="00D204AE">
      <w:t>/</w:t>
    </w:r>
    <w:fldSimple w:instr=" NUMPAGES  \* MERGEFORMAT ">
      <w:r w:rsidR="00A27675">
        <w:rPr>
          <w:noProof/>
        </w:rPr>
        <w:t>2</w:t>
      </w:r>
    </w:fldSimple>
    <w:r w:rsidRPr="00D204AE">
      <w:tab/>
      <w:t>PE</w:t>
    </w:r>
    <w:r w:rsidRPr="00D204AE">
      <w:rPr>
        <w:rStyle w:val="HideTWBExt"/>
        <w:noProof w:val="0"/>
      </w:rPr>
      <w:t>&lt;NoPE&gt;</w:t>
    </w:r>
    <w:r w:rsidRPr="00D204AE">
      <w:t>639.895</w:t>
    </w:r>
    <w:r w:rsidRPr="00D204AE">
      <w:rPr>
        <w:rStyle w:val="HideTWBExt"/>
        <w:noProof w:val="0"/>
      </w:rPr>
      <w:t>&lt;/NoPE&gt;&lt;Version&gt;</w:t>
    </w:r>
    <w:r w:rsidRPr="00D204AE">
      <w:t>v01-00</w:t>
    </w:r>
    <w:r w:rsidRPr="00D204AE">
      <w:rPr>
        <w:rStyle w:val="HideTWBExt"/>
        <w:noProof w:val="0"/>
      </w:rPr>
      <w:t>&lt;/Version&gt;</w:t>
    </w:r>
  </w:p>
  <w:p w:rsidR="00515EFE" w:rsidRPr="00D204AE" w:rsidRDefault="00D204AE" w:rsidP="00D204AE">
    <w:pPr>
      <w:pStyle w:val="Footer2"/>
    </w:pPr>
    <w:r w:rsidRPr="00D204AE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AE" w:rsidRPr="00D204AE" w:rsidRDefault="00D204AE" w:rsidP="00D204AE">
    <w:pPr>
      <w:pStyle w:val="Footer"/>
    </w:pPr>
    <w:r w:rsidRPr="00D204AE">
      <w:rPr>
        <w:rStyle w:val="HideTWBExt"/>
        <w:noProof w:val="0"/>
      </w:rPr>
      <w:t>&lt;PathFdR&gt;</w:t>
    </w:r>
    <w:r w:rsidRPr="00D204AE">
      <w:t>CM\1186753HU.docx</w:t>
    </w:r>
    <w:r w:rsidRPr="00D204AE">
      <w:rPr>
        <w:rStyle w:val="HideTWBExt"/>
        <w:noProof w:val="0"/>
      </w:rPr>
      <w:t>&lt;/PathFdR&gt;</w:t>
    </w:r>
    <w:r w:rsidRPr="00D204AE">
      <w:tab/>
    </w:r>
    <w:r w:rsidRPr="00D204AE">
      <w:tab/>
      <w:t>PE</w:t>
    </w:r>
    <w:r w:rsidRPr="00D204AE">
      <w:rPr>
        <w:rStyle w:val="HideTWBExt"/>
        <w:noProof w:val="0"/>
      </w:rPr>
      <w:t>&lt;NoPE&gt;</w:t>
    </w:r>
    <w:r w:rsidRPr="00D204AE">
      <w:t>639.895</w:t>
    </w:r>
    <w:r w:rsidRPr="00D204AE">
      <w:rPr>
        <w:rStyle w:val="HideTWBExt"/>
        <w:noProof w:val="0"/>
      </w:rPr>
      <w:t>&lt;/NoPE&gt;&lt;Version&gt;</w:t>
    </w:r>
    <w:r w:rsidRPr="00D204AE">
      <w:t>v01-00</w:t>
    </w:r>
    <w:r w:rsidRPr="00D204AE">
      <w:rPr>
        <w:rStyle w:val="HideTWBExt"/>
        <w:noProof w:val="0"/>
      </w:rPr>
      <w:t>&lt;/Version&gt;</w:t>
    </w:r>
  </w:p>
  <w:p w:rsidR="00515EFE" w:rsidRPr="00D204AE" w:rsidRDefault="00D204AE" w:rsidP="00D204AE">
    <w:pPr>
      <w:pStyle w:val="Footer2"/>
      <w:tabs>
        <w:tab w:val="center" w:pos="4535"/>
      </w:tabs>
    </w:pPr>
    <w:r w:rsidRPr="00D204AE">
      <w:t>HU</w:t>
    </w:r>
    <w:r w:rsidRPr="00D204AE">
      <w:tab/>
    </w:r>
    <w:r w:rsidRPr="00D204AE">
      <w:rPr>
        <w:b w:val="0"/>
        <w:i/>
        <w:color w:val="C0C0C0"/>
        <w:sz w:val="22"/>
      </w:rPr>
      <w:t>Egyesülve a sokféleségben</w:t>
    </w:r>
    <w:r w:rsidRPr="00D204AE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F3" w:rsidRPr="00D204AE" w:rsidRDefault="00CB50F3">
      <w:r w:rsidRPr="00D204AE">
        <w:separator/>
      </w:r>
    </w:p>
  </w:footnote>
  <w:footnote w:type="continuationSeparator" w:id="0">
    <w:p w:rsidR="00CB50F3" w:rsidRPr="00D204AE" w:rsidRDefault="00CB50F3">
      <w:r w:rsidRPr="00D204AE">
        <w:continuationSeparator/>
      </w:r>
    </w:p>
  </w:footnote>
  <w:footnote w:id="1">
    <w:p w:rsidR="00B96CF7" w:rsidRPr="00D204AE" w:rsidRDefault="00B96CF7" w:rsidP="00B96CF7">
      <w:pPr>
        <w:jc w:val="both"/>
        <w:rPr>
          <w:sz w:val="20"/>
        </w:rPr>
      </w:pPr>
      <w:r w:rsidRPr="00D204AE">
        <w:rPr>
          <w:rStyle w:val="FootnoteReference"/>
        </w:rPr>
        <w:footnoteRef/>
      </w:r>
      <w:r w:rsidRPr="00D204AE">
        <w:rPr>
          <w:sz w:val="20"/>
        </w:rPr>
        <w:t xml:space="preserve"> A Tanács 1985. június 27-i 85/337/EGK irányelve az egyes köz- és magánprojektek környezetre gyakorolt hatásainak vizsgálatáról, HL L 175., 1985.7.5., 40–48.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75" w:rsidRDefault="00A27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75" w:rsidRDefault="00A27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75" w:rsidRDefault="00A27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PAR3MNU" w:val=" 1"/>
    <w:docVar w:name="RECEIVED1MNU" w:val=" 1"/>
    <w:docVar w:name="strDocTypeID" w:val="CM_PETI"/>
    <w:docVar w:name="strSubDir" w:val="1186"/>
    <w:docVar w:name="TXTLANGUE" w:val="EN"/>
    <w:docVar w:name="TXTLANGUEMIN" w:val="en"/>
    <w:docVar w:name="TXTNRPE" w:val="639.895"/>
    <w:docVar w:name="TXTPEorAP" w:val="PE"/>
    <w:docVar w:name="TXTROUTE" w:val="CM\1186753EN.docx"/>
    <w:docVar w:name="TXTVERSION" w:val="01-00"/>
  </w:docVars>
  <w:rsids>
    <w:rsidRoot w:val="00CB50F3"/>
    <w:rsid w:val="00021877"/>
    <w:rsid w:val="000F177C"/>
    <w:rsid w:val="00113F15"/>
    <w:rsid w:val="00210517"/>
    <w:rsid w:val="0036659A"/>
    <w:rsid w:val="003E5164"/>
    <w:rsid w:val="00515EFE"/>
    <w:rsid w:val="00586F3B"/>
    <w:rsid w:val="005D2B42"/>
    <w:rsid w:val="00727E87"/>
    <w:rsid w:val="00742098"/>
    <w:rsid w:val="00840F06"/>
    <w:rsid w:val="008A7531"/>
    <w:rsid w:val="009434F7"/>
    <w:rsid w:val="009A7D47"/>
    <w:rsid w:val="009E2B68"/>
    <w:rsid w:val="00A27675"/>
    <w:rsid w:val="00A313E2"/>
    <w:rsid w:val="00A31762"/>
    <w:rsid w:val="00A366FE"/>
    <w:rsid w:val="00B96CF7"/>
    <w:rsid w:val="00BA398B"/>
    <w:rsid w:val="00BB70B2"/>
    <w:rsid w:val="00C26FE8"/>
    <w:rsid w:val="00CB50F3"/>
    <w:rsid w:val="00D204AE"/>
    <w:rsid w:val="00D85B3A"/>
    <w:rsid w:val="00E1684E"/>
    <w:rsid w:val="00EE7ED5"/>
    <w:rsid w:val="00E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8C521F-8B3F-4ECE-B9C4-6AB131EC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character" w:customStyle="1" w:styleId="HideTWBInt">
    <w:name w:val="HideTWBInt"/>
    <w:rPr>
      <w:vanish/>
      <w:color w:val="808080"/>
    </w:rPr>
  </w:style>
  <w:style w:type="paragraph" w:customStyle="1" w:styleId="EPName">
    <w:name w:val="EPName"/>
    <w:basedOn w:val="Normal"/>
    <w:rsid w:val="005D2B42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12a12bHanging">
    <w:name w:val="Normal12a12bHanging"/>
    <w:basedOn w:val="Normal12a12b"/>
    <w:pPr>
      <w:ind w:left="567" w:hanging="567"/>
    </w:pPr>
  </w:style>
  <w:style w:type="paragraph" w:customStyle="1" w:styleId="SubjectCM">
    <w:name w:val="SubjectCM"/>
    <w:basedOn w:val="Normal"/>
    <w:rsid w:val="008A7531"/>
    <w:pPr>
      <w:tabs>
        <w:tab w:val="left" w:pos="1134"/>
      </w:tabs>
      <w:spacing w:after="240"/>
      <w:ind w:left="1134" w:hanging="1134"/>
    </w:pPr>
    <w:rPr>
      <w:b/>
      <w:szCs w:val="24"/>
    </w:rPr>
  </w:style>
  <w:style w:type="paragraph" w:customStyle="1" w:styleId="ZDateCM">
    <w:name w:val="ZDateCM"/>
    <w:basedOn w:val="Normal"/>
    <w:rsid w:val="00742098"/>
    <w:pPr>
      <w:spacing w:after="480"/>
    </w:pPr>
  </w:style>
  <w:style w:type="paragraph" w:customStyle="1" w:styleId="TypeDoc">
    <w:name w:val="TypeDoc"/>
    <w:basedOn w:val="Normal"/>
    <w:rsid w:val="00742098"/>
    <w:pPr>
      <w:spacing w:after="720"/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BA398B"/>
    <w:pPr>
      <w:tabs>
        <w:tab w:val="center" w:pos="4153"/>
        <w:tab w:val="right" w:pos="8306"/>
      </w:tabs>
    </w:pPr>
  </w:style>
  <w:style w:type="paragraph" w:customStyle="1" w:styleId="Committee">
    <w:name w:val="Committee"/>
    <w:basedOn w:val="Normal"/>
    <w:rsid w:val="00C26FE8"/>
    <w:pPr>
      <w:spacing w:before="240" w:after="720"/>
      <w:jc w:val="center"/>
    </w:pPr>
    <w:rPr>
      <w:i/>
    </w:rPr>
  </w:style>
  <w:style w:type="table" w:styleId="TableGrid">
    <w:name w:val="Table Grid"/>
    <w:basedOn w:val="TableNormal"/>
    <w:rsid w:val="0058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86F3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586F3B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86F3B"/>
    <w:pPr>
      <w:pBdr>
        <w:bottom w:val="single" w:sz="4" w:space="1" w:color="auto"/>
      </w:pBdr>
      <w:spacing w:after="72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5D2B4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D2B42"/>
    <w:pPr>
      <w:jc w:val="right"/>
    </w:p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Footnote#,Ref,FR"/>
    <w:unhideWhenUsed/>
    <w:qFormat/>
    <w:rsid w:val="00B96CF7"/>
    <w:rPr>
      <w:rFonts w:eastAsia="Calibr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2398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CM_PETI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CM_PETI</dc:title>
  <dc:subject/>
  <dc:creator/>
  <cp:keywords/>
  <dc:description>LZI</dc:description>
  <cp:lastModifiedBy>LUKACS Katalin</cp:lastModifiedBy>
  <cp:revision>2</cp:revision>
  <cp:lastPrinted>2005-02-25T11:09:00Z</cp:lastPrinted>
  <dcterms:created xsi:type="dcterms:W3CDTF">2019-08-21T11:54:00Z</dcterms:created>
  <dcterms:modified xsi:type="dcterms:W3CDTF">2019-08-21T11:54:00Z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1186753</vt:lpwstr>
  </property>
  <property fmtid="{D5CDD505-2E9C-101B-9397-08002B2CF9AE}" pid="5" name="&lt;Type&gt;">
    <vt:lpwstr>CM</vt:lpwstr>
  </property>
  <property fmtid="{D5CDD505-2E9C-101B-9397-08002B2CF9AE}" pid="6" name="&lt;ModelCod&gt;">
    <vt:lpwstr>\\eiciBRUpr1\pdocep$\DocEP\DOCS\General\CM\CM_PETI.dot(06/02/2019 08:45:17)</vt:lpwstr>
  </property>
  <property fmtid="{D5CDD505-2E9C-101B-9397-08002B2CF9AE}" pid="7" name="&lt;ModelTra&gt;">
    <vt:lpwstr>\\eiciBRUpr1\pdocep$\DocEP\TRANSFIL\EN\CM_PETI.EN(20/03/2018 13:17:04)</vt:lpwstr>
  </property>
  <property fmtid="{D5CDD505-2E9C-101B-9397-08002B2CF9AE}" pid="8" name="&lt;Model&gt;">
    <vt:lpwstr>CM_PETI</vt:lpwstr>
  </property>
  <property fmtid="{D5CDD505-2E9C-101B-9397-08002B2CF9AE}" pid="9" name="FooterPath">
    <vt:lpwstr>CM\1186753HU.docx</vt:lpwstr>
  </property>
  <property fmtid="{D5CDD505-2E9C-101B-9397-08002B2CF9AE}" pid="10" name="PE number">
    <vt:lpwstr>639.895</vt:lpwstr>
  </property>
  <property fmtid="{D5CDD505-2E9C-101B-9397-08002B2CF9AE}" pid="11" name="SendToEpades">
    <vt:lpwstr>OK - 2019/07/31 16:01</vt:lpwstr>
  </property>
  <property fmtid="{D5CDD505-2E9C-101B-9397-08002B2CF9AE}" pid="12" name="SDLStudio">
    <vt:lpwstr/>
  </property>
  <property fmtid="{D5CDD505-2E9C-101B-9397-08002B2CF9AE}" pid="13" name="&lt;Extension&gt;">
    <vt:lpwstr>HU</vt:lpwstr>
  </property>
  <property fmtid="{D5CDD505-2E9C-101B-9397-08002B2CF9AE}" pid="14" name="Bookout">
    <vt:lpwstr>OK - 2019/08/21 13:54</vt:lpwstr>
  </property>
</Properties>
</file>