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D2B42" w:rsidRPr="00694685" w:rsidTr="009434F7">
        <w:trPr>
          <w:trHeight w:hRule="exact" w:val="1418"/>
        </w:trPr>
        <w:tc>
          <w:tcPr>
            <w:tcW w:w="6804" w:type="dxa"/>
            <w:shd w:val="clear" w:color="auto" w:fill="auto"/>
            <w:vAlign w:val="center"/>
          </w:tcPr>
          <w:p w:rsidR="005D2B42" w:rsidRPr="00694685" w:rsidRDefault="00694685" w:rsidP="009434F7">
            <w:pPr>
              <w:pStyle w:val="EPName"/>
            </w:pPr>
            <w:r w:rsidRPr="00694685">
              <w:t>European Parliament</w:t>
            </w:r>
          </w:p>
          <w:p w:rsidR="005D2B42" w:rsidRPr="00DF16DA" w:rsidRDefault="00DF16DA" w:rsidP="00DF16DA">
            <w:pPr>
              <w:pStyle w:val="EPTerm"/>
              <w:rPr>
                <w:rStyle w:val="HideTWBExt"/>
                <w:noProof w:val="0"/>
                <w:vanish w:val="0"/>
                <w:color w:val="auto"/>
              </w:rPr>
            </w:pPr>
            <w:r>
              <w:t>2019-2024</w:t>
            </w:r>
          </w:p>
        </w:tc>
        <w:tc>
          <w:tcPr>
            <w:tcW w:w="2268" w:type="dxa"/>
            <w:shd w:val="clear" w:color="auto" w:fill="auto"/>
          </w:tcPr>
          <w:p w:rsidR="005D2B42" w:rsidRPr="00694685" w:rsidRDefault="004E3E40" w:rsidP="009434F7">
            <w:pPr>
              <w:pStyle w:val="EPLogo"/>
            </w:pPr>
            <w:r w:rsidRPr="00694685">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694685" w:rsidRDefault="00586F3B" w:rsidP="00586F3B">
      <w:pPr>
        <w:pStyle w:val="LineTop"/>
      </w:pPr>
    </w:p>
    <w:p w:rsidR="00586F3B" w:rsidRPr="00694685" w:rsidRDefault="00586F3B" w:rsidP="00586F3B">
      <w:pPr>
        <w:pStyle w:val="EPBody"/>
      </w:pPr>
      <w:r w:rsidRPr="00694685">
        <w:rPr>
          <w:rStyle w:val="HideTWBExt"/>
          <w:noProof w:val="0"/>
        </w:rPr>
        <w:t>&lt;</w:t>
      </w:r>
      <w:r w:rsidRPr="00694685">
        <w:rPr>
          <w:rStyle w:val="HideTWBExt"/>
          <w:i w:val="0"/>
          <w:noProof w:val="0"/>
        </w:rPr>
        <w:t>Commission</w:t>
      </w:r>
      <w:r w:rsidRPr="00694685">
        <w:rPr>
          <w:rStyle w:val="HideTWBExt"/>
          <w:noProof w:val="0"/>
        </w:rPr>
        <w:t>&gt;</w:t>
      </w:r>
      <w:r w:rsidRPr="00694685">
        <w:rPr>
          <w:rStyle w:val="HideTWBInt"/>
        </w:rPr>
        <w:t>{PETI}</w:t>
      </w:r>
      <w:r w:rsidR="00694685" w:rsidRPr="00694685">
        <w:t>Committee on Petitions</w:t>
      </w:r>
      <w:r w:rsidRPr="00694685">
        <w:rPr>
          <w:rStyle w:val="HideTWBExt"/>
          <w:noProof w:val="0"/>
        </w:rPr>
        <w:t>&lt;</w:t>
      </w:r>
      <w:bookmarkStart w:id="0" w:name="_GoBack"/>
      <w:bookmarkEnd w:id="0"/>
      <w:r w:rsidRPr="00694685">
        <w:rPr>
          <w:rStyle w:val="HideTWBExt"/>
          <w:noProof w:val="0"/>
        </w:rPr>
        <w:t>/</w:t>
      </w:r>
      <w:r w:rsidRPr="00694685">
        <w:rPr>
          <w:rStyle w:val="HideTWBExt"/>
          <w:i w:val="0"/>
          <w:noProof w:val="0"/>
        </w:rPr>
        <w:t>Commission</w:t>
      </w:r>
      <w:r w:rsidRPr="00694685">
        <w:rPr>
          <w:rStyle w:val="HideTWBExt"/>
          <w:noProof w:val="0"/>
        </w:rPr>
        <w:t>&gt;</w:t>
      </w:r>
    </w:p>
    <w:p w:rsidR="00586F3B" w:rsidRPr="00694685" w:rsidRDefault="00586F3B" w:rsidP="00586F3B">
      <w:pPr>
        <w:pStyle w:val="LineBottom"/>
      </w:pPr>
    </w:p>
    <w:p w:rsidR="00C26FE8" w:rsidRPr="00694685" w:rsidRDefault="00C26FE8" w:rsidP="00C26FE8">
      <w:pPr>
        <w:pStyle w:val="HeadingDateNoRef"/>
      </w:pPr>
      <w:r w:rsidRPr="00694685">
        <w:rPr>
          <w:rStyle w:val="HideTWBExt"/>
          <w:noProof w:val="0"/>
        </w:rPr>
        <w:t>&lt;Date&gt;</w:t>
      </w:r>
      <w:r w:rsidR="00DF16DA" w:rsidRPr="00DF16DA">
        <w:rPr>
          <w:rStyle w:val="HideTWBInt"/>
        </w:rPr>
        <w:t>{19/12/2019}</w:t>
      </w:r>
      <w:r w:rsidR="00DF16DA">
        <w:t>19.12.2019</w:t>
      </w:r>
      <w:r w:rsidRPr="00694685">
        <w:rPr>
          <w:rStyle w:val="HideTWBExt"/>
          <w:noProof w:val="0"/>
        </w:rPr>
        <w:t>&lt;/Date&gt;</w:t>
      </w:r>
    </w:p>
    <w:p w:rsidR="00742098" w:rsidRPr="00694685" w:rsidRDefault="00742098" w:rsidP="00742098">
      <w:pPr>
        <w:pStyle w:val="HeadingDocType"/>
      </w:pPr>
      <w:r w:rsidRPr="00694685">
        <w:rPr>
          <w:rStyle w:val="HideTWBExt"/>
          <w:b w:val="0"/>
          <w:noProof w:val="0"/>
        </w:rPr>
        <w:t>&lt;TitreType&gt;</w:t>
      </w:r>
      <w:r w:rsidR="00694685" w:rsidRPr="00694685">
        <w:t>NOTICE TO MEMBERS</w:t>
      </w:r>
      <w:r w:rsidRPr="00694685">
        <w:rPr>
          <w:rStyle w:val="HideTWBExt"/>
          <w:b w:val="0"/>
          <w:noProof w:val="0"/>
        </w:rPr>
        <w:t>&lt;/TitreType&gt;</w:t>
      </w:r>
    </w:p>
    <w:p w:rsidR="00742098" w:rsidRPr="00694685" w:rsidRDefault="00694685" w:rsidP="00742098">
      <w:pPr>
        <w:pStyle w:val="HeadingSubject"/>
      </w:pPr>
      <w:r w:rsidRPr="00694685">
        <w:t>Subject:</w:t>
      </w:r>
      <w:r w:rsidR="00742098" w:rsidRPr="00694685">
        <w:tab/>
      </w:r>
      <w:r w:rsidR="00742098" w:rsidRPr="00694685">
        <w:rPr>
          <w:rStyle w:val="HideTWBExt"/>
          <w:noProof w:val="0"/>
        </w:rPr>
        <w:t>&lt;T</w:t>
      </w:r>
      <w:r w:rsidR="00A31762" w:rsidRPr="00694685">
        <w:rPr>
          <w:rStyle w:val="HideTWBExt"/>
          <w:noProof w:val="0"/>
        </w:rPr>
        <w:t>ITRE</w:t>
      </w:r>
      <w:r w:rsidR="00742098" w:rsidRPr="00694685">
        <w:rPr>
          <w:rStyle w:val="HideTWBExt"/>
          <w:noProof w:val="0"/>
        </w:rPr>
        <w:t>&gt;</w:t>
      </w:r>
      <w:r w:rsidR="00DF16DA">
        <w:t>Petition No 0370/2019 by Lucas Estagnasié (French), objecting to the agricultural practice of burning stubble (écobuage)</w:t>
      </w:r>
      <w:r w:rsidR="00A31762" w:rsidRPr="00694685">
        <w:rPr>
          <w:rStyle w:val="HideTWBExt"/>
          <w:noProof w:val="0"/>
        </w:rPr>
        <w:t>&lt;/TITRE</w:t>
      </w:r>
      <w:r w:rsidR="00742098" w:rsidRPr="00694685">
        <w:rPr>
          <w:rStyle w:val="HideTWBExt"/>
          <w:noProof w:val="0"/>
        </w:rPr>
        <w:t>&gt;</w:t>
      </w:r>
    </w:p>
    <w:p w:rsidR="00742098" w:rsidRPr="00694685" w:rsidRDefault="00742098" w:rsidP="00D339E0">
      <w:pPr>
        <w:pStyle w:val="NormalBoldHanging12a"/>
      </w:pPr>
      <w:r w:rsidRPr="00694685">
        <w:t>1.</w:t>
      </w:r>
      <w:r w:rsidRPr="00694685">
        <w:tab/>
      </w:r>
      <w:r w:rsidR="00694685" w:rsidRPr="00694685">
        <w:t>Summary of petition</w:t>
      </w:r>
    </w:p>
    <w:p w:rsidR="00742098" w:rsidRPr="00694685" w:rsidRDefault="00DF16DA" w:rsidP="005F3572">
      <w:pPr>
        <w:pStyle w:val="Normal12a"/>
      </w:pPr>
      <w:r>
        <w:t>The petitioner is calling for a restriction orban on the farming practice (widespread in mountain areas such as Corsica and the Atlantic Pyrenees) of burning stubble and other plant residues in order to fertilise the land. He also stresses the impact it has on air pollution and on the emission of greenhouse gases, as well as the danger it poses to the lives of hikers.</w:t>
      </w:r>
    </w:p>
    <w:p w:rsidR="00742098" w:rsidRPr="00694685" w:rsidRDefault="00742098" w:rsidP="00D339E0">
      <w:pPr>
        <w:pStyle w:val="NormalBoldHanging12a"/>
      </w:pPr>
      <w:r w:rsidRPr="00694685">
        <w:t>2.</w:t>
      </w:r>
      <w:r w:rsidRPr="00694685">
        <w:tab/>
      </w:r>
      <w:r w:rsidR="00694685" w:rsidRPr="00694685">
        <w:t>Admissibility</w:t>
      </w:r>
    </w:p>
    <w:p w:rsidR="00742098" w:rsidRPr="00694685" w:rsidRDefault="00DF16DA" w:rsidP="005F3572">
      <w:pPr>
        <w:pStyle w:val="Normal12a"/>
      </w:pPr>
      <w:r>
        <w:t>Declared admissible on 4 October 2019. Information requested from Commission under Rule 227(6).</w:t>
      </w:r>
    </w:p>
    <w:p w:rsidR="00742098" w:rsidRPr="00694685" w:rsidRDefault="00DF16DA" w:rsidP="00D339E0">
      <w:pPr>
        <w:pStyle w:val="NormalBoldHanging12a"/>
      </w:pPr>
      <w:r>
        <w:t>3.</w:t>
      </w:r>
      <w:r w:rsidR="00742098" w:rsidRPr="00694685">
        <w:tab/>
      </w:r>
      <w:r>
        <w:t>Commission reply</w:t>
      </w:r>
      <w:r>
        <w:rPr>
          <w:b w:val="0"/>
        </w:rPr>
        <w:t>, received on 19 December 2019</w:t>
      </w:r>
    </w:p>
    <w:p w:rsidR="00DF16DA" w:rsidRDefault="00DF16DA" w:rsidP="00DF16DA">
      <w:pPr>
        <w:spacing w:before="240" w:after="240"/>
        <w:jc w:val="both"/>
        <w:rPr>
          <w:rFonts w:eastAsia="Calibri"/>
          <w:iCs/>
          <w:lang w:eastAsia="en-US"/>
        </w:rPr>
      </w:pPr>
      <w:r>
        <w:rPr>
          <w:rFonts w:eastAsia="Calibri"/>
          <w:iCs/>
          <w:lang w:eastAsia="en-US"/>
        </w:rPr>
        <w:t>The Common Agricultural Policy (CAP) with its Regulation (EU) No 1306/2013</w:t>
      </w:r>
      <w:r>
        <w:rPr>
          <w:rStyle w:val="FootnoteReference"/>
          <w:iCs/>
          <w:lang w:eastAsia="en-US"/>
        </w:rPr>
        <w:footnoteReference w:id="1"/>
      </w:r>
      <w:r>
        <w:rPr>
          <w:rFonts w:eastAsia="Calibri"/>
          <w:iCs/>
          <w:lang w:eastAsia="en-US"/>
        </w:rPr>
        <w:t>, on the financing, management and monitoring of the CAP, in Annex II as regards the rules of the cross-compliance pursuant to Article 93, establishes a good agricultural and environmental condition (GAEC 6). The purpose of this standard is the “maintenance of soil organic matter level through appropriate practices including ban on burning arable stubble, except for plant health reasons”.</w:t>
      </w:r>
    </w:p>
    <w:p w:rsidR="00DF16DA" w:rsidRDefault="00DF16DA" w:rsidP="00DF16DA">
      <w:pPr>
        <w:spacing w:before="240" w:after="240"/>
        <w:jc w:val="both"/>
        <w:rPr>
          <w:rFonts w:eastAsia="Calibri"/>
          <w:iCs/>
          <w:lang w:eastAsia="en-US"/>
        </w:rPr>
      </w:pPr>
      <w:r>
        <w:rPr>
          <w:rFonts w:eastAsia="Calibri"/>
          <w:iCs/>
          <w:lang w:eastAsia="en-US"/>
        </w:rPr>
        <w:t>France put in application this standard defining for the metropolitan area the following rule: “all farmers receiving aid subject to cross-compliance are required not to burn straw stubble of oil crop, protein crop or cereal crop, with the exception of rice, flax and hemp crop stubble, as well as previous cropping of vegetables and grass seeds. The Prefect may, by reasoned decision, exceptionally authorise a farmer to burn arable stubble for plant health reasons”.</w:t>
      </w:r>
    </w:p>
    <w:p w:rsidR="00DF16DA" w:rsidRDefault="00DF16DA" w:rsidP="00DF16DA">
      <w:pPr>
        <w:spacing w:before="240" w:after="240"/>
        <w:jc w:val="both"/>
        <w:rPr>
          <w:rFonts w:eastAsia="Calibri"/>
          <w:iCs/>
          <w:lang w:eastAsia="en-US"/>
        </w:rPr>
      </w:pPr>
      <w:r>
        <w:rPr>
          <w:rFonts w:eastAsia="Calibri"/>
          <w:iCs/>
          <w:lang w:eastAsia="en-US"/>
        </w:rPr>
        <w:t>In addition, burning biomass in the countryside produces emissions of coarse particulate matter (PM</w:t>
      </w:r>
      <w:r>
        <w:rPr>
          <w:rFonts w:eastAsia="Calibri"/>
          <w:iCs/>
          <w:vertAlign w:val="superscript"/>
          <w:lang w:eastAsia="en-US"/>
        </w:rPr>
        <w:t>10</w:t>
      </w:r>
      <w:r>
        <w:rPr>
          <w:rFonts w:eastAsia="Calibri"/>
          <w:iCs/>
          <w:lang w:eastAsia="en-US"/>
        </w:rPr>
        <w:t>), which is an air pollutant submitted to close monitoring by Directive 2008/50/EC</w:t>
      </w:r>
      <w:r>
        <w:rPr>
          <w:rStyle w:val="FootnoteReference"/>
          <w:iCs/>
          <w:lang w:eastAsia="en-US"/>
        </w:rPr>
        <w:footnoteReference w:id="2"/>
      </w:r>
      <w:r>
        <w:rPr>
          <w:rFonts w:eastAsia="Calibri"/>
          <w:iCs/>
          <w:lang w:eastAsia="en-US"/>
        </w:rPr>
        <w:t>, Annex II, point A, on ambient air quality and cleaner air for Europe.</w:t>
      </w:r>
    </w:p>
    <w:p w:rsidR="00DF16DA" w:rsidRDefault="00DF16DA" w:rsidP="00DF16DA">
      <w:pPr>
        <w:spacing w:before="240" w:after="240"/>
        <w:jc w:val="both"/>
        <w:rPr>
          <w:rFonts w:eastAsia="Calibri"/>
          <w:iCs/>
          <w:lang w:eastAsia="en-US"/>
        </w:rPr>
      </w:pPr>
      <w:r>
        <w:rPr>
          <w:rFonts w:eastAsia="Calibri"/>
          <w:iCs/>
          <w:lang w:eastAsia="en-US"/>
        </w:rPr>
        <w:t>The competence to control the emissions of PM</w:t>
      </w:r>
      <w:r>
        <w:rPr>
          <w:rFonts w:eastAsia="Calibri"/>
          <w:iCs/>
          <w:vertAlign w:val="superscript"/>
          <w:lang w:eastAsia="en-US"/>
        </w:rPr>
        <w:t>10</w:t>
      </w:r>
      <w:r>
        <w:rPr>
          <w:rFonts w:eastAsia="Calibri"/>
          <w:iCs/>
          <w:lang w:eastAsia="en-US"/>
        </w:rPr>
        <w:t xml:space="preserve"> is under the responsibility of each Member State.</w:t>
      </w:r>
    </w:p>
    <w:p w:rsidR="00DF16DA" w:rsidRDefault="00DF16DA" w:rsidP="00DF16DA">
      <w:pPr>
        <w:spacing w:before="240" w:after="240"/>
        <w:jc w:val="both"/>
        <w:rPr>
          <w:rFonts w:eastAsia="Calibri"/>
          <w:i/>
          <w:color w:val="000000"/>
          <w:u w:val="single"/>
          <w:lang w:eastAsia="en-US"/>
        </w:rPr>
      </w:pPr>
      <w:r>
        <w:rPr>
          <w:rFonts w:eastAsia="Calibri"/>
          <w:iCs/>
          <w:lang w:eastAsia="en-US"/>
        </w:rPr>
        <w:t>The Circular of 18 November 2011, signed by three different Ministries of the French government and sent by the petitioner to the Commission, provides rules forbidding the green biomass burning in the countryside.</w:t>
      </w:r>
    </w:p>
    <w:p w:rsidR="00DF16DA" w:rsidRDefault="00DF16DA" w:rsidP="00DF16DA">
      <w:pPr>
        <w:spacing w:before="240" w:after="240"/>
        <w:jc w:val="both"/>
        <w:rPr>
          <w:rFonts w:eastAsia="Calibri"/>
          <w:color w:val="000000"/>
          <w:u w:val="single"/>
          <w:lang w:eastAsia="en-US"/>
        </w:rPr>
      </w:pPr>
      <w:r>
        <w:rPr>
          <w:rFonts w:eastAsia="Calibri"/>
          <w:color w:val="000000"/>
          <w:u w:val="single"/>
          <w:lang w:eastAsia="en-US"/>
        </w:rPr>
        <w:t>Conclusion</w:t>
      </w:r>
    </w:p>
    <w:p w:rsidR="00DF16DA" w:rsidRDefault="00DF16DA" w:rsidP="00DF16DA">
      <w:pPr>
        <w:spacing w:before="240" w:after="240"/>
        <w:jc w:val="both"/>
        <w:rPr>
          <w:rFonts w:eastAsia="Calibri"/>
          <w:color w:val="000000"/>
          <w:u w:val="single"/>
          <w:lang w:eastAsia="en-US"/>
        </w:rPr>
      </w:pPr>
      <w:r>
        <w:rPr>
          <w:rFonts w:eastAsia="Calibri"/>
          <w:color w:val="000000"/>
          <w:lang w:eastAsia="en-US"/>
        </w:rPr>
        <w:t>The European Union legislation for the agricultural policy (CAP) does not specifically cover the case raised by the petitioner. The petitioner should address the French national administration to flag the problem described in the petition.</w:t>
      </w:r>
    </w:p>
    <w:p w:rsidR="00742098" w:rsidRPr="00694685" w:rsidRDefault="00742098" w:rsidP="005F3572">
      <w:pPr>
        <w:pStyle w:val="Normal12a"/>
      </w:pPr>
    </w:p>
    <w:p w:rsidR="00742098" w:rsidRPr="00694685" w:rsidRDefault="00742098" w:rsidP="00005580">
      <w:pPr>
        <w:widowControl/>
      </w:pPr>
    </w:p>
    <w:sectPr w:rsidR="00742098" w:rsidRPr="00694685" w:rsidSect="00666D8D">
      <w:footerReference w:type="even" r:id="rId9"/>
      <w:footerReference w:type="default" r:id="rId10"/>
      <w:footerReference w:type="first" r:id="rId11"/>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85" w:rsidRPr="00694685" w:rsidRDefault="00694685">
      <w:r w:rsidRPr="00694685">
        <w:separator/>
      </w:r>
    </w:p>
  </w:endnote>
  <w:endnote w:type="continuationSeparator" w:id="0">
    <w:p w:rsidR="00694685" w:rsidRPr="00694685" w:rsidRDefault="00694685">
      <w:r w:rsidRPr="006946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694685" w:rsidRDefault="00515EFE" w:rsidP="00EE6762">
    <w:pPr>
      <w:pStyle w:val="EPFooter"/>
    </w:pPr>
    <w:r w:rsidRPr="00694685">
      <w:t>PE</w:t>
    </w:r>
    <w:r w:rsidRPr="00694685">
      <w:rPr>
        <w:rStyle w:val="HideTWBExt"/>
        <w:noProof w:val="0"/>
      </w:rPr>
      <w:t>&lt;NoPE&gt;</w:t>
    </w:r>
    <w:r w:rsidR="00DF16DA" w:rsidRPr="00DF16DA">
      <w:t>645.070</w:t>
    </w:r>
    <w:r w:rsidRPr="00694685">
      <w:rPr>
        <w:rStyle w:val="HideTWBExt"/>
        <w:noProof w:val="0"/>
      </w:rPr>
      <w:t>&lt;/NoPE&gt;&lt;Version&gt;</w:t>
    </w:r>
    <w:r w:rsidR="00694685" w:rsidRPr="00694685">
      <w:t>v</w:t>
    </w:r>
    <w:r w:rsidR="00DF16DA" w:rsidRPr="00DF16DA">
      <w:t>01-00</w:t>
    </w:r>
    <w:r w:rsidRPr="00694685">
      <w:rPr>
        <w:rStyle w:val="HideTWBExt"/>
        <w:noProof w:val="0"/>
      </w:rPr>
      <w:t>&lt;/Version&gt;</w:t>
    </w:r>
    <w:r w:rsidRPr="00694685">
      <w:tab/>
    </w:r>
    <w:r w:rsidR="00714E91" w:rsidRPr="00694685">
      <w:fldChar w:fldCharType="begin"/>
    </w:r>
    <w:r w:rsidR="00714E91" w:rsidRPr="00694685">
      <w:instrText xml:space="preserve"> PAGE </w:instrText>
    </w:r>
    <w:r w:rsidR="00714E91" w:rsidRPr="00694685">
      <w:fldChar w:fldCharType="separate"/>
    </w:r>
    <w:r w:rsidR="00DF16DA">
      <w:rPr>
        <w:noProof/>
      </w:rPr>
      <w:t>2</w:t>
    </w:r>
    <w:r w:rsidR="00714E91" w:rsidRPr="00694685">
      <w:fldChar w:fldCharType="end"/>
    </w:r>
    <w:r w:rsidR="00714E91" w:rsidRPr="00694685">
      <w:t>/</w:t>
    </w:r>
    <w:fldSimple w:instr=" NUMPAGES ">
      <w:r w:rsidR="00DF16DA">
        <w:rPr>
          <w:noProof/>
        </w:rPr>
        <w:t>2</w:t>
      </w:r>
    </w:fldSimple>
    <w:r w:rsidRPr="00694685">
      <w:tab/>
    </w:r>
    <w:r w:rsidRPr="00694685">
      <w:rPr>
        <w:rStyle w:val="HideTWBExt"/>
        <w:noProof w:val="0"/>
      </w:rPr>
      <w:t>&lt;PathFdR&gt;</w:t>
    </w:r>
    <w:r w:rsidR="00DF16DA" w:rsidRPr="00DF16DA">
      <w:t>CM\1195850EN.docx</w:t>
    </w:r>
    <w:r w:rsidRPr="00694685">
      <w:rPr>
        <w:rStyle w:val="HideTWBExt"/>
        <w:noProof w:val="0"/>
      </w:rPr>
      <w:t>&lt;/PathFdR&gt;</w:t>
    </w:r>
  </w:p>
  <w:p w:rsidR="00515EFE" w:rsidRPr="00694685" w:rsidRDefault="001B4EE5">
    <w:pPr>
      <w:pStyle w:val="EPFooter2"/>
    </w:pPr>
    <w:fldSimple w:instr=" DOCPROPERTY &quot;&lt;Extension&gt;&quot; ">
      <w:r w:rsidR="00DF16DA">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694685" w:rsidRDefault="00515EFE" w:rsidP="00EE6762">
    <w:pPr>
      <w:pStyle w:val="EPFooter"/>
    </w:pPr>
    <w:r w:rsidRPr="00694685">
      <w:rPr>
        <w:rStyle w:val="HideTWBExt"/>
        <w:noProof w:val="0"/>
      </w:rPr>
      <w:t>&lt;PathFdR&gt;</w:t>
    </w:r>
    <w:r w:rsidR="00DF16DA" w:rsidRPr="00DF16DA">
      <w:t>CM\1195850EN.docx</w:t>
    </w:r>
    <w:r w:rsidRPr="00694685">
      <w:rPr>
        <w:rStyle w:val="HideTWBExt"/>
        <w:noProof w:val="0"/>
      </w:rPr>
      <w:t>&lt;/PathFdR&gt;</w:t>
    </w:r>
    <w:r w:rsidRPr="00694685">
      <w:tab/>
    </w:r>
    <w:r w:rsidR="00714E91" w:rsidRPr="00694685">
      <w:fldChar w:fldCharType="begin"/>
    </w:r>
    <w:r w:rsidR="00714E91" w:rsidRPr="00694685">
      <w:instrText xml:space="preserve"> PAGE </w:instrText>
    </w:r>
    <w:r w:rsidR="00714E91" w:rsidRPr="00694685">
      <w:fldChar w:fldCharType="separate"/>
    </w:r>
    <w:r w:rsidR="00DF16DA">
      <w:rPr>
        <w:noProof/>
      </w:rPr>
      <w:t>2</w:t>
    </w:r>
    <w:r w:rsidR="00714E91" w:rsidRPr="00694685">
      <w:fldChar w:fldCharType="end"/>
    </w:r>
    <w:r w:rsidR="00714E91" w:rsidRPr="00694685">
      <w:t>/</w:t>
    </w:r>
    <w:fldSimple w:instr=" NUMPAGES ">
      <w:r w:rsidR="00DF16DA">
        <w:rPr>
          <w:noProof/>
        </w:rPr>
        <w:t>2</w:t>
      </w:r>
    </w:fldSimple>
    <w:r w:rsidRPr="00694685">
      <w:tab/>
      <w:t>PE</w:t>
    </w:r>
    <w:r w:rsidRPr="00694685">
      <w:rPr>
        <w:rStyle w:val="HideTWBExt"/>
        <w:noProof w:val="0"/>
      </w:rPr>
      <w:t>&lt;NoPE&gt;</w:t>
    </w:r>
    <w:r w:rsidR="00DF16DA" w:rsidRPr="00DF16DA">
      <w:t>645.070</w:t>
    </w:r>
    <w:r w:rsidRPr="00694685">
      <w:rPr>
        <w:rStyle w:val="HideTWBExt"/>
        <w:noProof w:val="0"/>
      </w:rPr>
      <w:t>&lt;/NoPE&gt;&lt;Version&gt;</w:t>
    </w:r>
    <w:r w:rsidR="00694685" w:rsidRPr="00694685">
      <w:t>v</w:t>
    </w:r>
    <w:r w:rsidR="00DF16DA" w:rsidRPr="00DF16DA">
      <w:t>01-00</w:t>
    </w:r>
    <w:r w:rsidRPr="00694685">
      <w:rPr>
        <w:rStyle w:val="HideTWBExt"/>
        <w:noProof w:val="0"/>
      </w:rPr>
      <w:t>&lt;/Version&gt;</w:t>
    </w:r>
  </w:p>
  <w:p w:rsidR="00515EFE" w:rsidRPr="00694685" w:rsidRDefault="00714E91">
    <w:pPr>
      <w:pStyle w:val="EPFooter2"/>
    </w:pPr>
    <w:r w:rsidRPr="00694685">
      <w:tab/>
    </w:r>
    <w:r w:rsidR="00515EFE" w:rsidRPr="00694685">
      <w:tab/>
    </w:r>
    <w:fldSimple w:instr=" DOCPROPERTY &quot;&lt;Extension&gt;&quot; ">
      <w:r w:rsidR="00DF16DA">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694685" w:rsidRDefault="00515EFE" w:rsidP="00EE6762">
    <w:pPr>
      <w:pStyle w:val="EPFooter"/>
    </w:pPr>
    <w:r w:rsidRPr="00694685">
      <w:rPr>
        <w:rStyle w:val="HideTWBExt"/>
        <w:noProof w:val="0"/>
      </w:rPr>
      <w:t>&lt;PathFdR&gt;</w:t>
    </w:r>
    <w:r w:rsidR="00DF16DA" w:rsidRPr="00DF16DA">
      <w:t>CM\1195850EN.docx</w:t>
    </w:r>
    <w:r w:rsidRPr="00694685">
      <w:rPr>
        <w:rStyle w:val="HideTWBExt"/>
        <w:noProof w:val="0"/>
      </w:rPr>
      <w:t>&lt;/PathFdR&gt;</w:t>
    </w:r>
    <w:r w:rsidRPr="00694685">
      <w:tab/>
    </w:r>
    <w:r w:rsidRPr="00694685">
      <w:tab/>
      <w:t>PE</w:t>
    </w:r>
    <w:r w:rsidRPr="00694685">
      <w:rPr>
        <w:rStyle w:val="HideTWBExt"/>
        <w:noProof w:val="0"/>
      </w:rPr>
      <w:t>&lt;NoPE&gt;</w:t>
    </w:r>
    <w:r w:rsidR="00DF16DA" w:rsidRPr="00DF16DA">
      <w:t>645.070</w:t>
    </w:r>
    <w:r w:rsidRPr="00694685">
      <w:rPr>
        <w:rStyle w:val="HideTWBExt"/>
        <w:noProof w:val="0"/>
      </w:rPr>
      <w:t>&lt;/NoPE&gt;&lt;Version&gt;</w:t>
    </w:r>
    <w:r w:rsidR="00694685" w:rsidRPr="00694685">
      <w:t>v</w:t>
    </w:r>
    <w:r w:rsidR="00DF16DA">
      <w:t>01-00</w:t>
    </w:r>
    <w:r w:rsidRPr="00694685">
      <w:rPr>
        <w:rStyle w:val="HideTWBExt"/>
        <w:noProof w:val="0"/>
      </w:rPr>
      <w:t>&lt;/Version&gt;</w:t>
    </w:r>
  </w:p>
  <w:p w:rsidR="00515EFE" w:rsidRPr="00694685" w:rsidRDefault="001B4EE5" w:rsidP="00515EFE">
    <w:pPr>
      <w:pStyle w:val="EPFooter2"/>
      <w:tabs>
        <w:tab w:val="clear" w:pos="4535"/>
        <w:tab w:val="center" w:pos="4536"/>
      </w:tabs>
    </w:pPr>
    <w:fldSimple w:instr=" DOCPROPERTY &quot;&lt;Extension&gt;&quot; ">
      <w:r w:rsidR="00DF16DA">
        <w:t>EN</w:t>
      </w:r>
    </w:fldSimple>
    <w:r w:rsidR="00515EFE" w:rsidRPr="00694685">
      <w:tab/>
    </w:r>
    <w:r w:rsidR="00DF16DA">
      <w:rPr>
        <w:b w:val="0"/>
        <w:i/>
        <w:color w:val="C0C0C0"/>
        <w:sz w:val="22"/>
        <w:szCs w:val="22"/>
      </w:rPr>
      <w:t>United in diversity</w:t>
    </w:r>
    <w:r w:rsidR="00515EFE" w:rsidRPr="00694685">
      <w:tab/>
    </w:r>
    <w:fldSimple w:instr=" DOCPROPERTY &quot;&lt;Extension&gt;&quot; ">
      <w:r w:rsidR="00DF16DA">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85" w:rsidRPr="00694685" w:rsidRDefault="00694685">
      <w:r w:rsidRPr="00694685">
        <w:separator/>
      </w:r>
    </w:p>
  </w:footnote>
  <w:footnote w:type="continuationSeparator" w:id="0">
    <w:p w:rsidR="00694685" w:rsidRPr="00694685" w:rsidRDefault="00694685">
      <w:r w:rsidRPr="00694685">
        <w:continuationSeparator/>
      </w:r>
    </w:p>
  </w:footnote>
  <w:footnote w:id="1">
    <w:p w:rsidR="00DF16DA" w:rsidRDefault="00DF16DA" w:rsidP="00DF16DA">
      <w:pPr>
        <w:pStyle w:val="NormalWeb"/>
        <w:spacing w:before="0" w:beforeAutospacing="0" w:after="0" w:afterAutospacing="0"/>
        <w:jc w:val="both"/>
        <w:rPr>
          <w:i/>
          <w:sz w:val="20"/>
          <w:szCs w:val="20"/>
        </w:rPr>
      </w:pPr>
      <w:r>
        <w:rPr>
          <w:rStyle w:val="FootnoteReference"/>
        </w:rPr>
        <w:footnoteRef/>
      </w:r>
      <w:r>
        <w:rPr>
          <w:sz w:val="20"/>
          <w:szCs w:val="20"/>
        </w:rPr>
        <w:t xml:space="preserve"> Regulation (EU) No 1306/2013 of the European Parliament and of the Council of 17 December 2013 on the financing, management and monitoring of the common agricultural policy and repealing Council Regulations (EEC) No 352/78, (EC) No 165/94, (EC) No 2799/98, (EC) No 814/2000, (EC) No 1290/2005 and (EC) No 485/2008, </w:t>
      </w:r>
      <w:r>
        <w:rPr>
          <w:rStyle w:val="Emphasis"/>
          <w:sz w:val="20"/>
          <w:szCs w:val="20"/>
        </w:rPr>
        <w:t>OJ L 347, 20.12.2013, p. 549–607.</w:t>
      </w:r>
    </w:p>
  </w:footnote>
  <w:footnote w:id="2">
    <w:p w:rsidR="00DF16DA" w:rsidRDefault="00DF16DA" w:rsidP="00DF16DA">
      <w:pPr>
        <w:pStyle w:val="NormalWeb"/>
        <w:spacing w:before="0" w:beforeAutospacing="0" w:after="0" w:afterAutospacing="0"/>
        <w:jc w:val="both"/>
        <w:rPr>
          <w:i/>
          <w:sz w:val="20"/>
          <w:szCs w:val="20"/>
        </w:rPr>
      </w:pPr>
      <w:r>
        <w:rPr>
          <w:rStyle w:val="FootnoteReference"/>
        </w:rPr>
        <w:footnoteRef/>
      </w:r>
      <w:r>
        <w:rPr>
          <w:sz w:val="20"/>
          <w:szCs w:val="20"/>
        </w:rPr>
        <w:t xml:space="preserve"> Directive 2008/50/EC of the European Parliament and of the Council of 21 May 2008 on ambient air quality and cleaner air for Europe, </w:t>
      </w:r>
      <w:r>
        <w:rPr>
          <w:rStyle w:val="Emphasis"/>
          <w:sz w:val="20"/>
          <w:szCs w:val="20"/>
        </w:rPr>
        <w:t>OJ L 152, 11.6.2008, p.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195"/>
    <w:docVar w:name="TXTLANGUE" w:val="EN"/>
    <w:docVar w:name="TXTLANGUEMIN" w:val="en"/>
    <w:docVar w:name="TXTNRPE" w:val="645.070"/>
    <w:docVar w:name="TXTPEorAP" w:val="PE"/>
    <w:docVar w:name="TXTROUTE" w:val="CM\1195850EN.docx"/>
    <w:docVar w:name="TXTVERSION" w:val="01-00"/>
  </w:docVars>
  <w:rsids>
    <w:rsidRoot w:val="00694685"/>
    <w:rsid w:val="00005580"/>
    <w:rsid w:val="00021877"/>
    <w:rsid w:val="000B1FCF"/>
    <w:rsid w:val="000C55C2"/>
    <w:rsid w:val="000F177C"/>
    <w:rsid w:val="00113F15"/>
    <w:rsid w:val="00146D0F"/>
    <w:rsid w:val="00184435"/>
    <w:rsid w:val="00197354"/>
    <w:rsid w:val="001B4EE5"/>
    <w:rsid w:val="00210517"/>
    <w:rsid w:val="0026650F"/>
    <w:rsid w:val="00293A67"/>
    <w:rsid w:val="002D1C23"/>
    <w:rsid w:val="0036659A"/>
    <w:rsid w:val="00374CF2"/>
    <w:rsid w:val="003D4BEC"/>
    <w:rsid w:val="003E5164"/>
    <w:rsid w:val="003F0B55"/>
    <w:rsid w:val="004B3DD0"/>
    <w:rsid w:val="004B68CD"/>
    <w:rsid w:val="004E3E40"/>
    <w:rsid w:val="00515EFE"/>
    <w:rsid w:val="00583711"/>
    <w:rsid w:val="00586F3B"/>
    <w:rsid w:val="005D2B42"/>
    <w:rsid w:val="005E2BFF"/>
    <w:rsid w:val="005F3572"/>
    <w:rsid w:val="00666D8D"/>
    <w:rsid w:val="00694685"/>
    <w:rsid w:val="006E2B69"/>
    <w:rsid w:val="00714E91"/>
    <w:rsid w:val="00727E87"/>
    <w:rsid w:val="00737D2D"/>
    <w:rsid w:val="00740B60"/>
    <w:rsid w:val="00742098"/>
    <w:rsid w:val="007F328A"/>
    <w:rsid w:val="00892FAD"/>
    <w:rsid w:val="008A7531"/>
    <w:rsid w:val="00930145"/>
    <w:rsid w:val="009434F7"/>
    <w:rsid w:val="00967CC6"/>
    <w:rsid w:val="0098672A"/>
    <w:rsid w:val="009A7D47"/>
    <w:rsid w:val="00A31762"/>
    <w:rsid w:val="00AF73CF"/>
    <w:rsid w:val="00BA398B"/>
    <w:rsid w:val="00BB70B2"/>
    <w:rsid w:val="00C26FE8"/>
    <w:rsid w:val="00C71A0F"/>
    <w:rsid w:val="00D0655B"/>
    <w:rsid w:val="00D339E0"/>
    <w:rsid w:val="00D85B3A"/>
    <w:rsid w:val="00D9553F"/>
    <w:rsid w:val="00DC7A3F"/>
    <w:rsid w:val="00DF16DA"/>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3A1B1"/>
  <w15:chartTrackingRefBased/>
  <w15:docId w15:val="{21C4E4CE-C214-4DEB-B51A-EDEA4FAF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paragraph" w:styleId="NormalWeb">
    <w:name w:val="Normal (Web)"/>
    <w:basedOn w:val="Normal"/>
    <w:uiPriority w:val="99"/>
    <w:unhideWhenUsed/>
    <w:rsid w:val="00DF16DA"/>
    <w:pPr>
      <w:widowControl/>
      <w:spacing w:before="100" w:beforeAutospacing="1" w:after="100" w:afterAutospacing="1"/>
    </w:pPr>
    <w:rPr>
      <w:szCs w:val="24"/>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uiPriority w:val="99"/>
    <w:unhideWhenUsed/>
    <w:qFormat/>
    <w:rsid w:val="00DF16DA"/>
    <w:rPr>
      <w:rFonts w:ascii="Calibri" w:eastAsia="Calibri" w:hAnsi="Calibri"/>
      <w:vertAlign w:val="superscript"/>
    </w:rPr>
  </w:style>
  <w:style w:type="paragraph" w:styleId="Footer">
    <w:name w:val="footer"/>
    <w:basedOn w:val="Normal"/>
    <w:link w:val="FooterChar"/>
    <w:semiHidden/>
    <w:rsid w:val="00DF16DA"/>
    <w:pPr>
      <w:tabs>
        <w:tab w:val="center" w:pos="4513"/>
        <w:tab w:val="right" w:pos="9026"/>
      </w:tabs>
    </w:pPr>
  </w:style>
  <w:style w:type="character" w:styleId="Emphasis">
    <w:name w:val="Emphasis"/>
    <w:basedOn w:val="DefaultParagraphFont"/>
    <w:uiPriority w:val="20"/>
    <w:qFormat/>
    <w:rsid w:val="00DF16DA"/>
    <w:rPr>
      <w:i/>
      <w:iCs/>
    </w:rPr>
  </w:style>
  <w:style w:type="character" w:customStyle="1" w:styleId="FooterChar">
    <w:name w:val="Footer Char"/>
    <w:basedOn w:val="DefaultParagraphFont"/>
    <w:link w:val="Footer"/>
    <w:semiHidden/>
    <w:rsid w:val="00DF16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D971F-A978-4F0B-83AF-B309BAD5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2236</Characters>
  <Application>Microsoft Office Word</Application>
  <DocSecurity>0</DocSecurity>
  <Lines>186</Lines>
  <Paragraphs>154</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FERNANDEZ RODRIGUEZ Maria del Mar</dc:creator>
  <cp:keywords/>
  <dc:description/>
  <cp:lastModifiedBy>FERNANDEZ RODRIGUEZ Maria del Mar</cp:lastModifiedBy>
  <cp:revision>2</cp:revision>
  <cp:lastPrinted>2005-02-25T11:09:00Z</cp:lastPrinted>
  <dcterms:created xsi:type="dcterms:W3CDTF">2020-01-10T18:19:00Z</dcterms:created>
  <dcterms:modified xsi:type="dcterms:W3CDTF">2020-01-10T18:19:00Z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1195850</vt:lpwstr>
  </property>
  <property fmtid="{D5CDD505-2E9C-101B-9397-08002B2CF9AE}" pid="6" name="&lt;Type&gt;">
    <vt:lpwstr>CM</vt:lpwstr>
  </property>
  <property fmtid="{D5CDD505-2E9C-101B-9397-08002B2CF9AE}" pid="7" name="&lt;ModelCod&gt;">
    <vt:lpwstr>\\eiciBRUpr1\pdocep$\DocEP\DOCS\General\CM\CM_PETI.dotx(15/10/2019 06:18:42)</vt:lpwstr>
  </property>
  <property fmtid="{D5CDD505-2E9C-101B-9397-08002B2CF9AE}" pid="8" name="&lt;ModelTra&gt;">
    <vt:lpwstr>\\eiciBRUpr1\pdocep$\DocEP\TRANSFIL\EN\CM_PETI.EN(27/08/2019 12:48:00)</vt:lpwstr>
  </property>
  <property fmtid="{D5CDD505-2E9C-101B-9397-08002B2CF9AE}" pid="9" name="&lt;Model&gt;">
    <vt:lpwstr>CM_PETI</vt:lpwstr>
  </property>
  <property fmtid="{D5CDD505-2E9C-101B-9397-08002B2CF9AE}" pid="10" name="FooterPath">
    <vt:lpwstr>CM\1195850EN.docx</vt:lpwstr>
  </property>
  <property fmtid="{D5CDD505-2E9C-101B-9397-08002B2CF9AE}" pid="11" name="PE number">
    <vt:lpwstr>645.070</vt:lpwstr>
  </property>
  <property fmtid="{D5CDD505-2E9C-101B-9397-08002B2CF9AE}" pid="12" name="SendToEpades">
    <vt:lpwstr>OK - 2020/01/10 19:18</vt:lpwstr>
  </property>
</Properties>
</file>