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5166FF" w:rsidRPr="005166FF">
      <w:pPr>
        <w:pStyle w:val="ANNEXTITLE"/>
        <w:jc w:val="center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PRÍLOHA</w:t>
      </w:r>
    </w:p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RESULT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VÝSLEDKY HLASOVANIA</w:t>
      </w:r>
    </w:p>
    <w:tbl>
      <w:tblPr>
        <w:tblStyle w:val="TableNormal"/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5827"/>
      </w:tblGrid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TITLE"/>
              <w:snapToGrid w:val="0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Použité skratky a značky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prijatý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zamietnutý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prepadol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VS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vzatý späť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HPM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hlasovanie podľa mien (za, proti, zdržali sa)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EH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elektronické hlasovanie (za, proti, zdržali sa)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HPČ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hlasovanie po častiach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OH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oddelené hlasovanie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PN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pozmeňujúci návrh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KPN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kompromisný pozmeňujúci návrh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ZČ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zodpovedajúca časť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pozmeňujúci návrh, ktorým sa zrušujú ustanovenia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zhodné pozmeňujúce návrhy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ods.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odsek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čl.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článok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odôv.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odôvodnenie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NU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návrh uznes</w:t>
            </w:r>
            <w:r w:rsidRPr="005166FF">
              <w:rPr>
                <w:noProof/>
                <w:lang w:val="sk-SK" w:bidi="ar-SA"/>
              </w:rPr>
              <w:t>enia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SNU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spoločný návrh uznesenia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ABR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TH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SIGNIFICATIONDESC"/>
              <w:rPr>
                <w:lang w:val="sk-SK" w:bidi="ar-SA"/>
              </w:rPr>
            </w:pPr>
            <w:r w:rsidRPr="005166FF">
              <w:rPr>
                <w:noProof/>
                <w:lang w:val="sk-SK" w:bidi="ar-SA"/>
              </w:rPr>
              <w:t>tajné hlasovanie</w:t>
            </w:r>
          </w:p>
        </w:tc>
      </w:tr>
    </w:tbl>
    <w:p w:rsidR="005166FF" w:rsidRPr="005166FF">
      <w:pPr>
        <w:rPr>
          <w:lang w:val="sk-SK" w:bidi="ar-SA"/>
        </w:rPr>
      </w:pPr>
    </w:p>
    <w:p w:rsidR="005166FF" w:rsidRPr="005166FF">
      <w:pPr>
        <w:pStyle w:val="VOTEFIRST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Návrh všeobecného rozpočtu Európskej únie na rozpočtový rok 2016 – všetky oddiely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val="sk-SK" w:bidi="ar-SA"/>
        </w:rPr>
        <w:t>(potrebná kvalifikovaná väčšina)</w:t>
      </w: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086"/>
        <w:gridCol w:w="465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 w:rsidP="00FF6BD5">
            <w:pPr>
              <w:keepNext/>
              <w:jc w:val="center"/>
              <w:rPr>
                <w:lang w:val="sk-SK" w:bidi="ar-SA"/>
              </w:rPr>
            </w:pPr>
            <w:r w:rsidRPr="00FF6BD5">
              <w:rPr>
                <w:i/>
                <w:noProof/>
                <w:lang w:val="sk-SK" w:bidi="ar-SA"/>
              </w:rPr>
              <w:t xml:space="preserve">Blok, HPM, EH, </w:t>
            </w:r>
            <w:r w:rsidRPr="00FF6BD5" w:rsidR="00FF6BD5">
              <w:rPr>
                <w:i/>
                <w:noProof/>
                <w:lang w:val="sk-SK" w:bidi="ar-SA"/>
              </w:rPr>
              <w:t>OH</w:t>
            </w:r>
            <w:r w:rsidRPr="00FF6BD5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</w:t>
            </w:r>
            <w:r w:rsidRPr="005166FF">
              <w:rPr>
                <w:b/>
                <w:caps/>
                <w:noProof/>
                <w:sz w:val="28"/>
                <w:lang w:bidi="ar-SA"/>
              </w:rPr>
              <w:t xml:space="preserve"> III — KOMISIA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01 02 04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Blok/HPM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577,110,7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01 04 77 02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02 01 04 03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02 01 04 04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02 01 05 03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02 02 77 18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02 03 02 01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1563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02 03 02 02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02 03 03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02 03 04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1564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02 04 77 02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02 05 02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02 05 51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02 06 02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04 01 04 02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1566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04 03 12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04 03 77 17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04 03 77 23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04 03 77 24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05 01 05 01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05 01 05 02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05 01 05 03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05 09 03 01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06 02 01 03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06 02 01 05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06 02 03 02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06 02 52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06 02 77 08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06 02 77 09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06 02 77 10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06 02 77 11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06 02 77 12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06 02 77 13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06 03 03 01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06 03 07 32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06 03 07 33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08 01 05 02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08 01 05 03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08 01 05 11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08 01 05 13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08 01 06 02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08 01 06 03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08 01 06 04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08 02 01 03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08 02 03 02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08 02 03 03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08 02 03 04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08 02 03 05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08 02 03 06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08 02 07 31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08 02 07 32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08 02 07 33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08 02 07 34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08 02 07 35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08 02 07 36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08 02 07 38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08 02 77 04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08 02 77 06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08 03 01 01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08 03 01 02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09 01 05 01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09 03 02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09 04 03 02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09 04 03 03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09 04 07 31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09 04 07 32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09 04 53 01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09 04 77 04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09 04 77 06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09 04 77 07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09 04 77 08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10 01 05 01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10 01 05 02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10 01 05 04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10 01 05 05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10 01 05 13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10 01 05 14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10 02 77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12 02 04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12 02 05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12 02 06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12 02 77 05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1481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14 03 77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1482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15 01 05 01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15 01 05 03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15 02 77 10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15 02 77 11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15 02 77 12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15 02 77 13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15 02 77 14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15 02 77 15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15 03 05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15 03 51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18 01 05 01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18 05 03 01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18 05 51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24 02 01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24 04 01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26 03 51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29 01 04 01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29 02 01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32 01 05 21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32 02 01 03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32 02 01 04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32 02 10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32 02 52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32 03 02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32 04 03 01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32 04 51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32 04 53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</w:t>
            </w:r>
            <w:r w:rsidRPr="005166FF">
              <w:rPr>
                <w:lang w:val="sk-SK" w:bidi="ar-SA"/>
              </w:rPr>
              <w:t>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32 05 01 01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32 05 51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01 01 03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140,534,25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01 02 01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439,227,35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620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1348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1562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1038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1562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02 03 02 01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1563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02 02 77 21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02 04 02 03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1564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55,563,81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04 03 01 05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1566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118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04 03 77 22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120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06 01 06 01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623,74,4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1403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06 02 01 01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636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</w:t>
            </w:r>
            <w:r w:rsidRPr="005166FF">
              <w:rPr>
                <w:lang w:val="sk-SK" w:bidi="ar-SA"/>
              </w:rPr>
              <w:t>6 03 51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651,46,1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08 01 06 01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631,64,3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08 02 77 04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144,507,50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12 02 01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653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220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32 01 05 23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477,205,18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811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231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32 05 01 02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518,153,26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812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04 01 04 01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Blok/HPM 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551,142,9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04 02 17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04 02 19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04 02 60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04 02 61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04 02 62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04 02 63 01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09 04 77 09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13 03 16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13 03 18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13 03 77 15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13 03 77 17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13 03 77 18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13 03 77 19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13 03 77 20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13 04 60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13 04 61 01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04 02 64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1555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1045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303,384,8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06 02 01 04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13 03 64 01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FF6BD5">
              <w:rPr>
                <w:noProof/>
                <w:lang w:bidi="ar-SA"/>
              </w:rPr>
              <w:t>OH/EH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304,392,2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05 01 04 01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Blok/HPM 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559,124,17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05 01 04 04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05 01 06 01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05 02 06 05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05 02 08 11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05 02 09 08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05 02 10 01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05 02 12 99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05 03 01 07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05 03 01 11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05 03 02 60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05 04 60 01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05 04 60 02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05 07 01 02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05 07 01 06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05 07 02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05 08 09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05 08 77 12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05 08 77 13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05 08 77 14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05 08 77 15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07 01 06 01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07 02 77 28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07 02 77 30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07 02 77 31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07 02 77 32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07 02 77 33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07 02 77 34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08 02 77 07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08 02 77 08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11 01 06 01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1556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11 06 62 05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11 06 64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11 06 77 10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11 06 77 11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11 06 77 12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379,293,27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05 02 05 99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1549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05 02 08 03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527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1052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05 02 08 12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174,517,10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528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316,361,21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1131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1054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05 02 12 08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171,514,11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309,361,18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1132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05 02 12 99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05 02 13 01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378,294,25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05 03 01 01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344,306,39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1437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05 03 01 10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533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540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05 08 77 11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541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05 08 80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411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07 01 04 01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1055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6 7 0 3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09 01 04 02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Blok/HPM 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513,144,45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09 02 77 04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09 02 77 05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09 05 05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</w:t>
            </w:r>
            <w:r w:rsidRPr="005166FF">
              <w:rPr>
                <w:lang w:val="sk-SK" w:bidi="ar-SA"/>
              </w:rPr>
              <w:t xml:space="preserve"> 05 77 03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09 05 77 04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09 05 77 05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15 01 04 02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15 04 77 11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15 04 77 12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16 01 04 02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16 03 01 02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16 03 01 04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16 03 02 03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16 03 02 05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16 03 77 05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17 01 04 02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17 01 04 03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17 03 11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17 03 77 27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17 04 03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17 04 04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18 01 04 03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18 01 04 04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18 02 01 01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18 02 01 02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18 02 05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18 02 07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1557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18 06 02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23 03 01 01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33 01 04 02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33 01 04 03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33 02 77 12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33 02 77 13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33 02 77 14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33 03 04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33 04 77 05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 xml:space="preserve">16 03 </w:t>
            </w:r>
            <w:r w:rsidRPr="005166FF">
              <w:rPr>
                <w:lang w:val="sk-SK" w:bidi="ar-SA"/>
              </w:rPr>
              <w:t>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516,160,10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18 02 01 04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297,369,31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984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18 02 03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528,158,11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789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282,403,9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18 03 01 01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556,134,4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507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18 03 01 02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508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18 03 01 01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510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18 03 01 02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 xml:space="preserve">18 03 </w:t>
            </w:r>
            <w:r w:rsidRPr="005166FF">
              <w:rPr>
                <w:lang w:val="sk-SK" w:bidi="ar-SA"/>
              </w:rPr>
              <w:t>01 01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 w:rsidR="007C7CA6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1344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18 03 02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110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492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773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112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  <w:r w:rsidRPr="005166FF">
              <w:rPr>
                <w:noProof/>
                <w:lang w:bidi="ar-SA"/>
              </w:rPr>
              <w:t>/EH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334,342,20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33 02 07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1096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122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05 01 04 03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Blok/HPM 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506,144,45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07 02 04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13 03 64 02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</w:t>
            </w:r>
            <w:r w:rsidRPr="005166FF">
              <w:rPr>
                <w:lang w:val="sk-SK" w:bidi="ar-SA"/>
              </w:rPr>
              <w:t xml:space="preserve"> 05 63 02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13 07 01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17 03 13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17 04 10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19 01 04 03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19 01 04 04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19 01 06 01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1558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996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19 03 01 04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19 03 01 06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20 02 77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21 01 04 04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21 01 06 01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21 02 07 02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21 02 07 04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1559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nahradený 1560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21 02 08 01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21 02 08 02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21 02 30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21 02 40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21 02 77 19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21 02 77 20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21 02 77 24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21 02 77 25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21 02 77 26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21 02 77 27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21 09 51 02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21 09 51 03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22 01 04 02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22 02 01 01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22 02 01 02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22 02 04 01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22 04 01 02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22 04 01 03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22 04 03 03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597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23 01</w:t>
            </w:r>
            <w:r w:rsidRPr="005166FF">
              <w:rPr>
                <w:lang w:val="sk-SK" w:bidi="ar-SA"/>
              </w:rPr>
              <w:t xml:space="preserve">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23 02 01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34 02 04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01 03 02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178,517,8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01 03 06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05 05 04 02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732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19 03 01 07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173,502,28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1371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21 02 04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587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21 02 05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 xml:space="preserve">21 02 07 </w:t>
            </w:r>
            <w:r w:rsidRPr="005166FF">
              <w:rPr>
                <w:lang w:val="sk-SK" w:bidi="ar-SA"/>
              </w:rPr>
              <w:t>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807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21 02 07 03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22 01 04 01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1378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22 02 03 01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497,184,23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730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1379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22 02 03 02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488,185,27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1383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22 04 01 04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555,138,6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1091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24 01 07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Blok/HPM 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489,162,51</w:t>
              <w:br/>
              <w:t>na</w:t>
            </w:r>
            <w:r w:rsidRPr="005166FF">
              <w:rPr>
                <w:noProof/>
                <w:lang w:bidi="ar-SA"/>
              </w:rPr>
              <w:t>hradený 1561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25 01 77 03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26 01 20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26 01 21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26 01 22 01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26 01 22 02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26 01 22 03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26 01 22 06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26 01 23 01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26 01 40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26 01 60 06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26 03 77 03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26 03 77 04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26 03 77 05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XX 01 01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XX 01 01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XX 01 02 01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XX 01 02 12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XX 01 03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XX 01 03 02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02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04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04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06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06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07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12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15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15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17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17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18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18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18 04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18 05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18 06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31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32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33 01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33 02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33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A3 01 03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12 01 01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16 01 01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16 01 03 03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198,464,40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 xml:space="preserve">21 01 </w:t>
            </w:r>
            <w:r w:rsidRPr="005166FF">
              <w:rPr>
                <w:lang w:val="sk-SK" w:bidi="ar-SA"/>
              </w:rPr>
              <w:t>01 02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21 01 03 02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157,508,35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22 01 01 02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1313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26 01 09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671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30 01 13 01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629,29,43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30 01 15 01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30 01 16 01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31 01 01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51,613,39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31 01 07 01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50,615,36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31 01</w:t>
            </w:r>
            <w:r w:rsidRPr="005166FF">
              <w:rPr>
                <w:lang w:val="sk-SK" w:bidi="ar-SA"/>
              </w:rPr>
              <w:t xml:space="preserve"> 08 01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51,612,37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1533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06 03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357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03 01 17 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XX 01 02 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598,97,3</w:t>
            </w: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I — Európsky parlament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1 6 1 2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1 6 5 0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1 6 5 4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10 1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2 1 0 5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2 3 8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3 0 4 2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3 2 0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4 2 2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1 0 0 0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143,531,28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1267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1 0 0 4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585,55,64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814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1 0 0 5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182,497,22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</w:t>
            </w:r>
            <w:r w:rsidRPr="005166FF">
              <w:rPr>
                <w:lang w:val="sk-SK" w:bidi="ar-SA"/>
              </w:rPr>
              <w:t>391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1 0 0 6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593,83,26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909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703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1392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1 2 0 0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704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1 2 2 0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1393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1 4 0 0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2 0 0 0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1396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2 0 0 7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709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1529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2 0 2 4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916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1397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2 1 2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900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710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813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2 1</w:t>
            </w:r>
            <w:r w:rsidRPr="005166FF">
              <w:rPr>
                <w:lang w:val="sk-SK" w:bidi="ar-SA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223,473,6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181,471,50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3 2 4 3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160,525,19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920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3 2 4 6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149,523,29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714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3 2 4 7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174,488,35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921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3 2 4 8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109,573,17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4 0 0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4 0 2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175,509,16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4 0 3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175,507,15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4 2 2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232,435,31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4 4 2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II — EURÓPSKA RADA A RADA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780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2 0 0 0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169,528,5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2 2 0 4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118,573,9</w:t>
            </w: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IV —</w:t>
            </w:r>
            <w:r w:rsidRPr="005166FF">
              <w:rPr>
                <w:b/>
                <w:caps/>
                <w:noProof/>
                <w:sz w:val="28"/>
                <w:lang w:bidi="ar-SA"/>
              </w:rPr>
              <w:t xml:space="preserve"> Súdny dvor Európskej únie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1 0 4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1 2 0 0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1 2 0 4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2 0 2 6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V — DVOR AUDÍTOROV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1 2 0 0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1 4 0 0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1 4 0 4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1 6 2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2 7 0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2 7 2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2 7 4 1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VI – Európsky hospodársky a sociálny výbor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1 2 2 0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1 0 0 4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469,227,8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739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1286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1 2 0 0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740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2 0 0 1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2 5 4 8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VII — Výbor regiónov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1 4 2 0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1 6 2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2 0 2 2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</w:t>
            </w:r>
            <w:r w:rsidRPr="005166FF">
              <w:rPr>
                <w:lang w:val="sk-SK" w:bidi="ar-SA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2 0 2 6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2 5 4 1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2 5 4 2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2 5 4 6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2 6 0 0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2 6 4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S 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1401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1 2 0 0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622,66,17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749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VIII — Európsky ombud</w:t>
            </w:r>
            <w:r w:rsidRPr="005166FF">
              <w:rPr>
                <w:b/>
                <w:caps/>
                <w:noProof/>
                <w:sz w:val="28"/>
                <w:lang w:bidi="ar-SA"/>
              </w:rPr>
              <w:t>sman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1 2 0 0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1 4 0 0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1299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1 4 0 4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2 1 0 0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IX — Európsky dozorný úradník pre ochranu údajov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1 1 0 0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1 1 2 0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2 0 1 0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2 0 1 3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2 0 1 4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X — Európska služba pre vonkajšiu činnosť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1 1 0 0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2 1 0 1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2 1 0 2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3 0 0 4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 xml:space="preserve">1 </w:t>
            </w:r>
            <w:r w:rsidRPr="005166FF">
              <w:rPr>
                <w:lang w:val="sk-SK" w:bidi="ar-SA"/>
              </w:rPr>
              <w:t>1 0 2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24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3 0 0 0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765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25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3 0 0 1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766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26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3 0 0 2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="00055B9F">
              <w:rPr>
                <w:noProof/>
                <w:lang w:bidi="ar-SA"/>
              </w:rPr>
              <w:t>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767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27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3 0 0 3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HPM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492,177,37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768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2403"/>
        <w:gridCol w:w="2551"/>
        <w:gridCol w:w="992"/>
        <w:gridCol w:w="2268"/>
      </w:tblGrid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="0041253D">
              <w:rPr>
                <w:i/>
                <w:noProof/>
                <w:lang w:bidi="ar-SA"/>
              </w:rPr>
              <w:t>PN</w:t>
            </w:r>
            <w:r w:rsidRPr="005166FF">
              <w:rPr>
                <w:i/>
                <w:noProof/>
                <w:lang w:bidi="ar-SA"/>
              </w:rPr>
              <w:t xml:space="preserve"> č.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Rozpočtový riadok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055B9F">
              <w:rPr>
                <w:i/>
                <w:noProof/>
                <w:lang w:val="sk-SK" w:bidi="ar-SA"/>
              </w:rPr>
              <w:t xml:space="preserve">Blok, HPM, EH, </w:t>
            </w:r>
            <w:r w:rsidRPr="00055B9F" w:rsidR="00055B9F">
              <w:rPr>
                <w:i/>
                <w:noProof/>
                <w:lang w:val="sk-SK" w:bidi="ar-SA"/>
              </w:rPr>
              <w:t>OH</w:t>
            </w:r>
            <w:r w:rsidRPr="00055B9F">
              <w:rPr>
                <w:i/>
                <w:noProof/>
                <w:lang w:val="sk-SK" w:bidi="ar-SA"/>
              </w:rPr>
              <w:t>, HPČ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Hlasovanie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HPM/EH - poznámky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9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b/>
                <w:caps/>
                <w:noProof/>
                <w:sz w:val="28"/>
                <w:lang w:bidi="ar-SA"/>
              </w:rPr>
              <w:t>ODDIEL III — KOMISIA</w:t>
            </w:r>
          </w:p>
        </w:tc>
      </w:tr>
      <w:tr>
        <w:tblPrEx>
          <w:tblW w:w="9112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552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04 04 01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noProof/>
                <w:lang w:bidi="ar-SA"/>
              </w:rPr>
              <w:t>Blok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</w:p>
        </w:tc>
      </w:tr>
    </w:tbl>
    <w:p w:rsidR="005166FF" w:rsidRPr="005166FF">
      <w:pPr>
        <w:pStyle w:val="VOTEREPORTTITLE"/>
        <w:keepNext w:val="0"/>
        <w:spacing w:after="0"/>
        <w:rPr>
          <w:lang w:val="sk-SK" w:bidi="ar-SA"/>
        </w:rPr>
      </w:pPr>
    </w:p>
    <w:tbl>
      <w:tblPr>
        <w:tblStyle w:val="TableNormal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55"/>
        <w:gridCol w:w="6957"/>
      </w:tblGrid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rPr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6FF" w:rsidRPr="005166FF">
            <w:pPr>
              <w:keepNext/>
              <w:jc w:val="center"/>
              <w:rPr>
                <w:lang w:val="sk-SK" w:bidi="ar-SA"/>
              </w:rPr>
            </w:pPr>
            <w:r w:rsidRPr="005166FF">
              <w:rPr>
                <w:i/>
                <w:noProof/>
                <w:lang w:bidi="ar-SA"/>
              </w:rPr>
              <w:t>Zmena a doplnenie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6FF" w:rsidRPr="005166FF">
            <w:pPr>
              <w:keepNext/>
              <w:rPr>
                <w:lang w:val="sk-SK" w:bidi="ar-SA"/>
              </w:rPr>
            </w:pPr>
            <w:r w:rsidRPr="005166FF">
              <w:rPr>
                <w:i/>
                <w:noProof/>
                <w:lang w:val="pt-PT" w:bidi="ar-SA"/>
              </w:rPr>
              <w:t>nahradený/á/é (alebo poznámka)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444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1563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1564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1565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1353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1566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1348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1562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1562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1563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1564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1565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113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1566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1435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1555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478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1556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1366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1557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995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1558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1559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1374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1560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jc w:val="center"/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1389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FF" w:rsidRPr="005166FF">
            <w:pPr>
              <w:rPr>
                <w:lang w:val="sk-SK" w:bidi="ar-SA"/>
              </w:rPr>
            </w:pPr>
            <w:r w:rsidRPr="005166FF">
              <w:rPr>
                <w:lang w:val="sk-SK" w:bidi="ar-SA"/>
              </w:rPr>
              <w:t>1561</w:t>
            </w:r>
          </w:p>
        </w:tc>
      </w:tr>
    </w:tbl>
    <w:p w:rsidR="005166FF" w:rsidRPr="005166FF">
      <w:pPr>
        <w:pStyle w:val="VOTEREPORTTITLE"/>
        <w:rPr>
          <w:lang w:val="sk-SK" w:bidi="ar-SA"/>
        </w:rPr>
      </w:pP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rFonts w:ascii="Calibri" w:hAnsi="Calibri"/>
          <w:spacing w:val="-3"/>
          <w:kern w:val="0"/>
          <w:lang w:val="sk-SK" w:bidi="ar-SA"/>
        </w:rPr>
      </w:pPr>
      <w:r w:rsidRPr="005166FF">
        <w:rPr>
          <w:i/>
          <w:spacing w:val="-3"/>
          <w:kern w:val="0"/>
          <w:lang w:val="sk-SK" w:bidi="ar-SA"/>
        </w:rPr>
        <w:t>Žiadosti o hlasovanie podľa mien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en-GB" w:bidi="ar-SA"/>
        </w:rPr>
      </w:pPr>
      <w:r w:rsidR="00055B9F">
        <w:rPr>
          <w:noProof/>
          <w:kern w:val="0"/>
          <w:lang w:val="en-GB" w:bidi="ar-SA"/>
        </w:rPr>
        <w:t>PPE</w:t>
      </w:r>
      <w:r w:rsidRPr="005166FF">
        <w:rPr>
          <w:noProof/>
          <w:kern w:val="0"/>
          <w:lang w:val="en-GB" w:bidi="ar-SA"/>
        </w:rPr>
        <w:t>:</w:t>
      </w:r>
      <w:r w:rsidRPr="005166FF">
        <w:rPr>
          <w:kern w:val="0"/>
          <w:lang w:val="en-GB" w:bidi="ar-SA"/>
        </w:rPr>
        <w:tab/>
        <w:tab/>
      </w:r>
      <w:r w:rsidRPr="005166FF">
        <w:rPr>
          <w:noProof/>
          <w:kern w:val="0"/>
          <w:lang w:val="en-GB" w:bidi="ar-SA"/>
        </w:rPr>
        <w:t>bloky 1, 2, 3, 4, 5 a 6 a PN 984, 1365, 1262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en-GB" w:bidi="ar-SA"/>
        </w:rPr>
      </w:pPr>
      <w:r w:rsidRPr="005166FF">
        <w:rPr>
          <w:noProof/>
          <w:kern w:val="0"/>
          <w:lang w:val="en-GB" w:bidi="ar-SA"/>
        </w:rPr>
        <w:t>ECR:</w:t>
      </w:r>
      <w:r w:rsidRPr="005166FF">
        <w:rPr>
          <w:kern w:val="0"/>
          <w:lang w:val="en-GB" w:bidi="ar-SA"/>
        </w:rPr>
        <w:tab/>
        <w:tab/>
      </w:r>
      <w:r w:rsidRPr="005166FF">
        <w:rPr>
          <w:noProof/>
          <w:kern w:val="0"/>
          <w:lang w:val="en-GB" w:bidi="ar-SA"/>
        </w:rPr>
        <w:t>PN 715, 1550, 711, 180, 170, 173</w:t>
      </w:r>
    </w:p>
    <w:p w:rsidR="005166FF" w:rsidRPr="005166FF">
      <w:pPr>
        <w:widowControl/>
        <w:suppressAutoHyphens w:val="0"/>
        <w:autoSpaceDN/>
        <w:ind w:left="1440" w:hanging="1440"/>
        <w:jc w:val="both"/>
        <w:textAlignment w:val="auto"/>
        <w:rPr>
          <w:kern w:val="0"/>
          <w:lang w:val="en-GB" w:bidi="ar-SA"/>
        </w:rPr>
      </w:pPr>
      <w:r w:rsidRPr="005166FF">
        <w:rPr>
          <w:noProof/>
          <w:kern w:val="0"/>
          <w:lang w:val="en-GB" w:bidi="ar-SA"/>
        </w:rPr>
        <w:t>EFDD:</w:t>
      </w:r>
      <w:r w:rsidRPr="005166FF">
        <w:rPr>
          <w:kern w:val="0"/>
          <w:lang w:val="en-GB" w:bidi="ar-SA"/>
        </w:rPr>
        <w:tab/>
      </w:r>
      <w:r w:rsidRPr="005166FF">
        <w:rPr>
          <w:noProof/>
          <w:kern w:val="0"/>
          <w:lang w:val="en-GB" w:bidi="ar-SA"/>
        </w:rPr>
        <w:t>PN 1332, 620, 737, 734, 1378, 730, 1379, 731, 667, 668, 700, 1267, 701,702, 1391,703, 711, 717, 718, 1274, 719, 729, 1285, 739, 1401, 749, 27, 768</w:t>
      </w:r>
    </w:p>
    <w:p w:rsidR="005166FF" w:rsidRPr="005166FF">
      <w:pPr>
        <w:widowControl/>
        <w:suppressAutoHyphens w:val="0"/>
        <w:autoSpaceDN/>
        <w:ind w:left="1440" w:hanging="1440"/>
        <w:jc w:val="both"/>
        <w:textAlignment w:val="auto"/>
        <w:rPr>
          <w:kern w:val="0"/>
          <w:lang w:val="en-GB" w:bidi="ar-SA"/>
        </w:rPr>
      </w:pPr>
      <w:r w:rsidRPr="005166FF">
        <w:rPr>
          <w:noProof/>
          <w:kern w:val="0"/>
          <w:lang w:val="en-GB" w:bidi="ar-SA"/>
        </w:rPr>
        <w:t>EU</w:t>
      </w:r>
      <w:r w:rsidRPr="005166FF">
        <w:rPr>
          <w:noProof/>
          <w:kern w:val="0"/>
          <w:lang w:val="en-GB" w:bidi="ar-SA"/>
        </w:rPr>
        <w:t>L/NGL:</w:t>
      </w:r>
      <w:r w:rsidRPr="005166FF">
        <w:rPr>
          <w:kern w:val="0"/>
          <w:lang w:val="en-GB" w:bidi="ar-SA"/>
        </w:rPr>
        <w:tab/>
      </w:r>
      <w:r w:rsidRPr="005166FF">
        <w:rPr>
          <w:noProof/>
          <w:kern w:val="0"/>
          <w:lang w:val="en-GB" w:bidi="ar-SA"/>
        </w:rPr>
        <w:t>PN 1383, 1262, 1045, 1261, 1052, 1054, 1092, 1093, 1094, 1091 and 407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en-GB" w:bidi="ar-SA"/>
        </w:rPr>
      </w:pPr>
      <w:r w:rsidRPr="005166FF">
        <w:rPr>
          <w:noProof/>
          <w:kern w:val="0"/>
          <w:lang w:val="en-GB" w:bidi="ar-SA"/>
        </w:rPr>
        <w:t>ENF:</w:t>
      </w:r>
      <w:r w:rsidRPr="005166FF">
        <w:rPr>
          <w:kern w:val="0"/>
          <w:lang w:val="en-GB" w:bidi="ar-SA"/>
        </w:rPr>
        <w:tab/>
        <w:tab/>
      </w:r>
      <w:r w:rsidRPr="005166FF">
        <w:rPr>
          <w:noProof/>
          <w:kern w:val="0"/>
          <w:lang w:val="en-GB" w:bidi="ar-SA"/>
        </w:rPr>
        <w:t>PN 807, 814, 919, 920, 921, 922, 1091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nl-NL" w:bidi="ar-SA"/>
        </w:rPr>
      </w:pPr>
      <w:r w:rsidRPr="005166FF">
        <w:rPr>
          <w:noProof/>
          <w:kern w:val="0"/>
          <w:lang w:val="nl-NL" w:bidi="ar-SA"/>
        </w:rPr>
        <w:t>S&amp;D:</w:t>
      </w:r>
      <w:r w:rsidRPr="005166FF">
        <w:rPr>
          <w:kern w:val="0"/>
          <w:lang w:val="nl-NL" w:bidi="ar-SA"/>
        </w:rPr>
        <w:tab/>
        <w:tab/>
      </w:r>
      <w:r w:rsidRPr="005166FF">
        <w:rPr>
          <w:noProof/>
          <w:kern w:val="0"/>
          <w:lang w:val="nl-NL" w:bidi="ar-SA"/>
        </w:rPr>
        <w:t>PN 1143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nl-NL" w:bidi="ar-SA"/>
        </w:rPr>
      </w:pPr>
      <w:r w:rsidRPr="005166FF" w:rsidR="001C2DE1">
        <w:rPr>
          <w:noProof/>
          <w:kern w:val="0"/>
          <w:lang w:val="nl-NL" w:bidi="ar-SA"/>
        </w:rPr>
        <w:t>Verts</w:t>
      </w:r>
      <w:r w:rsidRPr="005166FF">
        <w:rPr>
          <w:noProof/>
          <w:kern w:val="0"/>
          <w:lang w:val="nl-NL" w:bidi="ar-SA"/>
        </w:rPr>
        <w:t xml:space="preserve">/ </w:t>
      </w:r>
      <w:r w:rsidRPr="005166FF" w:rsidR="001C2DE1">
        <w:rPr>
          <w:noProof/>
          <w:kern w:val="0"/>
          <w:lang w:val="nl-NL" w:bidi="ar-SA"/>
        </w:rPr>
        <w:t>ALE</w:t>
      </w:r>
      <w:r w:rsidRPr="005166FF">
        <w:rPr>
          <w:noProof/>
          <w:kern w:val="0"/>
          <w:lang w:val="nl-NL" w:bidi="ar-SA"/>
        </w:rPr>
        <w:t>:</w:t>
      </w:r>
      <w:r w:rsidRPr="005166FF">
        <w:rPr>
          <w:kern w:val="0"/>
          <w:lang w:val="nl-NL" w:bidi="ar-SA"/>
        </w:rPr>
        <w:tab/>
      </w:r>
      <w:r w:rsidRPr="005166FF">
        <w:rPr>
          <w:noProof/>
          <w:kern w:val="0"/>
          <w:lang w:val="nl-NL" w:bidi="ar-SA"/>
        </w:rPr>
        <w:t>PN 1390, 780, 811, 812, 813, 220, 231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nl-NL" w:bidi="ar-SA"/>
        </w:rPr>
      </w:pPr>
    </w:p>
    <w:p w:rsidR="001C2DE1" w:rsidRPr="00707359" w:rsidP="001C2DE1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i/>
          <w:spacing w:val="-3"/>
          <w:kern w:val="0"/>
          <w:lang w:val="nl-NL" w:bidi="ar-SA"/>
        </w:rPr>
      </w:pPr>
      <w:r w:rsidRPr="00707359">
        <w:rPr>
          <w:i/>
          <w:spacing w:val="-3"/>
          <w:kern w:val="0"/>
          <w:lang w:val="sk-SK" w:bidi="ar-SA"/>
        </w:rPr>
        <w:t>Žiadosti o oddelené hlasovanie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noProof/>
          <w:kern w:val="0"/>
          <w:lang w:val="sk-SK" w:bidi="ar-SA"/>
        </w:rPr>
        <w:t>ECR:</w:t>
      </w:r>
      <w:r w:rsidRPr="005166FF">
        <w:rPr>
          <w:kern w:val="0"/>
          <w:lang w:val="sk-SK" w:bidi="ar-SA"/>
        </w:rPr>
        <w:tab/>
        <w:tab/>
      </w:r>
      <w:r w:rsidRPr="005166FF">
        <w:rPr>
          <w:noProof/>
          <w:kern w:val="0"/>
          <w:lang w:val="sk-SK" w:bidi="ar-SA"/>
        </w:rPr>
        <w:t>PN 1341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sk-SK" w:bidi="ar-SA"/>
        </w:rPr>
      </w:pP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rFonts w:ascii="Calibri" w:hAnsi="Calibri"/>
          <w:spacing w:val="-3"/>
          <w:kern w:val="0"/>
          <w:lang w:val="sk-SK" w:bidi="ar-SA"/>
        </w:rPr>
      </w:pPr>
      <w:r w:rsidRPr="005166FF">
        <w:rPr>
          <w:i/>
          <w:spacing w:val="-3"/>
          <w:kern w:val="0"/>
          <w:lang w:val="sk-SK" w:bidi="ar-SA"/>
        </w:rPr>
        <w:t>Žiadosti o hlasovanie po častiach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noProof/>
          <w:kern w:val="0"/>
          <w:lang w:val="sk-SK" w:bidi="ar-SA"/>
        </w:rPr>
        <w:t>ECR: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noProof/>
          <w:kern w:val="0"/>
          <w:lang w:val="sk-SK" w:bidi="ar-SA"/>
        </w:rPr>
        <w:t>PN 1371</w:t>
      </w: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i/>
          <w:spacing w:val="-3"/>
          <w:kern w:val="0"/>
          <w:lang w:val="sk-SK" w:bidi="ar-SA"/>
        </w:rPr>
        <w:t>1. časť:</w:t>
      </w:r>
      <w:r w:rsidRPr="005166FF">
        <w:rPr>
          <w:rFonts w:ascii="Calibri" w:hAnsi="Calibri"/>
          <w:spacing w:val="-3"/>
          <w:kern w:val="0"/>
          <w:lang w:val="sk-SK" w:bidi="ar-SA"/>
        </w:rPr>
        <w:tab/>
        <w:tab/>
      </w:r>
      <w:r w:rsidRPr="005166FF">
        <w:rPr>
          <w:spacing w:val="-3"/>
          <w:kern w:val="0"/>
          <w:lang w:val="sk-SK" w:bidi="ar-SA"/>
        </w:rPr>
        <w:t>sumy</w:t>
      </w: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i/>
          <w:spacing w:val="-3"/>
          <w:kern w:val="0"/>
          <w:lang w:val="sk-SK" w:bidi="ar-SA"/>
        </w:rPr>
        <w:t>2. časť:</w:t>
      </w:r>
      <w:r w:rsidRPr="005166FF">
        <w:rPr>
          <w:rFonts w:ascii="Calibri" w:hAnsi="Calibri"/>
          <w:spacing w:val="-3"/>
          <w:kern w:val="0"/>
          <w:lang w:val="sk-SK" w:bidi="ar-SA"/>
        </w:rPr>
        <w:tab/>
        <w:tab/>
      </w:r>
      <w:r w:rsidRPr="005166FF">
        <w:rPr>
          <w:spacing w:val="-3"/>
          <w:kern w:val="0"/>
          <w:lang w:val="sk-SK" w:bidi="ar-SA"/>
        </w:rPr>
        <w:t>poznámky</w:t>
      </w: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rFonts w:ascii="Calibri" w:hAnsi="Calibri"/>
          <w:spacing w:val="-3"/>
          <w:kern w:val="0"/>
          <w:lang w:val="sk-SK" w:bidi="ar-SA"/>
        </w:rPr>
      </w:pP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noProof/>
          <w:kern w:val="0"/>
          <w:lang w:val="sk-SK" w:bidi="ar-SA"/>
        </w:rPr>
        <w:t>PN 587</w:t>
      </w: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i/>
          <w:spacing w:val="-3"/>
          <w:kern w:val="0"/>
          <w:lang w:val="sk-SK" w:bidi="ar-SA"/>
        </w:rPr>
        <w:t>1. časť:</w:t>
      </w:r>
      <w:r w:rsidRPr="005166FF">
        <w:rPr>
          <w:rFonts w:ascii="Calibri" w:hAnsi="Calibri"/>
          <w:spacing w:val="-3"/>
          <w:kern w:val="0"/>
          <w:lang w:val="sk-SK" w:bidi="ar-SA"/>
        </w:rPr>
        <w:tab/>
        <w:tab/>
      </w:r>
      <w:r w:rsidRPr="005166FF">
        <w:rPr>
          <w:spacing w:val="-3"/>
          <w:kern w:val="0"/>
          <w:lang w:val="sk-SK" w:bidi="ar-SA"/>
        </w:rPr>
        <w:t>sumy</w:t>
      </w: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i/>
          <w:spacing w:val="-3"/>
          <w:kern w:val="0"/>
          <w:lang w:val="sk-SK" w:bidi="ar-SA"/>
        </w:rPr>
        <w:t>2. časť:</w:t>
      </w:r>
      <w:r w:rsidRPr="005166FF">
        <w:rPr>
          <w:rFonts w:ascii="Calibri" w:hAnsi="Calibri"/>
          <w:spacing w:val="-3"/>
          <w:kern w:val="0"/>
          <w:lang w:val="sk-SK" w:bidi="ar-SA"/>
        </w:rPr>
        <w:tab/>
        <w:tab/>
      </w:r>
      <w:r w:rsidRPr="005166FF">
        <w:rPr>
          <w:spacing w:val="-3"/>
          <w:kern w:val="0"/>
          <w:lang w:val="sk-SK" w:bidi="ar-SA"/>
        </w:rPr>
        <w:t>poznámky</w:t>
      </w:r>
    </w:p>
    <w:p w:rsidR="005166FF" w:rsidRPr="005166FF">
      <w:pPr>
        <w:widowControl/>
        <w:suppressAutoHyphens w:val="0"/>
        <w:autoSpaceDN/>
        <w:jc w:val="both"/>
        <w:textAlignment w:val="auto"/>
        <w:rPr>
          <w:rFonts w:ascii="Calibri" w:hAnsi="Calibri"/>
          <w:kern w:val="0"/>
          <w:lang w:val="sk-SK" w:bidi="ar-SA"/>
        </w:rPr>
      </w:pPr>
    </w:p>
    <w:p w:rsidR="005166FF" w:rsidRPr="005166FF">
      <w:pPr>
        <w:widowControl/>
        <w:suppressAutoHyphens w:val="0"/>
        <w:autoSpaceDN/>
        <w:jc w:val="both"/>
        <w:textAlignment w:val="auto"/>
        <w:rPr>
          <w:kern w:val="0"/>
          <w:lang w:val="sk-SK" w:bidi="ar-SA"/>
        </w:rPr>
      </w:pPr>
      <w:r w:rsidRPr="005166FF">
        <w:rPr>
          <w:noProof/>
          <w:kern w:val="0"/>
          <w:lang w:val="sk-SK" w:bidi="ar-SA"/>
        </w:rPr>
        <w:t>PN 1372</w:t>
      </w:r>
    </w:p>
    <w:p w:rsidR="005166FF" w:rsidRPr="005166FF">
      <w:pPr>
        <w:widowControl/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autoSpaceDN/>
        <w:jc w:val="both"/>
        <w:textAlignment w:val="auto"/>
        <w:rPr>
          <w:kern w:val="0"/>
          <w:lang w:val="fr-FR" w:bidi="ar-SA"/>
        </w:rPr>
      </w:pPr>
      <w:r w:rsidRPr="005166FF">
        <w:rPr>
          <w:i/>
          <w:spacing w:val="-3"/>
          <w:kern w:val="0"/>
          <w:lang w:val="sk-SK" w:bidi="ar-SA"/>
        </w:rPr>
        <w:t>1. časť:</w:t>
      </w:r>
      <w:r w:rsidRPr="005166FF">
        <w:rPr>
          <w:rFonts w:ascii="Calibri" w:hAnsi="Calibri"/>
          <w:spacing w:val="-3"/>
          <w:kern w:val="0"/>
          <w:lang w:val="fr-FR" w:bidi="ar-SA"/>
        </w:rPr>
        <w:tab/>
        <w:tab/>
      </w:r>
      <w:r w:rsidRPr="005166FF">
        <w:rPr>
          <w:spacing w:val="-3"/>
          <w:kern w:val="0"/>
          <w:lang w:val="sk-SK" w:bidi="ar-SA"/>
        </w:rPr>
        <w:t>sumy</w:t>
      </w:r>
    </w:p>
    <w:p w:rsidR="005166FF" w:rsidRPr="005166FF">
      <w:pPr>
        <w:pStyle w:val="VOTEREPORTTITLE"/>
        <w:spacing w:after="220"/>
        <w:rPr>
          <w:lang w:val="fr-FR" w:bidi="ar-SA"/>
        </w:rPr>
      </w:pPr>
      <w:r w:rsidRPr="005166FF">
        <w:rPr>
          <w:i w:val="0"/>
          <w:spacing w:val="-3"/>
          <w:kern w:val="0"/>
          <w:lang w:val="sk-SK" w:bidi="ar-SA"/>
        </w:rPr>
        <w:t>2. časť:</w:t>
      </w:r>
      <w:r w:rsidRPr="005166FF">
        <w:rPr>
          <w:rFonts w:ascii="Calibri" w:hAnsi="Calibri"/>
          <w:spacing w:val="-3"/>
          <w:kern w:val="0"/>
          <w:lang w:val="fr-FR" w:bidi="ar-SA"/>
        </w:rPr>
        <w:tab/>
        <w:tab/>
      </w:r>
      <w:r w:rsidRPr="005166FF">
        <w:rPr>
          <w:i w:val="0"/>
          <w:spacing w:val="-3"/>
          <w:kern w:val="0"/>
          <w:lang w:val="sk-SK" w:bidi="ar-SA"/>
        </w:rPr>
        <w:t>poznámky</w:t>
      </w:r>
    </w:p>
    <w:p w:rsidR="005166FF" w:rsidRPr="005166FF">
      <w:pPr>
        <w:pStyle w:val="VOTETITLE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Všeobecný rozpočet Európskej únie na rozpočtový rok 2016 – všetky oddiely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bidi="ar-SA"/>
        </w:rPr>
        <w:t xml:space="preserve">José Manuel Fernandes et Gérard </w:t>
      </w:r>
      <w:r w:rsidRPr="005166FF">
        <w:rPr>
          <w:noProof/>
          <w:lang w:bidi="ar-SA"/>
        </w:rPr>
        <w:t>Deprez (A8-0298/2015)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alternatívny návrh uznesenia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63, 580, 49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296, 392, 2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81, 538, 74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244, 385, 56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300, 323, 75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OH/EH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540, 133, 18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8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578, 65, 48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99, 592, 6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368, 318, 15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64, 559, 75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526, 170, 3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106, 516, 73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40rev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136, 517, 43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134, 540, 25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356, 331, 14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554, 100, 49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23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120, 568, 10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61, 599, 34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126, 569, 5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557, 111, 27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244, 388, 52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378, 280, 27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438, 199, 50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78, 579, 42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33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2/EH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435, 245, 13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58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326, 363, 13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141, 525, </w:t>
            </w:r>
            <w:r w:rsidRPr="005166FF">
              <w:rPr>
                <w:szCs w:val="24"/>
                <w:lang w:val="sk-SK"/>
              </w:rPr>
              <w:t>27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71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324, 359, 14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207, 448, 38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77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522, 128, 39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90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239, 378, 72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rHeight w:val="623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 xml:space="preserve">ústna </w:t>
            </w:r>
            <w:r w:rsidRPr="005166FF">
              <w:rPr>
                <w:noProof/>
                <w:szCs w:val="24"/>
                <w:lang w:val="sk-SK"/>
              </w:rPr>
              <w:t>zmena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97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274, 403, 19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156, 472, 63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264, 416, 15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106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197, 463, 35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186, 482, 25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537, 128, 31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uznesenie výboru BUDG (text ako celok)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434, 185, 80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29, 43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77, PN 13, 14, 15, 16, 19, 22, 24, 26, 27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77, PN 22, 29, 30, 31, 33, 39, 43, 45, 47, 49, 52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6, 7, 8, 9, 10, 11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8 (1.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</w:rPr>
              <w:t>časť), 77, 115, PN 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19, 2</w:t>
            </w:r>
            <w:r w:rsidRPr="005166FF">
              <w:rPr>
                <w:noProof/>
                <w:szCs w:val="24"/>
              </w:rPr>
              <w:t>2, 26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oddelené hlasovanie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4, 5, 58, 59, 97, 98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 častiach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„zdôrazňuje význam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neregulárnej migrácii a obmedzí ju;“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  <w:r w:rsidRPr="005166FF">
              <w:rPr>
                <w:szCs w:val="24"/>
                <w:lang w:val="sk-SK"/>
              </w:rPr>
              <w:t xml:space="preserve">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„opakuje svoje presvedčenie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ročného rozpočtového postupu;“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„navrhuje preto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právnych základov;“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Iné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Gérard Deprez predložil tento ústny PN týkajúci odseku 90: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„90. </w:t>
            </w:r>
            <w:r w:rsidRPr="005166FF">
              <w:rPr>
                <w:noProof/>
                <w:szCs w:val="24"/>
                <w:lang w:val="sk-SK"/>
              </w:rPr>
              <w:t>opakuje, že s cieľom zabezpečiť primeranú podporu pre poslancov pri výkone ich parlamentnej činnosti je potrebné zaviesť novú rovnováhu medzi akreditovanými parlamentnými asistentmi a miestnymi asistentmi;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berie na vedomie skutočnosť, že generálny tajomník predložil Predsedníctvu návrh na dosiahnutie tohto cieľa;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berie na vedomie dohodu uzatvorenú v rámci Predsedníctva, keďže vo svojej podstate odpovedá na žiadosť Európskeho parlamentu vo svojom vyššie uvedenom uznesení z 29.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apríla 2015 o odhadoch Európskeho parlamentu;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víta rozhodnutie o okamžitom uplatňovaní tejto do</w:t>
            </w:r>
            <w:r w:rsidRPr="005166FF">
              <w:rPr>
                <w:noProof/>
                <w:szCs w:val="24"/>
                <w:lang w:val="sk-SK"/>
              </w:rPr>
              <w:t>hody;“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Súdny dvor Európskej únie:</w:t>
      </w:r>
      <w:r w:rsidRPr="005166FF">
        <w:rPr>
          <w:szCs w:val="24"/>
          <w:lang w:val="sk-SK"/>
        </w:rPr>
        <w:t xml:space="preserve"> </w:t>
      </w:r>
      <w:r w:rsidRPr="005166FF">
        <w:rPr>
          <w:noProof/>
          <w:szCs w:val="24"/>
          <w:lang w:val="sk-SK"/>
        </w:rPr>
        <w:t>počet sudcov Všeobecného súdu ***II</w:t>
      </w:r>
    </w:p>
    <w:p w:rsidR="005166FF" w:rsidRPr="005166FF">
      <w:pPr>
        <w:pStyle w:val="VOTEREPORTTITLE"/>
        <w:spacing w:after="220"/>
        <w:rPr>
          <w:lang w:val="sk-SK" w:bidi="ar-SA"/>
        </w:rPr>
      </w:pPr>
      <w:r w:rsidRPr="005166FF">
        <w:rPr>
          <w:noProof/>
          <w:lang w:val="sk-SK" w:bidi="ar-SA"/>
        </w:rPr>
        <w:t>Odporúčanie do druhého čítania: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val="sk-SK" w:bidi="ar-SA"/>
        </w:rPr>
        <w:t>António Marinho e Pinto (A8-0296/2015)</w:t>
      </w:r>
      <w:r w:rsidRPr="005166FF">
        <w:rPr>
          <w:lang w:val="sk-SK" w:bidi="ar-SA"/>
        </w:rPr>
        <w:t xml:space="preserve"> (potrebná kvalifikovaná väčšina)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Pozícia Rady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 xml:space="preserve">návrh </w:t>
            </w:r>
            <w:r w:rsidRPr="005166FF">
              <w:rPr>
                <w:noProof/>
                <w:szCs w:val="24"/>
                <w:lang w:val="sk-SK"/>
              </w:rPr>
              <w:t>na zamietnutie pozície Rady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12=</w:t>
            </w:r>
            <w:r w:rsidRPr="005166FF">
              <w:rPr>
                <w:szCs w:val="24"/>
                <w:lang w:val="sk-SK"/>
              </w:rPr>
              <w:br/>
              <w:t>15=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189, 454, 43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 bod 1 protokol č. 3 článok 9 pododsek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 bod 2 protokol č. 3 článok 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140, 512, 40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119, 503, 65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169,</w:t>
            </w:r>
            <w:r w:rsidRPr="005166FF">
              <w:rPr>
                <w:szCs w:val="24"/>
                <w:lang w:val="sk-SK"/>
              </w:rPr>
              <w:t xml:space="preserve"> 485, 40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 od bodu 2 protokol č. 3 od článku 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103, 583, 7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60, 605, 18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písm. a)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10ZČ=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14ZČ=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398, 255, 39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písm. b)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22V=</w:t>
            </w:r>
            <w:r w:rsidRPr="005166FF">
              <w:rPr>
                <w:szCs w:val="24"/>
                <w:lang w:val="sk-SK"/>
              </w:rPr>
              <w:br/>
            </w:r>
            <w:r w:rsidRPr="005166FF">
              <w:rPr>
                <w:noProof/>
                <w:szCs w:val="24"/>
              </w:rPr>
              <w:t>34V=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ALDE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219, 45</w:t>
            </w:r>
            <w:r w:rsidRPr="005166FF">
              <w:rPr>
                <w:szCs w:val="24"/>
                <w:lang w:val="sk-SK"/>
              </w:rPr>
              <w:t>6, 16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10ZČ=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403, 245, 43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písm. c)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23V=</w:t>
            </w:r>
            <w:r w:rsidRPr="005166FF">
              <w:rPr>
                <w:szCs w:val="24"/>
                <w:lang w:val="sk-SK"/>
              </w:rPr>
              <w:br/>
            </w:r>
            <w:r w:rsidRPr="005166FF">
              <w:rPr>
                <w:noProof/>
                <w:szCs w:val="24"/>
              </w:rPr>
              <w:t>35V=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ALDE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10ZČ=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14ZČ=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425, 229, 41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článku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426, 212, 57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475, 149, 74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492, 125, 81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446, 111, 133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450, 214, 31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</w:t>
            </w:r>
            <w:r w:rsidRPr="005166FF">
              <w:rPr>
                <w:noProof/>
                <w:szCs w:val="24"/>
                <w:lang w:val="sk-SK"/>
              </w:rPr>
              <w:t>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123, 532, 37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100, 561, 31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3=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14ZČ=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407, 256, 32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116, 538, 40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506, 127, 57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102, 534, 59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</w:t>
            </w:r>
            <w:r w:rsidRPr="005166FF">
              <w:rPr>
                <w:noProof/>
                <w:szCs w:val="24"/>
              </w:rP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433, 241, 15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26V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218, 462, 12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127, 502, 64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2, 641, 49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419, 238, 37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27V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172, 462, 59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426, 22</w:t>
            </w:r>
            <w:r w:rsidRPr="005166FF">
              <w:rPr>
                <w:szCs w:val="24"/>
                <w:lang w:val="sk-SK"/>
              </w:rPr>
              <w:t>4, 43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465, 213, 12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64, 596, 29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524, 152, 14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Návrh legislatívneho uznesenia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S&amp;D,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463, 214, 16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12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3, 4, 5, 7, 8, 9, 12, 13, 14, 15, 16, 17, 18, 19, 21, 24, 25, 26, 29, 34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12, 15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30 – 32 boli zrušené.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Ustanovenia týkajúce sa rybolovu v oblasti dohody o GFCM (Všeobecná rybárska komisia pre</w:t>
      </w:r>
      <w:r w:rsidRPr="005166FF">
        <w:rPr>
          <w:noProof/>
          <w:szCs w:val="24"/>
          <w:lang w:val="sk-SK"/>
        </w:rPr>
        <w:t xml:space="preserve"> Stredozemné more) ***II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val="pl-PL" w:bidi="ar-SA"/>
        </w:rPr>
        <w:t>Odporúčanie do druhého čítania: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val="pl-PL" w:bidi="ar-SA"/>
        </w:rPr>
        <w:t>Gabriel Mato (A8-0295/2015)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Schválenie bez hlasovania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STYTAB"/>
        <w:rPr>
          <w:szCs w:val="24"/>
          <w:lang w:val="sk-SK"/>
        </w:rPr>
      </w:pPr>
      <w:r w:rsidRPr="005166FF">
        <w:rPr>
          <w:szCs w:val="24"/>
          <w:lang w:val="sk-SK"/>
        </w:rPr>
        <w:br w:type="page"/>
      </w: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Používanie geneticky modifikovaných potravín a krmív ***I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val="it-IT"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val="it-IT" w:bidi="ar-SA"/>
        </w:rPr>
        <w:t>Giovanni La Via (A8-0305/201</w:t>
      </w:r>
      <w:r w:rsidRPr="005166FF">
        <w:rPr>
          <w:noProof/>
          <w:lang w:val="it-IT" w:bidi="ar-SA"/>
        </w:rPr>
        <w:t>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Návrh nariadenia</w:t>
            </w: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Návrh na zamietnutie návrhu Komisie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579, 106, 5</w:t>
            </w: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34a ods. 1 úvodná časť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34a ods. 1 písm. a)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34a ods. 1 písm. b)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12V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7V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návrh Komisie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Návrh legislatívneho uznesenia</w:t>
            </w: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377,</w:t>
            </w:r>
            <w:r w:rsidRPr="005166FF">
              <w:rPr>
                <w:szCs w:val="24"/>
                <w:lang w:val="sk-SK"/>
              </w:rPr>
              <w:t xml:space="preserve"> 293, 6</w:t>
            </w: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fr-FR"/>
              </w:rPr>
              <w:t>Verts/ALE, GUE/NGL, 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281, 383, 16</w:t>
            </w:r>
          </w:p>
        </w:tc>
      </w:tr>
      <w:tr w:rsidTr="0094543C"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legislatívne uznesenie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577, 75, 38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2, 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1, 2, 3, 4, 5, 6, 7, 8, 9, 10, 11, 12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Nové potraviny **</w:t>
      </w:r>
      <w:r w:rsidRPr="005166FF">
        <w:rPr>
          <w:noProof/>
          <w:szCs w:val="24"/>
          <w:lang w:val="sk-SK"/>
        </w:rPr>
        <w:t>*I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bidi="ar-SA"/>
        </w:rPr>
        <w:t>James Nicholson (A8-0046/2014)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- blok č.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365, 183, 136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Blok č.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1-8</w:t>
              <w:br/>
              <w:t>10-12</w:t>
              <w:br/>
              <w:t>14-24</w:t>
              <w:br/>
              <w:t>26</w:t>
              <w:br/>
              <w:t>28-39</w:t>
              <w:br/>
              <w:t>41-43</w:t>
              <w:br/>
              <w:t>45</w:t>
              <w:br/>
              <w:t>47-54</w:t>
              <w:br/>
              <w:t>58-63</w:t>
              <w:br/>
              <w:t>65-75</w:t>
              <w:br/>
              <w:t>77-84</w:t>
              <w:br/>
              <w:t>86-88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 od</w:t>
            </w:r>
            <w:r w:rsidRPr="005166FF">
              <w:rPr>
                <w:noProof/>
                <w:szCs w:val="24"/>
                <w:lang w:val="sk-SK"/>
              </w:rPr>
              <w:t>s.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70, 603, 14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44ZČ=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89ZČ=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614, 63, 10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 od odseku 1 a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317, 363, 3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577, 94, 9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 od ods.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97, 543, 47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písm. a) úvodná časť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46ZČ=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101=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615, 65, 4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písm. a) podbod i)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102=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623, 65, 2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písm. a) podbod i)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103=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619, 60, 4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46ZČ=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104=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649, 29, 9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105=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652, 33, 4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106=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641, 38, 4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107=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617, 70, 5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108=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540, 148, 5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písm. a) podbod ii)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109=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652, 34, 6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písm. a) podbod iii) zarážka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110=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648, 31, 6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písm. a) podbod iii) zarážka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111=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641, 34, 12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písm. a) od podbodu iv)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46ZČ=</w:t>
            </w:r>
            <w:r w:rsidRPr="005166FF">
              <w:rPr>
                <w:szCs w:val="24"/>
                <w:lang w:val="sk-SK"/>
              </w:rPr>
              <w:t xml:space="preserve"> </w:t>
              <w:br/>
              <w:t>112=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331, 338, 18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odsek 2 od písm. a)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355, 322, 6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2 ods. 2 zvyšok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498, 181, 10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46ZČ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8 ods. 3 písm. c)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97, 548, 36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9 ods.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55ZČ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296, 370, 15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340, 342, 4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9 zvyšok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567, 110, 2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55ZČ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10 ods.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328, 342, 21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56ZČ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320, 357, 1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499, 189, 0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10 zvyšok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551, 130, 4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56ZČ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11 odsek 1 pododsek 1 úvodná časť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57ZČ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312, 374, 2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348, 336, 2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11 odsek 1 pododsek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57ZČ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310, 368, 8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11 zvyšok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548, 135, 0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57ZČ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17 odsek 1 pododsek 1 úvodná časť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64ZČ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303, 368, 8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348, 329, 1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17 odsek 1 pododsek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64ZČ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311, 364, 7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článku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76=</w:t>
            </w:r>
            <w:r w:rsidRPr="005166FF">
              <w:rPr>
                <w:szCs w:val="24"/>
                <w:lang w:val="sk-SK"/>
              </w:rPr>
              <w:br/>
              <w:t>119=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výbor</w:t>
            </w:r>
            <w:r w:rsidRPr="005166FF">
              <w:rPr>
                <w:szCs w:val="24"/>
                <w:lang w:val="sk-SK"/>
              </w:rPr>
              <w:t xml:space="preserve"> </w:t>
              <w:br/>
            </w: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316, 340, 27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článku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308, 370, 6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článku 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325, 330, 33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85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594, 63, 28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316, 353, 21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350, 327, 4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303, 368, 13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597, 90, 1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287, 361, 33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365, 291, 28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GUE/NGL,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317, 341, 33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89ZČ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337, 338, 12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S&amp;D, Verts/ALE, 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278, 400, 6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návrh Komisie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335, 210, 138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legislatívne uznesenie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359, 202, 127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91, 96, 98, 99, 119, 121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96, 97, 98, 99, 100, 101, 102, 103, 104, 105, 106, 107, 109, 111, 112, 113, 114, 115, 116, 117, 118, 119, 120, 121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27 (2.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</w:rPr>
              <w:t>časť), 89, 92, 93, 94, 95, 119, 121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STYTAB"/>
        <w:rPr>
          <w:szCs w:val="24"/>
          <w:lang w:val="sk-SK"/>
        </w:rPr>
      </w:pPr>
      <w:r w:rsidRPr="005166FF">
        <w:rPr>
          <w:szCs w:val="24"/>
          <w:lang w:val="sk-SK"/>
        </w:rPr>
        <w:br w:type="page"/>
      </w: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Emisie určitých látok znečisťujúcich ovzdušie ***I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bidi="ar-SA"/>
        </w:rPr>
        <w:t>Julie Girling (A8-0249/2015)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Pozmeňujúce návrhy gestorského výboru – hlasovanie v blokoch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2</w:t>
              <w:br/>
              <w:t>4-7</w:t>
              <w:br/>
              <w:t>10</w:t>
              <w:br/>
              <w:t>12-17</w:t>
              <w:br/>
              <w:t>19</w:t>
              <w:br/>
              <w:t>21-26</w:t>
              <w:br/>
              <w:t>28-31</w:t>
              <w:br/>
              <w:t>35-37</w:t>
              <w:br/>
              <w:t>42</w:t>
              <w:br/>
              <w:t>44</w:t>
              <w:br/>
              <w:t>46-53</w:t>
              <w:br/>
              <w:t>55-65</w:t>
              <w:br/>
              <w:t>67-82</w:t>
              <w:br/>
              <w:t>84-91</w:t>
              <w:br/>
              <w:t>95-101</w:t>
              <w:br/>
              <w:t>108-110</w:t>
              <w:br/>
              <w:t>113-118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gestorského výboru – oddelené hlasovanie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8, 38, 39, 83, 111, 112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360, 316, 7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3 ods. 1 bod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363, 316, 4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4 ods. 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411, 270, 4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307, 345, 25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120=</w:t>
            </w:r>
            <w:r w:rsidRPr="005166FF">
              <w:rPr>
                <w:szCs w:val="24"/>
                <w:lang w:val="sk-SK"/>
              </w:rPr>
              <w:br/>
            </w:r>
            <w:r w:rsidRPr="005166FF">
              <w:rPr>
                <w:noProof/>
                <w:szCs w:val="24"/>
              </w:rPr>
              <w:t>132=</w:t>
            </w:r>
            <w:r w:rsidRPr="005166FF">
              <w:rPr>
                <w:szCs w:val="24"/>
                <w:lang w:val="sk-SK"/>
              </w:rPr>
              <w:br/>
              <w:t>139=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ENF</w:t>
            </w:r>
            <w:r w:rsidRPr="005166FF">
              <w:rPr>
                <w:szCs w:val="24"/>
                <w:lang w:val="sk-SK"/>
              </w:rPr>
              <w:t xml:space="preserve"> </w:t>
              <w:br/>
              <w:t xml:space="preserve">viac než 40 poslancov </w:t>
              <w:br/>
            </w:r>
            <w:r w:rsidRPr="005166FF">
              <w:rPr>
                <w:noProof/>
                <w:szCs w:val="24"/>
                <w:lang w:val="sk-SK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4 od ods.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 xml:space="preserve">390, 256, 13 </w:t>
              <w:br/>
              <w:t>modifié oralement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235, 380, 30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4 odsek 2 zarážka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373, 276, 24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121=</w:t>
            </w:r>
            <w:r w:rsidRPr="005166FF">
              <w:rPr>
                <w:szCs w:val="24"/>
                <w:lang w:val="sk-SK"/>
              </w:rPr>
              <w:br/>
              <w:t>133=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  <w:r w:rsidRPr="005166FF">
              <w:rPr>
                <w:szCs w:val="24"/>
                <w:lang w:val="sk-SK"/>
              </w:rPr>
              <w:t xml:space="preserve"> </w:t>
              <w:br/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4 ods. 3</w:t>
            </w:r>
            <w:r w:rsidRPr="005166FF">
              <w:rPr>
                <w:b/>
                <w:i/>
                <w:noProof/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písm. b)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58, 587, 35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5 ods. 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648, 28, 5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98, 575, 7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5 odsek 5 pododsek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534, 128, 18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5 ods.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534, 136, 14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6 ods. 2 pododsek 1 písm. aa (nové)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589, 91, 5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6 od ods.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253, 415, 14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9 ods.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134S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345, 330, 9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10 od ods.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11 od ods.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552, 117, 11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16 ods. 1 úvodná časť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16 od ods.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 tabuľka A riadok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135V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355, 324, 4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 tabuľka C riadok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136V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355, 320, 5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II tabuľka 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105, 562, 16</w:t>
            </w:r>
            <w:r w:rsidRPr="005166FF">
              <w:rPr>
                <w:szCs w:val="24"/>
                <w:lang w:val="sk-SK"/>
              </w:rPr>
              <w:br/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301, 363, 15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II tabuľka b zarážka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II tabuľka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113, 551, 17</w:t>
            </w:r>
            <w:r w:rsidRPr="005166FF">
              <w:rPr>
                <w:szCs w:val="24"/>
                <w:lang w:val="sk-SK"/>
              </w:rPr>
              <w:br/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294, 371, 14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301, 371, 8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II od tabuľky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323, 340, 9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III časť 1 úvodná časť a príloha III časť 1 oddiel A bod 1 úvodná časť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146</w:t>
              <w:br/>
              <w:t>147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274, 372, 28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III časť 1 oddiel A bod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príloha III časť 1 oddiel A bod 3 úvodná časť príloha III časť 1 oddiel A bod 4 úvodná časť a príloha III časť 1 oddiel C bod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149</w:t>
              <w:br/>
              <w:t>150</w:t>
              <w:br/>
              <w:t>151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294, 382, 8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331, 324, 25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368, 308, 7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odôv.</w:t>
            </w:r>
            <w:r w:rsidRPr="005166FF">
              <w:rPr>
                <w:szCs w:val="24"/>
                <w:lang w:val="sk-SK"/>
              </w:rPr>
              <w:t xml:space="preserve"> 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výbor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337, 305, 47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378, 270, 34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návrh Komisie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legislatívne uznesenie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 odložené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článok 61 ods. 2 rokovacieho poriadku</w:t>
            </w:r>
            <w:r w:rsidRPr="005166FF">
              <w:rPr>
                <w:szCs w:val="24"/>
                <w:lang w:val="sk-SK"/>
              </w:rPr>
              <w:t xml:space="preserve"> 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40, 41, 43, 45, 127, 128, 131, 135, 136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119, 120, 121, 122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3, 18, 92, 93, 94, 127, 128, 129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 w:rsidP="0094543C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32, 33, 92, 93, 94, 120=132=139, 121=133, 130, 143, 135</w:t>
            </w:r>
            <w:r w:rsidR="0094543C">
              <w:rPr>
                <w:noProof/>
                <w:szCs w:val="24"/>
              </w:rPr>
              <w:t>V</w:t>
            </w:r>
            <w:r w:rsidRPr="005166FF">
              <w:rPr>
                <w:noProof/>
                <w:szCs w:val="24"/>
              </w:rPr>
              <w:t>, 136V, 145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oddelené hlasovanie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3, 8, 33, 38, 39, 83, 94, 111, 112 (hlasovanie v blokoch)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 častiach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32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„a ortute (Hg)“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40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slova „niektorý“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124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„Do roku 2017 Komisia zriadi 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“orgánmi členských štátov.“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Iné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1, 20, 27, 66 a 102-107 sa netýkajú všetkých jazykových verzií, a preto sa o nich nehlasovalo (článok 170 ods. 1 písm. d) rokovacieho poriadku).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145 bol vzatý späť.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Eric Andrieu predložil tento ústny PN k PN 33: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„1a.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Členské štáty obmedzia svoje ročné antropogénne emisie metánu (CH4), okrem emisií enterického metánu produkovaného prežúvavými hospodárskymi zvieratami, aspoň v súlade s národnými záväzkami týkajúcimi sa znižovania emisií uplatniteľnými od roku 2030, ako je  stanovené v prílohe II.“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Európska iniciatíva občanov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bidi="ar-SA"/>
        </w:rPr>
        <w:t>György Schöpflin (A8-0284/2015)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66, 572, 20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Verts/ALE, 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221, 442, 12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495, 173, 6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535, 123, 10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61, 575, 35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527, 39, 103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PN 4, 5, 6, 7, 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1, 2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oddelené hlasovanie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25, 26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 častiach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9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„vyzýva Komisiu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do právomoci Komisie;“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„ďalej sa domnieva, že ...v súvislosti s ECI;“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10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„ďalej zdôrazňuje, že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médií o ECI;“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„vyzýva preto Komisiu ...na podporu ECI;“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ENF: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7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„vyzýva Komisiu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iniciatív občanov“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„napríklad aj tým, že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oficiálnych webových stránkach;“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29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„a členské štáty“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„ako aj vnútroštátnych orgánov;“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61F" w:rsidRPr="0088161F">
            <w:pPr>
              <w:pStyle w:val="REMARKTABLECELLSIMPLE"/>
              <w:rPr>
                <w:i/>
                <w:noProof/>
                <w:szCs w:val="24"/>
                <w:lang w:val="sk-SK"/>
              </w:rPr>
            </w:pPr>
            <w:r w:rsidRPr="0088161F">
              <w:rPr>
                <w:i/>
                <w:noProof/>
                <w:szCs w:val="24"/>
                <w:lang w:val="sk-SK"/>
              </w:rPr>
              <w:t>Iné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3 sa netýka všetkých jazykových verzií, a preto sa o ňom nehlasovalo (článok 170 ods. 1 písm. d) rokovacieho poriadku).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Stratégia EÚ pre región Jadranského a Iónskeho mora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bidi="ar-SA"/>
        </w:rPr>
        <w:t>Ivan Jakovčić (A8-0279/2015)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588, 67, 14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587, 60, 9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543, 83, 21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586, 37, 35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593, 62, 3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535, 111, 8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592, 37, 21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504, 141, 6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355, 273, 33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40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506, 127, 30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469, 92, 45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611, 28, 31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535, 56, 37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3/HPM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580, 32, 34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570, 80, 8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588, 45, 22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84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628, 25, 10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530, 109, 13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555, 68, 48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odôv.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594, 67, 8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uznesenie (text ako celok)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560, 60, 39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5, 8, 10, 17, 23, 32, 42, 64, 85, odôv.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</w:rPr>
              <w:t>G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23, 68, 84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oddelené hlasovanie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57, 74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 w:rsidP="00745168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ods.</w:t>
            </w:r>
            <w:r w:rsidR="00745168">
              <w:rPr>
                <w:szCs w:val="24"/>
                <w:lang w:val="sk-SK"/>
              </w:rPr>
              <w:t xml:space="preserve"> 25, 51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 častiach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ECR: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„európsky“, „a integrovaný“, „trvá na tom, že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solidarity medzi členskými štátmi;“ a „vyjadruje poľutovanie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migračnými problémami;“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68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„vyjadruje znepokojenie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environmentálnymi prvkami a ekosystémami;“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 xml:space="preserve">„zdôrazňuje potrebu </w:t>
            </w:r>
            <w:r w:rsidRPr="005166FF">
              <w:rPr>
                <w:rStyle w:val="Normal12Char"/>
                <w:noProof/>
                <w:szCs w:val="24"/>
                <w:lang w:val="sk-SK"/>
              </w:rPr>
              <w:t>...</w:t>
            </w:r>
            <w:r w:rsidRPr="005166FF">
              <w:rPr>
                <w:rStyle w:val="Normal12Char"/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zemného plynu na mori (2013/30/EÚ);“</w:t>
            </w:r>
          </w:p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84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„regionálneho centra pre pripravenosť na katastrofy, ako aj“ a „zdôrazňuje, že centrum by malo byť priamo napojené na mechanizmus civilnej ochrany EÚ;“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56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„námorných diaľnic“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61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„vytvorili v makroregióne námorné diaľnice“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S&amp;D: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„a kompletný, detailný pohľad na súčasný stav“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„naliehavo žiada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na životné prostredie;“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„zdôrazňuje dôležitosť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energetickej bezpečnosti;“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3.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„okrem toho podporuje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konkurencieschopnosti;“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PPE, S&amp;D: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63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Text ako celok okrem slov „ako je letisko v Katánii“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tieto slová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Politika súdržnosti a preskúmanie stratégie Európa 2020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bidi="ar-SA"/>
        </w:rPr>
        <w:t>Fernando Ruas (A8-0277/2015)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uznesenie (text ako celok)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530, 75, 54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VOTETITLE"/>
        <w:spacing w:before="220"/>
        <w:outlineLvl w:val="9"/>
        <w:rPr>
          <w:szCs w:val="24"/>
          <w:lang w:val="sk-SK"/>
        </w:rPr>
      </w:pPr>
      <w:r w:rsidRPr="005166FF">
        <w:rPr>
          <w:noProof/>
          <w:szCs w:val="24"/>
          <w:lang w:val="sk-SK"/>
        </w:rPr>
        <w:t>Európske štrukturálne a investičné fondy a riadna správa hospodárskych záležitostí</w:t>
      </w:r>
    </w:p>
    <w:p w:rsidR="005166FF" w:rsidRPr="005166FF">
      <w:pPr>
        <w:pStyle w:val="VOTEREPORTTITLE"/>
        <w:rPr>
          <w:lang w:val="sk-SK" w:bidi="ar-SA"/>
        </w:rPr>
      </w:pPr>
      <w:r w:rsidRPr="005166FF">
        <w:rPr>
          <w:noProof/>
          <w:lang w:val="pt-PT" w:bidi="ar-SA"/>
        </w:rPr>
        <w:t>Správa:</w:t>
      </w:r>
      <w:r w:rsidRPr="005166FF">
        <w:rPr>
          <w:lang w:val="sk-SK" w:bidi="ar-SA"/>
        </w:rPr>
        <w:t xml:space="preserve"> </w:t>
      </w:r>
      <w:r w:rsidRPr="005166FF">
        <w:rPr>
          <w:noProof/>
          <w:lang w:val="pt-PT" w:bidi="ar-SA"/>
        </w:rPr>
        <w:t>José Blanco López (A8-0268/2015)</w:t>
      </w:r>
    </w:p>
    <w:tbl>
      <w:tblPr>
        <w:tblStyle w:val="TableNormal"/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Predmet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č.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 atď.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HEADE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HPM/EH – poznámky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alternatívny návrh uznesenia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54, 521, 89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586, 40, 26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475, 165, 8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632, 26, 7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473, 164, 9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od ods.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viac než 76 poslancov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176, 405, 77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1/HPM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583, 55, 21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2/HPM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486, 107, 58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SIMPLE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UTHOR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pôvodný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452, 157, 27</w:t>
            </w:r>
          </w:p>
        </w:tc>
      </w:tr>
      <w:tr>
        <w:tblPrEx>
          <w:tblW w:w="9071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 w:rsidP="00225D6B">
            <w:pPr>
              <w:pStyle w:val="VOTINGTABLECELLOBJECT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hlasovanie: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uznesenie (text ako celok)</w:t>
            </w:r>
            <w:r w:rsidR="00225D6B">
              <w:rPr>
                <w:noProof/>
                <w:szCs w:val="24"/>
                <w:lang w:val="sk-SK"/>
              </w:rPr>
              <w:t xml:space="preserve"> </w:t>
            </w:r>
            <w:r w:rsidRPr="005166FF" w:rsidR="00225D6B">
              <w:rPr>
                <w:noProof/>
                <w:szCs w:val="24"/>
                <w:lang w:val="sk-SK"/>
              </w:rPr>
              <w:t>výbor REGI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AN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HPM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VOTE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FF" w:rsidRPr="005166FF">
            <w:pPr>
              <w:pStyle w:val="VOTINGTABLECELLREMARK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>482, 100, 51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podľa mien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PN 1, 2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2, 4, 10, 21, PN 1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tbl>
      <w:tblPr>
        <w:tblStyle w:val="TableNormal"/>
        <w:tblW w:w="9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TIT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Žiadosti o hlasovanie po častiach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Verts/ALE</w:t>
            </w:r>
            <w:r w:rsidR="00FE1B70">
              <w:rPr>
                <w:noProof/>
                <w:szCs w:val="24"/>
                <w:lang w:val="sk-SK"/>
              </w:rPr>
              <w:t>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10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„domnieva sa, že dohody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v programovaní,“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„pokiaľ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podmienok;“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EFDD: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2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„domnieva sa, že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hospodárskych záležitostí“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„pričom zároveň uznáva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politike súdržnosti;“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rPr>
                <w:lang w:val="sk-SK" w:bidi="ar-SA"/>
              </w:rPr>
            </w:pP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</w:rPr>
              <w:t>ods. 4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1.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„zdôrazňuje viacročný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európskeho semestra;“</w:t>
            </w:r>
          </w:p>
        </w:tc>
      </w:tr>
      <w:tr>
        <w:tblPrEx>
          <w:tblW w:w="9065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ITALIC"/>
              <w:rPr>
                <w:szCs w:val="24"/>
                <w:lang w:val="sk-SK"/>
              </w:rPr>
            </w:pPr>
            <w:r w:rsidRPr="005166FF">
              <w:rPr>
                <w:szCs w:val="24"/>
                <w:lang w:val="sk-SK"/>
              </w:rPr>
              <w:t xml:space="preserve">2. </w:t>
            </w:r>
            <w:r w:rsidRPr="005166FF">
              <w:rPr>
                <w:noProof/>
                <w:szCs w:val="24"/>
                <w:lang w:val="sk-SK"/>
              </w:rPr>
              <w:t>časť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FF" w:rsidRPr="005166FF">
            <w:pPr>
              <w:pStyle w:val="REMARKTABLECELLSIMPLE"/>
              <w:rPr>
                <w:szCs w:val="24"/>
                <w:lang w:val="sk-SK"/>
              </w:rPr>
            </w:pPr>
            <w:r w:rsidRPr="005166FF">
              <w:rPr>
                <w:noProof/>
                <w:szCs w:val="24"/>
                <w:lang w:val="sk-SK"/>
              </w:rPr>
              <w:t>„v tejto súvislosti poukazuje ...</w:t>
            </w:r>
            <w:r w:rsidRPr="005166FF">
              <w:rPr>
                <w:szCs w:val="24"/>
                <w:lang w:val="sk-SK"/>
              </w:rPr>
              <w:t xml:space="preserve"> </w:t>
            </w:r>
            <w:r w:rsidRPr="005166FF">
              <w:rPr>
                <w:noProof/>
                <w:szCs w:val="24"/>
                <w:lang w:val="sk-SK"/>
              </w:rPr>
              <w:t>za ich vykonávanie;“</w:t>
            </w:r>
          </w:p>
        </w:tc>
      </w:tr>
    </w:tbl>
    <w:p w:rsidR="005166FF" w:rsidRPr="005166FF">
      <w:pPr>
        <w:pStyle w:val="STYTAB"/>
        <w:rPr>
          <w:szCs w:val="24"/>
          <w:lang w:val="sk-SK"/>
        </w:rPr>
      </w:pPr>
    </w:p>
    <w:p w:rsidR="005166FF" w:rsidRPr="005166FF">
      <w:pPr>
        <w:pStyle w:val="STYTAB"/>
        <w:rPr>
          <w:szCs w:val="24"/>
          <w:lang w:val="sk-SK"/>
        </w:rPr>
      </w:pPr>
    </w:p>
    <w:sectPr>
      <w:footerReference w:type="default" r:id="rId4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0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065" w:type="dxa"/>
      <w:tblInd w:w="10" w:type="dxa"/>
      <w:tblLayout w:type="fixed"/>
      <w:tblCellMar>
        <w:left w:w="10" w:type="dxa"/>
        <w:right w:w="10" w:type="dxa"/>
      </w:tblCellMar>
      <w:tblLook w:val="0000"/>
    </w:tblPr>
    <w:tblGrid>
      <w:gridCol w:w="4121"/>
      <w:gridCol w:w="822"/>
      <w:gridCol w:w="4122"/>
    </w:tblGrid>
    <w:tr>
      <w:tblPrEx>
        <w:tblW w:w="9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Ex>
      <w:tc>
        <w:tcPr>
          <w:tcW w:w="4122" w:type="dxa"/>
        </w:tcPr>
        <w:p w:rsidR="005166FF" w:rsidRPr="005166FF" w:rsidP="00FF6BD5">
          <w:pPr>
            <w:pStyle w:val="FOOTERSTYLELEFTSTYLE"/>
            <w:rPr>
              <w:szCs w:val="24"/>
              <w:lang w:val="sv-SE"/>
            </w:rPr>
          </w:pPr>
          <w:r w:rsidRPr="005166FF">
            <w:rPr>
              <w:noProof/>
              <w:szCs w:val="24"/>
              <w:lang w:val="sv-SE"/>
            </w:rPr>
            <w:t>P8_PV(2015)10-28(VOT)_SK.doc</w:t>
          </w:r>
        </w:p>
      </w:tc>
      <w:tc>
        <w:tcPr>
          <w:tcW w:w="822" w:type="dxa"/>
        </w:tcPr>
        <w:p w:rsidR="005166FF" w:rsidRPr="005166FF">
          <w:pPr>
            <w:pStyle w:val="FOOTERSTYLECENTERSTYLE"/>
            <w:rPr>
              <w:szCs w:val="24"/>
            </w:rPr>
          </w:pPr>
          <w:r w:rsidRPr="005166FF">
            <w:rPr>
              <w:szCs w:val="24"/>
            </w:rPr>
            <w:fldChar w:fldCharType="begin"/>
          </w:r>
          <w:r w:rsidRPr="005166FF">
            <w:rPr>
              <w:szCs w:val="24"/>
            </w:rPr>
            <w:instrText xml:space="preserve"> PAGE </w:instrText>
          </w:r>
          <w:r w:rsidRPr="005166FF">
            <w:rPr>
              <w:szCs w:val="24"/>
            </w:rPr>
            <w:fldChar w:fldCharType="separate"/>
          </w:r>
          <w:r w:rsidR="009F6325">
            <w:rPr>
              <w:noProof/>
              <w:szCs w:val="24"/>
            </w:rPr>
            <w:t>42</w:t>
          </w:r>
          <w:r w:rsidRPr="005166FF">
            <w:rPr>
              <w:szCs w:val="24"/>
            </w:rPr>
            <w:fldChar w:fldCharType="end"/>
          </w:r>
        </w:p>
      </w:tc>
      <w:tc>
        <w:tcPr>
          <w:tcW w:w="4122" w:type="dxa"/>
        </w:tcPr>
        <w:p w:rsidR="005166FF" w:rsidRPr="005166FF">
          <w:pPr>
            <w:pStyle w:val="FOOTERSTYLERIGHTSTYLE"/>
            <w:rPr>
              <w:szCs w:val="24"/>
            </w:rPr>
          </w:pPr>
          <w:r w:rsidRPr="005166FF">
            <w:rPr>
              <w:noProof/>
              <w:szCs w:val="24"/>
            </w:rPr>
            <w:t>PE 571.353</w:t>
          </w:r>
        </w:p>
      </w:tc>
    </w:tr>
  </w:tbl>
  <w:p w:rsidR="005166FF" w:rsidRPr="005166FF">
    <w:pPr>
      <w:widowControl/>
      <w:suppressAutoHyphens w:val="0"/>
      <w:autoSpaceDN/>
      <w:textAlignment w:val="auto"/>
      <w:rPr>
        <w:lang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multilevel"/>
    <w:tmpl w:val="3B9ACA00"/>
    <w:name w:val="Head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0"/>
        </w:tabs>
        <w:ind w:left="1700" w:hanging="17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0"/>
        </w:tabs>
        <w:ind w:left="1700" w:hanging="1700"/>
      </w:pPr>
      <w:rPr>
        <w:rFonts w:cs="Times New Roman"/>
      </w:rPr>
    </w:lvl>
  </w:abstractNum>
  <w:abstractNum w:abstractNumId="1">
    <w:nsid w:val="000003F2"/>
    <w:multiLevelType w:val="singleLevel"/>
    <w:tmpl w:val="4190AB00"/>
    <w:name w:val="Dash 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3F3"/>
    <w:multiLevelType w:val="singleLevel"/>
    <w:tmpl w:val="4190AB01"/>
    <w:name w:val="Dash 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3F4"/>
    <w:multiLevelType w:val="singleLevel"/>
    <w:tmpl w:val="4190AB02"/>
    <w:name w:val="Dash 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3F5"/>
    <w:multiLevelType w:val="singleLevel"/>
    <w:tmpl w:val="4190AB03"/>
    <w:name w:val="Dash 3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3F6"/>
    <w:multiLevelType w:val="singleLevel"/>
    <w:tmpl w:val="4190AB04"/>
    <w:name w:val="Dash 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</w:lvl>
  </w:abstractNum>
  <w:abstractNum w:abstractNumId="6">
    <w:nsid w:val="69B74F0E"/>
    <w:multiLevelType w:val="multilevel"/>
    <w:tmpl w:val="4128E92C"/>
    <w:styleLink w:val="Numbering1"/>
    <w:lvl w:ilvl="0">
      <w:start w:val="1"/>
      <w:numFmt w:val="decimal"/>
      <w:pStyle w:val="VOTETITLE"/>
      <w:lvlText w:val="%1."/>
      <w:lvlJc w:val="left"/>
      <w:rPr>
        <w:rFonts w:cs="Times New Roman"/>
      </w:rPr>
    </w:lvl>
    <w:lvl w:ilvl="1">
      <w:start w:val="1"/>
      <w:numFmt w:val="none"/>
      <w:lvlJc w:val="left"/>
      <w:rPr>
        <w:rFonts w:cs="Times New Roman"/>
      </w:rPr>
    </w:lvl>
    <w:lvl w:ilvl="2">
      <w:start w:val="1"/>
      <w:numFmt w:val="none"/>
      <w:lvlJc w:val="left"/>
      <w:rPr>
        <w:rFonts w:cs="Times New Roman"/>
      </w:rPr>
    </w:lvl>
    <w:lvl w:ilvl="3">
      <w:start w:val="1"/>
      <w:numFmt w:val="none"/>
      <w:lvlJc w:val="left"/>
      <w:rPr>
        <w:rFonts w:cs="Times New Roman"/>
      </w:rPr>
    </w:lvl>
    <w:lvl w:ilvl="4">
      <w:start w:val="1"/>
      <w:numFmt w:val="none"/>
      <w:lvlJc w:val="left"/>
      <w:rPr>
        <w:rFonts w:cs="Times New Roman"/>
      </w:rPr>
    </w:lvl>
    <w:lvl w:ilvl="5">
      <w:start w:val="1"/>
      <w:numFmt w:val="none"/>
      <w:lvlJc w:val="left"/>
      <w:rPr>
        <w:rFonts w:cs="Times New Roman"/>
      </w:rPr>
    </w:lvl>
    <w:lvl w:ilvl="6">
      <w:start w:val="1"/>
      <w:numFmt w:val="none"/>
      <w:lvlJc w:val="left"/>
      <w:rPr>
        <w:rFonts w:cs="Times New Roman"/>
      </w:rPr>
    </w:lvl>
    <w:lvl w:ilvl="7">
      <w:start w:val="1"/>
      <w:numFmt w:val="none"/>
      <w:lvlJc w:val="left"/>
      <w:rPr>
        <w:rFonts w:cs="Times New Roman"/>
      </w:rPr>
    </w:lvl>
    <w:lvl w:ilvl="8">
      <w:start w:val="1"/>
      <w:numFmt w:val="none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napToGrid w:val="0"/>
      <w:kern w:val="3"/>
      <w:sz w:val="24"/>
      <w:szCs w:val="24"/>
      <w:lang w:val="en-US" w:eastAsia="en-GB" w:bidi="hi-IN"/>
    </w:rPr>
  </w:style>
  <w:style w:type="paragraph" w:styleId="Heading1">
    <w:name w:val="heading 1"/>
    <w:basedOn w:val="Standard"/>
    <w:next w:val="Standard"/>
    <w:uiPriority w:val="9"/>
    <w:pPr>
      <w:keepNext/>
      <w:spacing w:before="240" w:after="60"/>
      <w:outlineLvl w:val="0"/>
    </w:pPr>
    <w:rPr>
      <w:rFonts w:cs="Arial0"/>
      <w:b/>
      <w:bCs/>
      <w:sz w:val="24"/>
      <w:szCs w:val="32"/>
    </w:rPr>
  </w:style>
  <w:style w:type="paragraph" w:styleId="Heading2">
    <w:name w:val="heading 2"/>
    <w:basedOn w:val="Standard"/>
    <w:next w:val="Textbody"/>
    <w:uiPriority w:val="9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Cambria" w:hAnsi="Cambria" w:cs="Times New Roman"/>
      <w:b/>
      <w:snapToGrid w:val="0"/>
      <w:kern w:val="32"/>
      <w:sz w:val="29"/>
      <w:lang w:val="en-US"/>
    </w:rPr>
  </w:style>
  <w:style w:type="character" w:customStyle="1" w:styleId="Heading2Char">
    <w:name w:val="Heading 2 Char"/>
    <w:uiPriority w:val="9"/>
    <w:semiHidden/>
    <w:locked/>
    <w:rPr>
      <w:rFonts w:ascii="Cambria" w:hAnsi="Cambria" w:cs="Times New Roman"/>
      <w:b/>
      <w:i/>
      <w:snapToGrid w:val="0"/>
      <w:kern w:val="3"/>
      <w:sz w:val="25"/>
      <w:lang w:val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snapToGrid w:val="0"/>
      <w:kern w:val="3"/>
      <w:lang w:val="en-GB" w:eastAsia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0" w:hAnsi="Arial0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Mangal"/>
      <w:kern w:val="3"/>
      <w:sz w:val="21"/>
      <w:szCs w:val="21"/>
      <w:lang w:val="en-US" w:bidi="hi-IN"/>
    </w:rPr>
  </w:style>
  <w:style w:type="character" w:customStyle="1" w:styleId="HeaderChar1">
    <w:name w:val="Header Char1"/>
    <w:uiPriority w:val="99"/>
    <w:semiHidden/>
    <w:locked/>
    <w:rPr>
      <w:rFonts w:ascii="Times New Roman" w:hAnsi="Times New Roman"/>
      <w:snapToGrid w:val="0"/>
      <w:kern w:val="3"/>
      <w:sz w:val="21"/>
      <w:lang w:val="en-US"/>
    </w:r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Mangal"/>
      <w:kern w:val="3"/>
      <w:sz w:val="21"/>
      <w:szCs w:val="21"/>
      <w:lang w:val="en-US" w:bidi="hi-IN"/>
    </w:rPr>
  </w:style>
  <w:style w:type="character" w:customStyle="1" w:styleId="Heading1Char1">
    <w:name w:val="Heading 1 Char1"/>
    <w:uiPriority w:val="99"/>
    <w:semiHidden/>
    <w:locked/>
    <w:rPr>
      <w:rFonts w:ascii="Times New Roman" w:hAnsi="Times New Roman"/>
      <w:snapToGrid w:val="0"/>
      <w:kern w:val="3"/>
      <w:sz w:val="21"/>
      <w:lang w:val="en-US"/>
    </w:r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snapToGrid w:val="0"/>
      <w:kern w:val="3"/>
      <w:sz w:val="32"/>
      <w:szCs w:val="24"/>
      <w:lang w:val="en-US" w:eastAsia="en-GB" w:bidi="hi-IN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snapToGrid w:val="0"/>
      <w:kern w:val="3"/>
      <w:sz w:val="22"/>
      <w:szCs w:val="24"/>
      <w:lang w:val="en-US" w:eastAsia="en-GB" w:bidi="hi-IN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ilvl w:val="0"/>
        <w:numId w:val="1"/>
      </w:numPr>
      <w:tabs>
        <w:tab w:val="clear" w:pos="360"/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snapToGrid w:val="0"/>
      <w:kern w:val="3"/>
      <w:sz w:val="22"/>
      <w:szCs w:val="24"/>
      <w:lang w:val="en-US" w:eastAsia="en-GB" w:bidi="hi-IN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paragraph" w:styleId="FootnoteText">
    <w:name w:val="footnote text"/>
    <w:basedOn w:val="Normal"/>
    <w:next w:val="Normal"/>
    <w:link w:val="FootnoteTextChar"/>
    <w:uiPriority w:val="99"/>
    <w:pPr>
      <w:widowControl/>
      <w:suppressAutoHyphens w:val="0"/>
      <w:autoSpaceDN/>
      <w:ind w:left="720" w:hanging="720"/>
      <w:jc w:val="both"/>
      <w:textAlignment w:val="auto"/>
    </w:pPr>
    <w:rPr>
      <w:kern w:val="0"/>
      <w:sz w:val="26"/>
      <w:szCs w:val="26"/>
      <w:lang w:val="fr-FR" w:bidi="ar-SA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Mangal"/>
      <w:snapToGrid/>
      <w:kern w:val="3"/>
      <w:szCs w:val="18"/>
      <w:lang w:val="en-US" w:bidi="hi-IN"/>
    </w:rPr>
  </w:style>
  <w:style w:type="character" w:customStyle="1" w:styleId="Heading2Char1">
    <w:name w:val="Heading 2 Char1"/>
    <w:uiPriority w:val="99"/>
    <w:semiHidden/>
    <w:locked/>
    <w:rPr>
      <w:rFonts w:ascii="Times New Roman" w:hAnsi="Times New Roman" w:cs="Times New Roman"/>
      <w:snapToGrid w:val="0"/>
      <w:kern w:val="3"/>
      <w:sz w:val="18"/>
      <w:lang w:val="en-US"/>
    </w:rPr>
  </w:style>
  <w:style w:type="character" w:customStyle="1" w:styleId="FootnoteTextChar1">
    <w:name w:val="Footnote Text Char1"/>
    <w:uiPriority w:val="99"/>
    <w:locked/>
    <w:rPr>
      <w:kern w:val="0"/>
      <w:sz w:val="26"/>
      <w:lang w:val="fr-FR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Normal12Char">
    <w:name w:val="Normal12 Char"/>
    <w:uiPriority w:val="99"/>
    <w:locked/>
    <w:rPr>
      <w:sz w:val="24"/>
    </w:rPr>
  </w:style>
  <w:style w:type="numbering" w:customStyle="1" w:styleId="Numbering1">
    <w:name w:val="Numbering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VOROSOVA Ivana</cp:lastModifiedBy>
  <cp:revision>2</cp:revision>
  <dcterms:created xsi:type="dcterms:W3CDTF">2015-12-07T14:22:00Z</dcterms:created>
  <dcterms:modified xsi:type="dcterms:W3CDTF">2015-12-07T14:22:00Z</dcterms:modified>
</cp:coreProperties>
</file>