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245EC1" w:rsidRPr="00331773" w:rsidP="00245EC1">
      <w:pPr>
        <w:pStyle w:val="ANNEXTITLE"/>
        <w:tabs>
          <w:tab w:val="left" w:pos="567"/>
        </w:tabs>
        <w:rPr>
          <w:szCs w:val="24"/>
          <w:lang w:val="pt-PT"/>
        </w:rPr>
      </w:pPr>
      <w:r w:rsidRPr="00331773">
        <w:rPr>
          <w:szCs w:val="24"/>
          <w:lang w:val="pt-PT"/>
        </w:rPr>
        <w:t>ANEXO</w:t>
      </w: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VOTERESULT"/>
        <w:tabs>
          <w:tab w:val="left" w:pos="567"/>
        </w:tabs>
        <w:rPr>
          <w:szCs w:val="24"/>
          <w:lang w:val="pt-PT"/>
        </w:rPr>
      </w:pPr>
      <w:r w:rsidRPr="00331773">
        <w:rPr>
          <w:szCs w:val="24"/>
          <w:lang w:val="pt-PT"/>
        </w:rPr>
        <w:t>RESULTADOS DAS VOTAÇÕES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5827"/>
      </w:tblGrid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TITLE"/>
              <w:tabs>
                <w:tab w:val="left" w:pos="567"/>
              </w:tabs>
              <w:snapToGrid w:val="0"/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Significado das abreviaturas e dos símbolos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aprovado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rejeitado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caduco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retirado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VN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votação nominal (votos a favor, votos contra, abstenções)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VE ( 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 xml:space="preserve">votação eletrónica (votos a favor, </w:t>
            </w:r>
            <w:r w:rsidRPr="00331773">
              <w:rPr>
                <w:lang w:val="pt-PT" w:bidi="ar-SA"/>
              </w:rPr>
              <w:t>votos contra, abstenções)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votação por partes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votação em separado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alt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alteração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alteração de compromisso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parte correspondente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alteração supressiva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alterações idênticas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n.º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artigo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cons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considerando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proposta de resolução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PRC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proposta de resolução comum</w:t>
            </w:r>
          </w:p>
        </w:tc>
      </w:tr>
      <w:tr w:rsidTr="0014535D"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ABR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SEC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SIGNIFICATIONDESC"/>
              <w:tabs>
                <w:tab w:val="left" w:pos="567"/>
              </w:tabs>
              <w:rPr>
                <w:lang w:val="pt-PT" w:bidi="ar-SA"/>
              </w:rPr>
            </w:pPr>
            <w:r w:rsidRPr="00331773">
              <w:rPr>
                <w:lang w:val="pt-PT" w:bidi="ar-SA"/>
              </w:rPr>
              <w:t>votação por escrutínio secreto</w:t>
            </w:r>
          </w:p>
        </w:tc>
      </w:tr>
    </w:tbl>
    <w:p w:rsidR="00245EC1" w:rsidRPr="00331773" w:rsidP="00245EC1">
      <w:pPr>
        <w:tabs>
          <w:tab w:val="left" w:pos="567"/>
        </w:tabs>
        <w:rPr>
          <w:lang w:val="pt-PT" w:bidi="ar-SA"/>
        </w:rPr>
      </w:pPr>
    </w:p>
    <w:p w:rsidR="00245EC1" w:rsidRPr="00331773" w:rsidP="00316786">
      <w:pPr>
        <w:pStyle w:val="VOTEFIRST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14535D">
        <w:rPr>
          <w:noProof/>
          <w:szCs w:val="24"/>
          <w:lang w:val="pt-PT"/>
        </w:rPr>
        <w:t>Redução do teor de enxofre de determinados combustíveis líquidos</w:t>
      </w:r>
      <w:r w:rsidRPr="00331773">
        <w:rPr>
          <w:noProof/>
          <w:szCs w:val="24"/>
          <w:lang w:val="pt-PT"/>
        </w:rPr>
        <w:t xml:space="preserve"> ***I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Laura Ferrara (A8-0037/2016)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2409"/>
        <w:gridCol w:w="1440"/>
        <w:gridCol w:w="1962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 única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665, 24, 5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O desvio de certos medicamentos essenciais para a União Europeia</w:t>
      </w:r>
      <w:r w:rsidRPr="00331773">
        <w:rPr>
          <w:noProof/>
          <w:szCs w:val="24"/>
          <w:lang w:val="pt-PT"/>
        </w:rPr>
        <w:t xml:space="preserve"> ***I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Laura Ferrara (A8-0038/2016)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2409"/>
        <w:gridCol w:w="1440"/>
        <w:gridCol w:w="1962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 única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664, 29, 4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O acordo UE-Andorra relativo à troca automática de informações sobre contas financeiras</w:t>
      </w:r>
      <w:r w:rsidRPr="00331773">
        <w:rPr>
          <w:noProof/>
          <w:szCs w:val="24"/>
          <w:lang w:val="pt-PT"/>
        </w:rPr>
        <w:t xml:space="preserve"> *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Miguel Viegas (A8-0047/2016)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2409"/>
        <w:gridCol w:w="1440"/>
        <w:gridCol w:w="1962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 única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647, 29, 21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Nomeação de um novo Diretor Executivo da Autoridade Europeia dos Seguros e Pensões Complementares de Reforma (EIOPA)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Roberto Gualtieri (A8-0045/2016) (</w:t>
      </w:r>
      <w:r w:rsidRPr="00331773" w:rsidR="00236B6F">
        <w:rPr>
          <w:noProof/>
          <w:lang w:val="pt-PT" w:bidi="ar-SA"/>
        </w:rPr>
        <w:t xml:space="preserve">Votação por </w:t>
      </w:r>
      <w:r w:rsidRPr="00331773" w:rsidR="00236B6F">
        <w:rPr>
          <w:lang w:val="pt-PT" w:bidi="ar-SA"/>
        </w:rPr>
        <w:t xml:space="preserve">escrutínio secreto </w:t>
      </w:r>
      <w:r w:rsidRPr="00331773">
        <w:rPr>
          <w:noProof/>
          <w:lang w:val="pt-PT" w:bidi="ar-SA"/>
        </w:rPr>
        <w:t>(arti</w:t>
      </w:r>
      <w:r w:rsidRPr="00331773" w:rsidR="00236B6F">
        <w:rPr>
          <w:noProof/>
          <w:lang w:val="pt-PT" w:bidi="ar-SA"/>
        </w:rPr>
        <w:t>go</w:t>
      </w:r>
      <w:r w:rsidRPr="00331773">
        <w:rPr>
          <w:noProof/>
          <w:lang w:val="pt-PT" w:bidi="ar-SA"/>
        </w:rPr>
        <w:t xml:space="preserve"> 182</w:t>
      </w:r>
      <w:r w:rsidRPr="00331773" w:rsidR="00236B6F">
        <w:rPr>
          <w:noProof/>
          <w:lang w:val="pt-PT" w:bidi="ar-SA"/>
        </w:rPr>
        <w:t>.º</w:t>
      </w:r>
      <w:r w:rsidRPr="00331773">
        <w:rPr>
          <w:noProof/>
          <w:lang w:val="pt-PT" w:bidi="ar-SA"/>
        </w:rPr>
        <w:t>,</w:t>
      </w:r>
      <w:r w:rsidRPr="00331773" w:rsidR="00236B6F">
        <w:rPr>
          <w:noProof/>
          <w:lang w:val="pt-PT" w:bidi="ar-SA"/>
        </w:rPr>
        <w:t xml:space="preserve"> n.ª</w:t>
      </w:r>
      <w:r w:rsidRPr="00331773">
        <w:rPr>
          <w:noProof/>
          <w:lang w:val="pt-PT" w:bidi="ar-SA"/>
        </w:rPr>
        <w:t xml:space="preserve"> 1, d</w:t>
      </w:r>
      <w:r w:rsidRPr="00331773" w:rsidR="00292D6B">
        <w:rPr>
          <w:noProof/>
          <w:lang w:val="pt-PT" w:bidi="ar-SA"/>
        </w:rPr>
        <w:t>o</w:t>
      </w:r>
      <w:r w:rsidRPr="00331773" w:rsidR="00236B6F">
        <w:rPr>
          <w:noProof/>
          <w:lang w:val="pt-PT" w:bidi="ar-SA"/>
        </w:rPr>
        <w:t xml:space="preserve"> Regimento</w:t>
      </w:r>
      <w:r w:rsidRPr="00331773">
        <w:rPr>
          <w:noProof/>
          <w:lang w:val="pt-PT" w:bidi="ar-SA"/>
        </w:rPr>
        <w:t>))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2409"/>
        <w:gridCol w:w="1440"/>
        <w:gridCol w:w="1962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 única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SEC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535, 52, 108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Garantias processuais para os menores suspeitos ou arguidos em processo penal</w:t>
      </w:r>
      <w:r w:rsidRPr="00331773">
        <w:rPr>
          <w:noProof/>
          <w:szCs w:val="24"/>
          <w:lang w:val="pt-PT"/>
        </w:rPr>
        <w:t xml:space="preserve"> ***I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Caterina Chinnici (A8-0020/2015)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Alt. n.º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Conjunto do texto – Bloco n.º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78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comissão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Bloco n.º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1-</w:t>
            </w:r>
            <w:r w:rsidRPr="00331773">
              <w:rPr>
                <w:szCs w:val="24"/>
                <w:lang w:val="pt-PT"/>
              </w:rPr>
              <w:t>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comissão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proposta da Comissão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legislativa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613, 30, 56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As orientações para o orçamento de 2017 - Secção III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Jens Geier (A8-0036/2016)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Alt. n.º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</w:t>
            </w:r>
            <w:r w:rsidRPr="00331773">
              <w:rPr>
                <w:szCs w:val="24"/>
                <w:lang w:val="pt-PT"/>
              </w:rPr>
              <w:t>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258, 357, 85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2, subtítulo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99, 505, 97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D17BD9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D17BD9">
              <w:rPr>
                <w:noProof/>
                <w:szCs w:val="24"/>
                <w:lang w:val="pt-PT"/>
              </w:rPr>
              <w:t>Após o</w:t>
            </w:r>
            <w:r w:rsidRPr="00331773">
              <w:rPr>
                <w:noProof/>
                <w:szCs w:val="24"/>
                <w:lang w:val="pt-PT"/>
              </w:rPr>
              <w:t xml:space="preserve"> § 2, ap</w:t>
            </w:r>
            <w:r w:rsidRPr="00331773" w:rsidR="00D17BD9">
              <w:rPr>
                <w:noProof/>
                <w:szCs w:val="24"/>
                <w:lang w:val="pt-PT"/>
              </w:rPr>
              <w:t>ós o</w:t>
            </w:r>
            <w:r w:rsidRPr="00331773">
              <w:rPr>
                <w:noProof/>
                <w:szCs w:val="24"/>
                <w:lang w:val="pt-PT"/>
              </w:rPr>
              <w:t xml:space="preserve"> s</w:t>
            </w:r>
            <w:r w:rsidRPr="00331773" w:rsidR="00D17BD9">
              <w:rPr>
                <w:noProof/>
                <w:szCs w:val="24"/>
                <w:lang w:val="pt-PT"/>
              </w:rPr>
              <w:t>ubtítulo</w:t>
            </w:r>
            <w:r w:rsidRPr="00331773">
              <w:rPr>
                <w:noProof/>
                <w:szCs w:val="24"/>
                <w:lang w:val="pt-PT"/>
              </w:rPr>
              <w:t xml:space="preserve">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63, 562, 74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96, 558, 43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48, 581, 73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342, 336, 22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81, 587, 34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</w:t>
            </w:r>
            <w:r w:rsidRPr="00331773">
              <w:rPr>
                <w:szCs w:val="24"/>
                <w:lang w:val="pt-PT"/>
              </w:rPr>
              <w:t>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38S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98, 595, 11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617, 72, 14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121, 555, 27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142, 522, 41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191, 482, 28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483, 206, 14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120, 549, 36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647, 33, 23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147, 551, 6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23S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333, 358, 12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261, 431, 10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170, 481, 52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81, 564, 58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99, 568, 37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132, 540, 30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134, 527, 39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considerando B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113, 586, 5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BC2CA5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(conjunto do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425, 200, 78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nominal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Alterações 2, 3, 4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D17BD9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D17BD9">
              <w:rPr>
                <w:noProof/>
                <w:szCs w:val="24"/>
                <w:lang w:val="pt-PT"/>
              </w:rPr>
              <w:t>Alterações</w:t>
            </w:r>
            <w:r w:rsidRPr="00331773">
              <w:rPr>
                <w:noProof/>
                <w:szCs w:val="24"/>
                <w:lang w:val="pt-PT"/>
              </w:rPr>
              <w:t xml:space="preserve"> 24, 26, 29, 30, 32 (1</w:t>
            </w:r>
            <w:r w:rsidRPr="00331773" w:rsidR="00D17BD9">
              <w:rPr>
                <w:noProof/>
                <w:szCs w:val="24"/>
                <w:lang w:val="pt-PT"/>
              </w:rPr>
              <w:t>.ª</w:t>
            </w:r>
            <w:r w:rsidRPr="00331773">
              <w:rPr>
                <w:noProof/>
                <w:szCs w:val="24"/>
                <w:lang w:val="pt-PT"/>
              </w:rPr>
              <w:t xml:space="preserve"> parte), 35, 38, 40, 41, 42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Alterações 8, 13, 15, 16, 18, 19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Alterações 22, 23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por partes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GUE/NGL: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Alteração 24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Conjunto do texto, exceto os termos "salienta que as contribuições para este aumento devem resultar da subida das comparticipações dos Estados-Membros com maior rendimento nacional bruto (RNB) e maior rendimento per capita, corrigindo as grelhas de comparticipação atuais, que são distorcidas e injustas;"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Estes termos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Alteração 32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Conjunto do texto, exceto os termos "mais harmonizado e"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Estes termos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ALDE: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6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"Lamenta que, nos últimos anos, o orçamento da União tenha sido vítima colateral da atitude dúplice dos Estados-Membros, que os levou a considerar a sua contribuição para o orçamento da UE como um encargo e a tratá-la como uma variável de ajustamento;"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"solicita, neste contexto, uma maior flexibilidade no que respeita às despesas efetuadas pelos Estados-Membros em domínios específicos, tais como os investimentos no âmbito do Fundo Europeu para Investimentos Estratégicos (FEIE) e a luta contra o desemprego, a pobreza e a desigualdade, também à luz da necessidade de fazer face às ameaças à segurança emergentes e à crise dos migrantes e dos refugiados;"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"salienta que o orçamento da UE, enquanto orçamento de investimento, pode trazer um valor acrescentado particularmente forte ao estimular o crescimento, a competitividade e a criação de emprego nos Estados-Membros; chama a atenção para a necessidade de as contribuições dos Estados-Membros para o orçamento da União não serem tratadas como uma variável de ajustamento sujeita a condições macroeconómicas; reitera igualmente o valor acrescentado do orçamento da União em termos de sinergias e de economias de escala; salienta a situação especial das regiões periféricas e isoladas,"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"e considera que as contribuições dos Estados-Membros para o orçamento da UE não devem ser tidas em conta para efeitos de cálculo dos seus défices estruturais;"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Alteração 41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"Manifesta a sua profunda preocupação com a falta de proteção adequada dos menores não acompanhados ao longo de todo o trajeto para chegar a um lugar seguro e solicita uma investigação exaustiva do desaparecimento de 10 000 crianças assinalado pela Europol;"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"solicita uma investigação exaustiva de todos os projetos e medidas em matéria de migração, asilo e gestão das fronteiras, em particular os que recebem apoio financeiro da UE e são levados a cabo com o apoio dos Estados-Membros, a fim de comprovar que respeitam o direito europeu e internacional, em particular a Carta dos Direitos do Homem das Nações Unidas, a Convenção de 1951 relativa ao Estatuto dos Refugiados, a Convenção sobre os Direitos da Criança, a Convenção Europeia dos Direitos do Homem e a Carta dos Direitos Fundamentais da União Europeia;"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rPr>
          <w:sz w:val="18"/>
          <w:lang w:val="pt-PT" w:bidi="ar-SA"/>
        </w:rPr>
      </w:pPr>
      <w:r w:rsidRPr="00331773">
        <w:rPr>
          <w:lang w:val="pt-PT" w:bidi="ar-SA"/>
        </w:rPr>
        <w:br w:type="page"/>
      </w: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O Acordo Interinstitucional sobre legislar melhor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Relatório: </w:t>
      </w:r>
      <w:r w:rsidRPr="00331773">
        <w:rPr>
          <w:noProof/>
          <w:lang w:val="pt-PT" w:bidi="ar-SA"/>
        </w:rPr>
        <w:t>Danuta Maria Hübner (A8-0039/2016)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Alt. n.º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VS / 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414, 256, 25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547, 123, 31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16, travessão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16, travessão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331773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 xml:space="preserve">otação: </w:t>
            </w:r>
            <w:r w:rsidRPr="00331773">
              <w:rPr>
                <w:noProof/>
                <w:szCs w:val="24"/>
                <w:lang w:val="pt-PT"/>
              </w:rPr>
              <w:t>décision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516, 92, 95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nominal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7 (2.ª parte)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em separado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S&amp;D, 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por partes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ALDE: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12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"Considera também que as disposições relativas ao diálogo político com os parlamentos nacionais devem ser mais bem utilizadas; sublinha, a este propósito, o importante papel atribuído aos parlamentos nacionais pelo Tratado de Lisboa e salienta que, a par do papel que desempenham no controlo do respeito pelos princípios da subsidiariedade e da proporcionalidade, os parlamentos nacionais podem e devem dar um contributo positivo no quadro do diálogo político; incentiva a utilizar melhor os atuais mecanismos de subsidiariedade e proporcionalidade previstos nos Tratados;"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"salienta a necessidade de uma maior flexibilidade na aplicação do prazo de oito semanas para os parlamentos nacionais emitirem um parecer fundamentado sobre a não conformidade com o princípio da subsidiariedade;"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Verts/ALE: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7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Conjunto do texto, exceto os termos "sublinha a importância da «análise anual dos encargos» prevista no acordo como instrumento para identificar e acompanhar, de forma clara e transparente, os resultados dos esforços da União para evitar e reduzir o excesso de regulamentação e os encargos administrativos, que deve incluir, especificamente, uma lista relativa às PME e deve distinguir entre os encargos que as propostas da Comissão pretendem impor e os atos dos diferentes Estados-Membros; salienta que a viabilidade e a conveniência de estabelecer objetivos para a redução dos encargos em setores específicos devem ser cuidadosamente avaliadas caso a caso, em estreita colaboração entre as instituições, colocando a tónica na qualidade da legislação e sem enfraquecer as normas relevantes da União; espera que a Comissão proponha, de forma regular, a revogação dos atos jurídicos, sempre que esta revogação seja considerada necessária; congratula-se, a este respeito, com o facto de as três instituições terem acordado em que as avaliações de impacto devem também incluir o impacto das propostas sobre os encargos administrativos, em especial no que se refere às PME;"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D9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Estes termos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p w:rsidR="00245EC1" w:rsidRPr="00331773" w:rsidP="00316786">
      <w:pPr>
        <w:pStyle w:val="VOTETITLE"/>
        <w:tabs>
          <w:tab w:val="left" w:pos="567"/>
          <w:tab w:val="clear" w:pos="1134"/>
        </w:tabs>
        <w:rPr>
          <w:szCs w:val="24"/>
          <w:lang w:val="pt-PT"/>
        </w:rPr>
      </w:pPr>
      <w:r w:rsidRPr="00331773" w:rsidR="00316786">
        <w:rPr>
          <w:noProof/>
          <w:szCs w:val="24"/>
          <w:lang w:val="pt-PT"/>
        </w:rPr>
        <w:t>Acordo sobre tabaco (acordo com a PMI)</w:t>
      </w:r>
    </w:p>
    <w:p w:rsidR="00245EC1" w:rsidRPr="00331773" w:rsidP="00245EC1">
      <w:pPr>
        <w:pStyle w:val="VOTEREPORTTITLE"/>
        <w:tabs>
          <w:tab w:val="left" w:pos="567"/>
        </w:tabs>
        <w:rPr>
          <w:lang w:val="pt-PT" w:bidi="ar-SA"/>
        </w:rPr>
      </w:pPr>
      <w:r w:rsidRPr="00331773">
        <w:rPr>
          <w:lang w:val="pt-PT" w:bidi="ar-SA"/>
        </w:rPr>
        <w:t xml:space="preserve">Propostas de resolução: </w:t>
      </w:r>
      <w:r w:rsidRPr="00331773">
        <w:rPr>
          <w:noProof/>
          <w:lang w:val="pt-PT" w:bidi="ar-SA"/>
        </w:rPr>
        <w:t>B8-0311/2016, B8-0312/2016, B8-0313/2016, B8-0314/2016, B8-0315/2016, B8-0316/2016, B8-0317/2016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Assunto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Alt. n.º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HEADE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Votação por VN/VE - observações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D17BD9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Propos</w:t>
            </w:r>
            <w:r w:rsidRPr="00331773" w:rsidR="00D17BD9">
              <w:rPr>
                <w:noProof/>
                <w:szCs w:val="24"/>
                <w:lang w:val="pt-PT"/>
              </w:rPr>
              <w:t xml:space="preserve">ta de resolução de um </w:t>
            </w:r>
            <w:r w:rsidRPr="00331773">
              <w:rPr>
                <w:noProof/>
                <w:szCs w:val="24"/>
                <w:lang w:val="pt-PT"/>
              </w:rPr>
              <w:t>gr</w:t>
            </w:r>
            <w:r w:rsidRPr="00331773" w:rsidR="00D17BD9">
              <w:rPr>
                <w:noProof/>
                <w:szCs w:val="24"/>
                <w:lang w:val="pt-PT"/>
              </w:rPr>
              <w:t>upo</w:t>
            </w:r>
            <w:r w:rsidRPr="00331773">
              <w:rPr>
                <w:noProof/>
                <w:szCs w:val="24"/>
                <w:lang w:val="pt-PT"/>
              </w:rPr>
              <w:t xml:space="preserve"> pol</w:t>
            </w:r>
            <w:r w:rsidRPr="00331773" w:rsidR="00D17BD9">
              <w:rPr>
                <w:noProof/>
                <w:szCs w:val="24"/>
                <w:lang w:val="pt-PT"/>
              </w:rPr>
              <w:t>ítico</w:t>
            </w:r>
            <w:r w:rsidRPr="00331773">
              <w:rPr>
                <w:noProof/>
                <w:szCs w:val="24"/>
                <w:lang w:val="pt-PT"/>
              </w:rPr>
              <w:t xml:space="preserve"> (B8-0311/2016) </w:t>
              <w:br/>
              <w:t>(GUE/NGL)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500, 199, 2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168, 456, 76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352, 345, 3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319, 353, 24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451, 239, 5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332, 345, 24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226, 458, 16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227, 461, 10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401, 296, 4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37</w:t>
            </w:r>
            <w:r w:rsidRPr="00331773">
              <w:rPr>
                <w:szCs w:val="24"/>
                <w:lang w:val="pt-PT"/>
              </w:rPr>
              <w:t>2, 312, 12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331773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(conjunto do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D17BD9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Propos</w:t>
            </w:r>
            <w:r w:rsidRPr="00331773" w:rsidR="00D17BD9">
              <w:rPr>
                <w:noProof/>
                <w:szCs w:val="24"/>
                <w:lang w:val="pt-PT"/>
              </w:rPr>
              <w:t>ta de resolução comum</w:t>
            </w:r>
            <w:r w:rsidRPr="00331773">
              <w:rPr>
                <w:noProof/>
                <w:szCs w:val="24"/>
                <w:lang w:val="pt-PT"/>
              </w:rPr>
              <w:t xml:space="preserve"> RC-B8-0312/2016</w:t>
            </w:r>
            <w:r w:rsidRPr="00331773">
              <w:rPr>
                <w:szCs w:val="24"/>
                <w:lang w:val="pt-PT"/>
              </w:rPr>
              <w:t xml:space="preserve"> </w:t>
              <w:br/>
            </w:r>
            <w:r w:rsidRPr="00331773">
              <w:rPr>
                <w:noProof/>
                <w:szCs w:val="24"/>
                <w:lang w:val="pt-PT"/>
              </w:rPr>
              <w:t>(S&amp;D, Verts/ALE, EFDD)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401, 267, 30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451, 183, 66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432, 246, 21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Após o 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446, 218, 33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628, 41, 26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331773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(conjunto do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414, 214, 66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0F2E8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0F2E8D">
              <w:rPr>
                <w:szCs w:val="24"/>
                <w:lang w:val="pt-PT"/>
              </w:rPr>
              <w:t>Propostas de resolução de um grupo político</w:t>
            </w:r>
            <w:r w:rsidRPr="00331773">
              <w:rPr>
                <w:noProof/>
                <w:szCs w:val="24"/>
                <w:lang w:val="pt-PT"/>
              </w:rPr>
              <w:t xml:space="preserve"> B8-0312/2016</w:t>
            </w:r>
            <w:r w:rsidRPr="00331773">
              <w:rPr>
                <w:szCs w:val="24"/>
                <w:lang w:val="pt-PT"/>
              </w:rPr>
              <w:t xml:space="preserve"> </w:t>
              <w:br/>
              <w:t>(Verts/ALE)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331773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(conjunto do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0F2E8D">
              <w:rPr>
                <w:noProof/>
                <w:szCs w:val="24"/>
                <w:lang w:val="pt-PT"/>
              </w:rPr>
              <w:t>Proposta de resolução comum</w:t>
            </w:r>
            <w:r w:rsidRPr="00331773">
              <w:rPr>
                <w:noProof/>
                <w:szCs w:val="24"/>
                <w:lang w:val="pt-PT"/>
              </w:rPr>
              <w:t xml:space="preserve"> RC-B8-0313/2016</w:t>
            </w:r>
            <w:r w:rsidRPr="00331773">
              <w:rPr>
                <w:szCs w:val="24"/>
                <w:lang w:val="pt-PT"/>
              </w:rPr>
              <w:t xml:space="preserve"> </w:t>
              <w:br/>
            </w:r>
            <w:r w:rsidRPr="00331773">
              <w:rPr>
                <w:noProof/>
                <w:szCs w:val="24"/>
                <w:lang w:val="pt-PT"/>
              </w:rPr>
              <w:t>(PPE, ECR)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331773">
              <w:rPr>
                <w:szCs w:val="24"/>
                <w:lang w:val="pt-PT"/>
              </w:rPr>
              <w:t>V</w:t>
            </w:r>
            <w:r w:rsidRPr="00331773">
              <w:rPr>
                <w:szCs w:val="24"/>
                <w:lang w:val="pt-PT"/>
              </w:rPr>
              <w:t>otação: resolução (conjunto do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Propostas de resolução dos grupos políticos</w:t>
            </w: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B8-0313/2016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B8-0314/2016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B8-0315/2016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B8-0316/2016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  <w:tr w:rsidTr="0014535D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SIMPLEOBJECT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B8-0317/2016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UTHOR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AN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VOT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C1" w:rsidRPr="00331773" w:rsidP="0014535D">
            <w:pPr>
              <w:pStyle w:val="VOTINGTABLECELLREMARK"/>
              <w:tabs>
                <w:tab w:val="left" w:pos="567"/>
              </w:tabs>
              <w:rPr>
                <w:szCs w:val="24"/>
                <w:lang w:val="pt-PT"/>
              </w:rPr>
            </w:pP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nominal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0F2E8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 w:rsidR="000F2E8D">
              <w:rPr>
                <w:noProof/>
                <w:szCs w:val="24"/>
                <w:lang w:val="pt-PT"/>
              </w:rPr>
              <w:t>Alteração</w:t>
            </w:r>
            <w:r w:rsidRPr="00331773">
              <w:rPr>
                <w:noProof/>
                <w:szCs w:val="24"/>
                <w:lang w:val="pt-PT"/>
              </w:rPr>
              <w:t xml:space="preserve"> 5 (B8-0311/2016) </w:t>
              <w:br/>
              <w:t>§§ 11, 14, a</w:t>
            </w:r>
            <w:r w:rsidRPr="00331773" w:rsidR="000F2E8D">
              <w:rPr>
                <w:noProof/>
                <w:szCs w:val="24"/>
                <w:lang w:val="pt-PT"/>
              </w:rPr>
              <w:t>lteração</w:t>
            </w:r>
            <w:r w:rsidRPr="00331773">
              <w:rPr>
                <w:noProof/>
                <w:szCs w:val="24"/>
                <w:lang w:val="pt-PT"/>
              </w:rPr>
              <w:t xml:space="preserve"> 3 (RC-B8-0312/2016)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 xml:space="preserve">§§ 5, 10, 11, 12 (B8-0311/2016) </w:t>
              <w:br/>
              <w:t>§§ 11, 12 (RC-B8-0312/2016)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em separado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 xml:space="preserve">§§ 7, 8, 11, 12 (B8-0311/2016) </w:t>
              <w:br/>
              <w:t>§§ 4, 11 (RC-B8-0312/2016)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Pedidos de votação por partes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PPE: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§ 2 (B8-0311/2016)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"Observa que o relatório da Comissão refere as grandes quantidades de contrabando  existentes no mercado da UE e o acentuado aumento das apreensões de «cheap whites»,"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"e conclui que não se verificou qualquer efeito positivo na saúde pública decorrente do acordo com a PMI;"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§ 5 (B8-0311/2016)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1.ª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Conjunto do texto, exceto o termo "únicos 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Este termo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tabs>
                <w:tab w:val="left" w:pos="567"/>
              </w:tabs>
              <w:rPr>
                <w:lang w:val="pt-PT" w:bidi="ar-SA"/>
              </w:rPr>
            </w:pP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§ 3 (RC-B8-0312/2016)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noProof/>
                <w:szCs w:val="24"/>
                <w:lang w:val="pt-PT"/>
              </w:rPr>
              <w:t>1èe partie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"Insta a Comissão a proceder à rápida ratificação do Protocolo;"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 w:rsidP="0014535D">
            <w:pPr>
              <w:pStyle w:val="REMARKTABLECELLITALIC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2.ª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E8D" w:rsidRPr="00331773">
            <w:pPr>
              <w:pStyle w:val="REMARKTABLECELLSIMPLE"/>
              <w:rPr>
                <w:lang w:val="pt-PT"/>
              </w:rPr>
            </w:pPr>
            <w:r w:rsidRPr="00331773">
              <w:rPr>
                <w:lang w:val="pt-PT"/>
              </w:rPr>
              <w:t>"considera, contudo, que a renovação do acordo enviaria uma mensagem negativa e contraproducente aos países terceiros quanto ao envolvimento da UE em interações inadequadas com a indústria do tabaco, embora o Protocolo proíba claramente essas interações;"</w:t>
            </w:r>
          </w:p>
        </w:tc>
      </w:tr>
    </w:tbl>
    <w:p w:rsidR="00245EC1" w:rsidRPr="00331773" w:rsidP="00245EC1">
      <w:pPr>
        <w:pStyle w:val="STYTAB"/>
        <w:tabs>
          <w:tab w:val="left" w:pos="567"/>
        </w:tabs>
        <w:rPr>
          <w:szCs w:val="24"/>
          <w:lang w:val="pt-PT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14535D">
            <w:pPr>
              <w:pStyle w:val="REMARKTABLECELLTITLE"/>
              <w:tabs>
                <w:tab w:val="left" w:pos="567"/>
              </w:tabs>
              <w:rPr>
                <w:szCs w:val="24"/>
                <w:lang w:val="pt-PT"/>
              </w:rPr>
            </w:pPr>
            <w:r w:rsidRPr="00331773">
              <w:rPr>
                <w:szCs w:val="24"/>
                <w:lang w:val="pt-PT"/>
              </w:rPr>
              <w:t>Diversos</w:t>
            </w:r>
          </w:p>
        </w:tc>
      </w:tr>
      <w:tr w:rsidTr="0014535D">
        <w:tblPrEx>
          <w:tblW w:w="906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EC1" w:rsidRPr="00331773" w:rsidP="000F2E8D">
            <w:pPr>
              <w:pStyle w:val="REMARKTABLECELLSIMPLE"/>
              <w:tabs>
                <w:tab w:val="left" w:pos="567"/>
              </w:tabs>
              <w:rPr>
                <w:szCs w:val="24"/>
                <w:lang w:val="pt-PT"/>
              </w:rPr>
            </w:pPr>
            <w:r w:rsidR="008E7268">
              <w:rPr>
                <w:noProof/>
                <w:szCs w:val="24"/>
                <w:lang w:val="pt-PT"/>
              </w:rPr>
              <w:t>Dimitrios Papadimoulis (G</w:t>
            </w:r>
            <w:r w:rsidRPr="00331773" w:rsidR="000F2E8D">
              <w:rPr>
                <w:noProof/>
                <w:szCs w:val="24"/>
                <w:lang w:val="pt-PT"/>
              </w:rPr>
              <w:t>r</w:t>
            </w:r>
            <w:r w:rsidRPr="00331773">
              <w:rPr>
                <w:noProof/>
                <w:szCs w:val="24"/>
                <w:lang w:val="pt-PT"/>
              </w:rPr>
              <w:t>up</w:t>
            </w:r>
            <w:r w:rsidRPr="00331773" w:rsidR="000F2E8D">
              <w:rPr>
                <w:noProof/>
                <w:szCs w:val="24"/>
                <w:lang w:val="pt-PT"/>
              </w:rPr>
              <w:t>o</w:t>
            </w:r>
            <w:r w:rsidRPr="00331773">
              <w:rPr>
                <w:noProof/>
                <w:szCs w:val="24"/>
                <w:lang w:val="pt-PT"/>
              </w:rPr>
              <w:t xml:space="preserve"> GUE/NGL) </w:t>
            </w:r>
            <w:r w:rsidRPr="00331773" w:rsidR="000F2E8D">
              <w:rPr>
                <w:noProof/>
                <w:szCs w:val="24"/>
                <w:lang w:val="pt-PT"/>
              </w:rPr>
              <w:t>é igualmente signatário da proposta de resolução</w:t>
            </w:r>
            <w:r w:rsidRPr="00331773" w:rsidR="00292D6B">
              <w:rPr>
                <w:noProof/>
                <w:szCs w:val="24"/>
                <w:lang w:val="pt-PT"/>
              </w:rPr>
              <w:t xml:space="preserve"> B8</w:t>
            </w:r>
            <w:r w:rsidRPr="00331773" w:rsidR="00292D6B">
              <w:rPr>
                <w:noProof/>
                <w:szCs w:val="24"/>
                <w:lang w:val="pt-PT"/>
              </w:rPr>
              <w:noBreakHyphen/>
            </w:r>
            <w:r w:rsidRPr="00331773">
              <w:rPr>
                <w:noProof/>
                <w:szCs w:val="24"/>
                <w:lang w:val="pt-PT"/>
              </w:rPr>
              <w:t>0311/2016.</w:t>
            </w:r>
          </w:p>
        </w:tc>
      </w:tr>
    </w:tbl>
    <w:p w:rsidR="00DA6426" w:rsidRPr="00331773" w:rsidP="008A5D41">
      <w:pPr>
        <w:tabs>
          <w:tab w:val="left" w:pos="567"/>
        </w:tabs>
        <w:rPr>
          <w:lang w:val="pt-PT"/>
        </w:rPr>
      </w:pPr>
    </w:p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Ind w:w="10" w:type="dxa"/>
      <w:tblLayout w:type="fixed"/>
      <w:tblCellMar>
        <w:left w:w="10" w:type="dxa"/>
        <w:right w:w="10" w:type="dxa"/>
      </w:tblCellMar>
      <w:tblLook w:val="04A0"/>
    </w:tblPr>
    <w:tblGrid>
      <w:gridCol w:w="4121"/>
      <w:gridCol w:w="822"/>
      <w:gridCol w:w="4122"/>
    </w:tblGrid>
    <w:tr>
      <w:tblPrEx>
        <w:tblW w:w="9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Ex>
      <w:tc>
        <w:tcPr>
          <w:tcW w:w="4122" w:type="dxa"/>
        </w:tcPr>
        <w:p w:rsidR="0014535D" w:rsidRPr="008A5D41" w:rsidP="000723CC">
          <w:pPr>
            <w:pStyle w:val="FOOTERSTYLELEFTSTYLE"/>
            <w:rPr>
              <w:lang w:val="sv-SE"/>
            </w:rPr>
          </w:pPr>
          <w:r w:rsidRPr="008A5D41">
            <w:rPr>
              <w:lang w:val="sv-SE"/>
            </w:rPr>
            <w:t>P8_PV-PROV(2016)03-09(VOT)_</w:t>
          </w:r>
          <w:r>
            <w:rPr>
              <w:lang w:val="sv-SE"/>
            </w:rPr>
            <w:t>PT</w:t>
          </w:r>
          <w:r w:rsidRPr="008A5D41">
            <w:rPr>
              <w:lang w:val="sv-SE"/>
            </w:rPr>
            <w:t>.doc</w:t>
          </w:r>
        </w:p>
      </w:tc>
      <w:tc>
        <w:tcPr>
          <w:tcW w:w="822" w:type="dxa"/>
        </w:tcPr>
        <w:p w:rsidR="0014535D">
          <w:pPr>
            <w:pStyle w:val="FOOTERSTYLECENTERSTY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7268">
            <w:rPr>
              <w:noProof/>
            </w:rPr>
            <w:t>11</w:t>
          </w:r>
          <w:r>
            <w:fldChar w:fldCharType="end"/>
          </w:r>
        </w:p>
      </w:tc>
      <w:tc>
        <w:tcPr>
          <w:tcW w:w="4122" w:type="dxa"/>
        </w:tcPr>
        <w:p w:rsidR="0014535D">
          <w:pPr>
            <w:pStyle w:val="FOOTERSTYLERIGHTSTYLE"/>
          </w:pPr>
          <w:r>
            <w:t>PE 579.934</w: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0E1F"/>
    <w:multiLevelType w:val="multilevel"/>
    <w:tmpl w:val="DECA88E8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Jc w:val="left"/>
    </w:lvl>
    <w:lvl w:ilvl="2">
      <w:start w:val="1"/>
      <w:numFmt w:val="none"/>
      <w:lvlJc w:val="left"/>
    </w:lvl>
    <w:lvl w:ilvl="3">
      <w:start w:val="1"/>
      <w:numFmt w:val="none"/>
      <w:lvlJc w:val="left"/>
    </w:lvl>
    <w:lvl w:ilvl="4">
      <w:start w:val="1"/>
      <w:numFmt w:val="none"/>
      <w:lvlJc w:val="left"/>
    </w:lvl>
    <w:lvl w:ilvl="5">
      <w:start w:val="1"/>
      <w:numFmt w:val="none"/>
      <w:lvlJc w:val="left"/>
    </w:lvl>
    <w:lvl w:ilvl="6">
      <w:start w:val="1"/>
      <w:numFmt w:val="none"/>
      <w:lvlJc w:val="left"/>
    </w:lvl>
    <w:lvl w:ilvl="7">
      <w:start w:val="1"/>
      <w:numFmt w:val="none"/>
      <w:lvlJc w:val="left"/>
    </w:lvl>
    <w:lvl w:ilvl="8">
      <w:start w:val="1"/>
      <w:numFmt w:val="none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link w:val="Heading1Char1"/>
    <w:uiPriority w:val="9"/>
    <w:pPr>
      <w:keepNext/>
      <w:spacing w:before="240" w:after="60"/>
      <w:outlineLvl w:val="0"/>
    </w:pPr>
    <w:rPr>
      <w:rFonts w:cs="Arial"/>
      <w:b/>
      <w:bCs/>
      <w:kern w:val="3"/>
      <w:sz w:val="24"/>
      <w:szCs w:val="32"/>
    </w:rPr>
  </w:style>
  <w:style w:type="paragraph" w:styleId="Heading2">
    <w:name w:val="heading 2"/>
    <w:basedOn w:val="Standard"/>
    <w:next w:val="Textbody"/>
    <w:link w:val="Heading2Char"/>
    <w:uiPriority w:val="9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en-GB" w:eastAsia="zh-CN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link w:val="CaptionChar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before="0"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kern w:val="3"/>
      <w:sz w:val="32"/>
      <w:szCs w:val="24"/>
      <w:lang w:val="en-US" w:eastAsia="zh-CN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kern w:val="3"/>
      <w:sz w:val="22"/>
      <w:szCs w:val="24"/>
      <w:lang w:val="en-US" w:eastAsia="zh-CN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rFonts w:ascii="Times New Roman" w:hAnsi="Times New Roman"/>
      <w:sz w:val="18"/>
    </w:rPr>
  </w:style>
  <w:style w:type="paragraph" w:customStyle="1" w:styleId="PAGEBREAKAFTER">
    <w:name w:val="PAGE BREAK AFTER"/>
    <w:basedOn w:val="Standard"/>
    <w:rPr>
      <w:rFonts w:ascii="Times New Roman" w:hAnsi="Times New Roman"/>
      <w:sz w:val="18"/>
    </w:rPr>
  </w:style>
  <w:style w:type="paragraph" w:customStyle="1" w:styleId="FOOTERSTYLE">
    <w:name w:val="FOOTER STYLE"/>
    <w:basedOn w:val="Standard"/>
    <w:pPr>
      <w:ind w:left="0" w:right="0"/>
    </w:pPr>
    <w:rPr>
      <w:rFonts w:ascii="Times New Roman" w:hAnsi="Times New Roman"/>
      <w:sz w:val="22"/>
    </w:rPr>
  </w:style>
  <w:style w:type="paragraph" w:customStyle="1" w:styleId="FOOTERSTYLELEFTSTYLE">
    <w:name w:val="FOOTER STYLE LEFT STYLE"/>
    <w:basedOn w:val="FOOTERSTYLE"/>
    <w:pPr>
      <w:jc w:val="left"/>
    </w:pPr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rFonts w:ascii="Times New Roman" w:hAnsi="Times New Roman"/>
      <w:sz w:val="18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kern w:val="3"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kern w:val="3"/>
      <w:sz w:val="22"/>
      <w:szCs w:val="24"/>
      <w:lang w:val="en-US" w:eastAsia="zh-CN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rFonts w:ascii="Times New Roman" w:hAnsi="Times New Roman"/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rFonts w:ascii="Times New Roman" w:hAnsi="Times New Roman"/>
      <w:sz w:val="22"/>
    </w:rPr>
  </w:style>
  <w:style w:type="paragraph" w:customStyle="1" w:styleId="VOTINGTABLECELLSIMPLEOBJECT">
    <w:name w:val="VOTING TABLE CELL SIMPLE OBJECT"/>
    <w:basedOn w:val="VOTINGTABLECELL"/>
    <w:rPr>
      <w:rFonts w:ascii="Times New Roman" w:hAnsi="Times New Roman"/>
      <w:sz w:val="22"/>
    </w:rPr>
  </w:style>
  <w:style w:type="paragraph" w:customStyle="1" w:styleId="VOTINGTABLECELLAN">
    <w:name w:val="VOTING TABLE CELL AN"/>
    <w:basedOn w:val="VOTINGTABLECELL"/>
    <w:rPr>
      <w:rFonts w:ascii="Times New Roman" w:hAnsi="Times New Roman"/>
      <w:sz w:val="22"/>
    </w:rPr>
  </w:style>
  <w:style w:type="paragraph" w:customStyle="1" w:styleId="VOTINGTABLECELLVOTE">
    <w:name w:val="VOTING TABLE CELL VOTE"/>
    <w:basedOn w:val="VOTINGTABLECELL"/>
    <w:rPr>
      <w:rFonts w:ascii="Times New Roman" w:hAnsi="Times New Roman"/>
      <w:sz w:val="22"/>
    </w:rPr>
  </w:style>
  <w:style w:type="paragraph" w:customStyle="1" w:styleId="VOTINGTABLECELLREMARK">
    <w:name w:val="VOTING TABLE CELL REMARK"/>
    <w:basedOn w:val="VOTINGTABLECELL"/>
    <w:rPr>
      <w:rFonts w:ascii="Times New Roman" w:hAnsi="Times New Roman"/>
      <w:sz w:val="22"/>
    </w:rPr>
  </w:style>
  <w:style w:type="paragraph" w:customStyle="1" w:styleId="VOTINGTABLECELLAM">
    <w:name w:val="VOTING TABLE CELL AM"/>
    <w:basedOn w:val="VOTINGTABLECELL"/>
    <w:rPr>
      <w:rFonts w:ascii="Times New Roman" w:hAnsi="Times New Roman"/>
      <w:sz w:val="22"/>
    </w:rPr>
  </w:style>
  <w:style w:type="paragraph" w:customStyle="1" w:styleId="VOTINGTABLECELLAUTHOR">
    <w:name w:val="VOTING TABLE CELL AUTHOR"/>
    <w:basedOn w:val="VOTINGTABLECELL"/>
    <w:rPr>
      <w:rFonts w:ascii="Times New Roman" w:hAnsi="Times New Roman"/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  <w:jc w:val="left"/>
    </w:pPr>
  </w:style>
  <w:style w:type="paragraph" w:customStyle="1" w:styleId="REMARKTABLECELLTITLE">
    <w:name w:val="REMARK TABLE CELL TITLE"/>
    <w:basedOn w:val="REMARKTABLECELL"/>
    <w:pPr>
      <w:spacing w:after="0"/>
    </w:pPr>
    <w:rPr>
      <w:rFonts w:ascii="Times New Roman" w:hAnsi="Times New Roman"/>
      <w:i/>
      <w:sz w:val="22"/>
    </w:rPr>
  </w:style>
  <w:style w:type="paragraph" w:customStyle="1" w:styleId="REMARKTABLECELLSIMPLE">
    <w:name w:val="REMARK TABLE CELL SIMPLE"/>
    <w:basedOn w:val="REMARKTABLECELL"/>
    <w:rPr>
      <w:rFonts w:ascii="Times New Roman" w:hAnsi="Times New Roman"/>
      <w:sz w:val="22"/>
    </w:rPr>
  </w:style>
  <w:style w:type="paragraph" w:customStyle="1" w:styleId="REMARKTABLECELLITALIC">
    <w:name w:val="REMARK TABLE CELL ITALIC"/>
    <w:basedOn w:val="REMARKTABLECELL"/>
    <w:rPr>
      <w:rFonts w:ascii="Times New Roman" w:hAnsi="Times New Roman"/>
      <w:i/>
      <w:sz w:val="22"/>
    </w:rPr>
  </w:style>
  <w:style w:type="paragraph" w:customStyle="1" w:styleId="REMARKTABLECELLBOLD">
    <w:name w:val="REMARK TABLE CELL BOLD"/>
    <w:basedOn w:val="REMARKTABLECELL"/>
    <w:rPr>
      <w:rFonts w:ascii="Times New Roman" w:hAnsi="Times New Roman"/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character" w:customStyle="1" w:styleId="Heading1Char">
    <w:name w:val="Heading 1 Char"/>
    <w:uiPriority w:val="9"/>
    <w:rsid w:val="00245EC1"/>
    <w:rPr>
      <w:rFonts w:ascii="Cambria" w:eastAsia="Times New Roman" w:hAnsi="Cambria" w:cs="Mangal"/>
      <w:b/>
      <w:bCs/>
      <w:kern w:val="32"/>
      <w:sz w:val="32"/>
      <w:szCs w:val="29"/>
      <w:lang w:val="en-US" w:bidi="hi-IN"/>
    </w:rPr>
  </w:style>
  <w:style w:type="character" w:customStyle="1" w:styleId="Heading2Char">
    <w:name w:val="Heading 2 Char"/>
    <w:link w:val="Heading2"/>
    <w:uiPriority w:val="9"/>
    <w:rsid w:val="00245EC1"/>
    <w:rPr>
      <w:b/>
      <w:bCs/>
      <w:kern w:val="3"/>
      <w:sz w:val="36"/>
      <w:szCs w:val="36"/>
      <w:lang w:eastAsia="zh-CN"/>
    </w:rPr>
  </w:style>
  <w:style w:type="character" w:customStyle="1" w:styleId="HeaderChar">
    <w:name w:val="Header Char"/>
    <w:link w:val="Header"/>
    <w:uiPriority w:val="99"/>
    <w:rsid w:val="00245EC1"/>
    <w:rPr>
      <w:kern w:val="3"/>
      <w:lang w:eastAsia="zh-CN"/>
    </w:rPr>
  </w:style>
  <w:style w:type="character" w:customStyle="1" w:styleId="CaptionChar">
    <w:name w:val="Caption Char"/>
    <w:link w:val="Caption"/>
    <w:uiPriority w:val="35"/>
    <w:locked/>
    <w:rsid w:val="00245EC1"/>
    <w:rPr>
      <w:i/>
      <w:iCs/>
      <w:kern w:val="3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45EC1"/>
    <w:rPr>
      <w:kern w:val="3"/>
      <w:lang w:eastAsia="zh-CN"/>
    </w:rPr>
  </w:style>
  <w:style w:type="character" w:customStyle="1" w:styleId="Heading1Char1">
    <w:name w:val="Heading 1 Char1"/>
    <w:link w:val="Heading1"/>
    <w:uiPriority w:val="9"/>
    <w:locked/>
    <w:rsid w:val="00245EC1"/>
    <w:rPr>
      <w:rFonts w:cs="Arial"/>
      <w:b/>
      <w:bCs/>
      <w:kern w:val="3"/>
      <w:sz w:val="24"/>
      <w:szCs w:val="32"/>
      <w:lang w:eastAsia="zh-CN"/>
    </w:rPr>
  </w:style>
  <w:style w:type="character" w:customStyle="1" w:styleId="tw4winMark">
    <w:name w:val="tw4winMark"/>
    <w:uiPriority w:val="99"/>
    <w:rsid w:val="00245E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45E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45EC1"/>
    <w:rPr>
      <w:color w:val="0000FF"/>
    </w:rPr>
  </w:style>
  <w:style w:type="character" w:customStyle="1" w:styleId="tw4winPopup">
    <w:name w:val="tw4winPopup"/>
    <w:uiPriority w:val="99"/>
    <w:rsid w:val="00245E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45E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45E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45E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45EC1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SANTOS Joao</cp:lastModifiedBy>
  <cp:revision>2</cp:revision>
  <dcterms:created xsi:type="dcterms:W3CDTF">2016-04-21T09:00:00Z</dcterms:created>
  <dcterms:modified xsi:type="dcterms:W3CDTF">2016-04-21T09:00:00Z</dcterms:modified>
</cp:coreProperties>
</file>