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C5" w:rsidRDefault="007A5C46">
      <w:pPr>
        <w:pStyle w:val="ANNEXTITLE"/>
      </w:pPr>
      <w:r>
        <w:t>ANNEXE</w:t>
      </w:r>
    </w:p>
    <w:p w:rsidR="002C29C5" w:rsidRDefault="002C29C5">
      <w:pPr>
        <w:pStyle w:val="STYTAB"/>
      </w:pPr>
    </w:p>
    <w:p w:rsidR="002C29C5" w:rsidRDefault="007A5C46">
      <w:pPr>
        <w:pStyle w:val="VOTERESULT"/>
      </w:pPr>
      <w:r>
        <w:t>RÉSULTATS DES VOTES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8026B0">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Default="007A5C46">
            <w:pPr>
              <w:pStyle w:val="SIGNIFICATIONTITLE"/>
              <w:snapToGrid w:val="0"/>
              <w:rPr>
                <w:lang w:val="fr-FR"/>
              </w:rPr>
            </w:pPr>
            <w:r>
              <w:rPr>
                <w:lang w:val="fr-FR"/>
              </w:rPr>
              <w:t>Signification des abréviations et des symboles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adopté</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rejeté</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caduc</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retiré</w:t>
            </w:r>
            <w:proofErr w:type="spellEnd"/>
          </w:p>
        </w:tc>
      </w:tr>
      <w:tr w:rsidR="002C29C5" w:rsidRPr="008026B0">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AN (</w:t>
            </w:r>
            <w:proofErr w:type="gramStart"/>
            <w:r>
              <w:t>..., …, ...)</w:t>
            </w:r>
            <w:proofErr w:type="gram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rPr>
                <w:lang w:val="fr-FR"/>
              </w:rPr>
            </w:pPr>
            <w:r w:rsidRPr="00AC2B49">
              <w:rPr>
                <w:lang w:val="fr-FR"/>
              </w:rPr>
              <w:t>vote par appel nominal (voix pour, voix contre, abstentions)</w:t>
            </w:r>
          </w:p>
        </w:tc>
      </w:tr>
      <w:tr w:rsidR="002C29C5" w:rsidRPr="008026B0">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VE (</w:t>
            </w:r>
            <w:proofErr w:type="gramStart"/>
            <w:r>
              <w:t>..., …, ...)</w:t>
            </w:r>
            <w:proofErr w:type="gram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rPr>
                <w:lang w:val="fr-FR"/>
              </w:rPr>
            </w:pPr>
            <w:r w:rsidRPr="00AC2B49">
              <w:rPr>
                <w:lang w:val="fr-FR"/>
              </w:rPr>
              <w:t>vote électronique (voix pour, voix contre, abstentions)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div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vote par division</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 xml:space="preserve">vote </w:t>
            </w:r>
            <w:proofErr w:type="spellStart"/>
            <w:r>
              <w:t>séparé</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amendement</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amendement</w:t>
            </w:r>
            <w:proofErr w:type="spellEnd"/>
            <w:r>
              <w:t xml:space="preserve"> de </w:t>
            </w:r>
            <w:proofErr w:type="spellStart"/>
            <w:r>
              <w:t>compromis</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partie</w:t>
            </w:r>
            <w:proofErr w:type="spellEnd"/>
            <w:r>
              <w:t xml:space="preserve"> </w:t>
            </w:r>
            <w:proofErr w:type="spellStart"/>
            <w:r>
              <w:t>correspondante</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amendement</w:t>
            </w:r>
            <w:proofErr w:type="spellEnd"/>
            <w:r>
              <w:t xml:space="preserve"> </w:t>
            </w:r>
            <w:proofErr w:type="spellStart"/>
            <w:r>
              <w:t>suppressif</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amendements</w:t>
            </w:r>
            <w:proofErr w:type="spellEnd"/>
            <w:r>
              <w:t xml:space="preserve"> </w:t>
            </w:r>
            <w:proofErr w:type="spellStart"/>
            <w:r>
              <w:t>identiques</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paragraphe</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article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proofErr w:type="spellStart"/>
            <w:r>
              <w:t>considérant</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 xml:space="preserve">proposition de </w:t>
            </w:r>
            <w:proofErr w:type="spellStart"/>
            <w:r>
              <w:t>résolution</w:t>
            </w:r>
            <w:proofErr w:type="spellEnd"/>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 xml:space="preserve">proposition de </w:t>
            </w:r>
            <w:proofErr w:type="spellStart"/>
            <w:r>
              <w:t>résolution</w:t>
            </w:r>
            <w:proofErr w:type="spellEnd"/>
            <w:r>
              <w:t xml:space="preserve"> commune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 xml:space="preserve">vote au </w:t>
            </w:r>
            <w:proofErr w:type="spellStart"/>
            <w:r>
              <w:t>scrutin</w:t>
            </w:r>
            <w:proofErr w:type="spellEnd"/>
            <w:r>
              <w:t xml:space="preserve"> secret</w:t>
            </w:r>
          </w:p>
        </w:tc>
      </w:tr>
    </w:tbl>
    <w:p w:rsidR="002C29C5" w:rsidRDefault="002C29C5"/>
    <w:p w:rsidR="00853DCF" w:rsidRPr="006935A3" w:rsidRDefault="00E81918">
      <w:pPr>
        <w:pStyle w:val="VOTEFIRSTTITLE"/>
        <w:rPr>
          <w:lang w:val="fr-FR"/>
        </w:rPr>
      </w:pPr>
      <w:r w:rsidRPr="006935A3">
        <w:rPr>
          <w:lang w:val="fr-FR"/>
        </w:rPr>
        <w:lastRenderedPageBreak/>
        <w:t>Période prévue pour l’adoption d’actes délégués ***I</w:t>
      </w:r>
    </w:p>
    <w:p w:rsidR="00853DCF" w:rsidRDefault="00E81918">
      <w:pPr>
        <w:pStyle w:val="VOTEREPORTTITLE"/>
      </w:pPr>
      <w:r>
        <w:t xml:space="preserve">Rapport: </w:t>
      </w:r>
      <w:proofErr w:type="spellStart"/>
      <w:r>
        <w:t>Gesine</w:t>
      </w:r>
      <w:proofErr w:type="spellEnd"/>
      <w:r>
        <w:t xml:space="preserve"> </w:t>
      </w:r>
      <w:proofErr w:type="spellStart"/>
      <w:r>
        <w:t>Meissner</w:t>
      </w:r>
      <w:proofErr w:type="spellEnd"/>
      <w:r>
        <w:t xml:space="preserve"> (A8-0332/2017)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vote unique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615, 36, 18</w:t>
            </w:r>
          </w:p>
        </w:tc>
      </w:tr>
    </w:tbl>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t>Nomination d'un membre de la Co</w:t>
      </w:r>
      <w:r w:rsidR="006935A3" w:rsidRPr="006935A3">
        <w:rPr>
          <w:lang w:val="fr-FR"/>
        </w:rPr>
        <w:t xml:space="preserve">ur des comptes - Karel </w:t>
      </w:r>
      <w:proofErr w:type="spellStart"/>
      <w:r w:rsidR="006935A3" w:rsidRPr="006935A3">
        <w:rPr>
          <w:lang w:val="fr-FR"/>
        </w:rPr>
        <w:t>Pinxten</w:t>
      </w:r>
      <w:proofErr w:type="spellEnd"/>
      <w:r w:rsidR="006935A3" w:rsidRP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(A8-0336/2017)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D05837">
            <w:pPr>
              <w:pStyle w:val="VOTINGTABLECELLOBJECT"/>
              <w:rPr>
                <w:lang w:val="fr-FR"/>
              </w:rPr>
            </w:pPr>
            <w:proofErr w:type="gramStart"/>
            <w:r>
              <w:rPr>
                <w:lang w:val="fr-FR"/>
              </w:rPr>
              <w:t>vote:</w:t>
            </w:r>
            <w:proofErr w:type="gramEnd"/>
            <w:r>
              <w:rPr>
                <w:lang w:val="fr-FR"/>
              </w:rPr>
              <w:t xml:space="preserve"> candidature de Karel </w:t>
            </w:r>
            <w:proofErr w:type="spellStart"/>
            <w:r>
              <w:rPr>
                <w:lang w:val="fr-FR"/>
              </w:rPr>
              <w:t>Pin</w:t>
            </w:r>
            <w:r w:rsidR="00E81918" w:rsidRPr="006935A3">
              <w:rPr>
                <w:lang w:val="fr-FR"/>
              </w:rPr>
              <w:t>xten</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853DCF">
            <w:pPr>
              <w:pStyle w:val="VOTINGTABLECELLAN"/>
              <w:rPr>
                <w:lang w:val="fr-FR"/>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284, 310, 81</w:t>
            </w:r>
          </w:p>
        </w:tc>
      </w:tr>
    </w:tbl>
    <w:p w:rsidR="00853DCF" w:rsidRDefault="00853DCF">
      <w:pPr>
        <w:pStyle w:val="STYTAB"/>
      </w:pPr>
    </w:p>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t>Nomination d'un membre de la C</w:t>
      </w:r>
      <w:r w:rsidR="006935A3">
        <w:rPr>
          <w:lang w:val="fr-FR"/>
        </w:rPr>
        <w:t xml:space="preserve">our des comptes - Pietro </w:t>
      </w:r>
      <w:proofErr w:type="spellStart"/>
      <w:r w:rsidR="006935A3">
        <w:rPr>
          <w:lang w:val="fr-FR"/>
        </w:rPr>
        <w:t>Russo</w:t>
      </w:r>
      <w:proofErr w:type="spellEnd"/>
      <w:r w:rsid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(A8-0337/2017)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vote: candidature de Pietro Russo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506, 81, 66</w:t>
            </w:r>
          </w:p>
        </w:tc>
      </w:tr>
    </w:tbl>
    <w:p w:rsidR="00853DCF" w:rsidRDefault="00853DCF">
      <w:pPr>
        <w:pStyle w:val="STYTAB"/>
      </w:pPr>
    </w:p>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t>Nomination d'un membre de la Co</w:t>
      </w:r>
      <w:r w:rsidR="006935A3">
        <w:rPr>
          <w:lang w:val="fr-FR"/>
        </w:rPr>
        <w:t xml:space="preserve">ur des comptes - </w:t>
      </w:r>
      <w:proofErr w:type="spellStart"/>
      <w:r w:rsidR="006935A3">
        <w:rPr>
          <w:lang w:val="fr-FR"/>
        </w:rPr>
        <w:t>Hannu</w:t>
      </w:r>
      <w:proofErr w:type="spellEnd"/>
      <w:r w:rsidR="006935A3">
        <w:rPr>
          <w:lang w:val="fr-FR"/>
        </w:rPr>
        <w:t xml:space="preserve"> </w:t>
      </w:r>
      <w:proofErr w:type="spellStart"/>
      <w:r w:rsidR="006935A3">
        <w:rPr>
          <w:lang w:val="fr-FR"/>
        </w:rPr>
        <w:t>Takkula</w:t>
      </w:r>
      <w:proofErr w:type="spellEnd"/>
      <w:r w:rsid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(A8-0338/2017)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proofErr w:type="gramStart"/>
            <w:r w:rsidRPr="006935A3">
              <w:rPr>
                <w:lang w:val="fr-FR"/>
              </w:rPr>
              <w:t>vote:</w:t>
            </w:r>
            <w:proofErr w:type="gramEnd"/>
            <w:r w:rsidRPr="006935A3">
              <w:rPr>
                <w:lang w:val="fr-FR"/>
              </w:rPr>
              <w:t xml:space="preserve"> candidature de </w:t>
            </w:r>
            <w:proofErr w:type="spellStart"/>
            <w:r w:rsidRPr="006935A3">
              <w:rPr>
                <w:lang w:val="fr-FR"/>
              </w:rPr>
              <w:t>Hannu</w:t>
            </w:r>
            <w:proofErr w:type="spellEnd"/>
            <w:r w:rsidRPr="006935A3">
              <w:rPr>
                <w:lang w:val="fr-FR"/>
              </w:rPr>
              <w:t xml:space="preserve"> </w:t>
            </w:r>
            <w:proofErr w:type="spellStart"/>
            <w:r w:rsidRPr="006935A3">
              <w:rPr>
                <w:lang w:val="fr-FR"/>
              </w:rPr>
              <w:t>Takkula</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853DCF">
            <w:pPr>
              <w:pStyle w:val="VOTINGTABLECELLAN"/>
              <w:rPr>
                <w:lang w:val="fr-FR"/>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472, 161, 43</w:t>
            </w:r>
          </w:p>
        </w:tc>
      </w:tr>
    </w:tbl>
    <w:p w:rsidR="00853DCF" w:rsidRDefault="00853DCF">
      <w:pPr>
        <w:pStyle w:val="STYTAB"/>
      </w:pPr>
    </w:p>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lastRenderedPageBreak/>
        <w:t>Nomination d'un membre de la Cour des com</w:t>
      </w:r>
      <w:r w:rsidR="006935A3">
        <w:rPr>
          <w:lang w:val="fr-FR"/>
        </w:rPr>
        <w:t xml:space="preserve">ptes - </w:t>
      </w:r>
      <w:proofErr w:type="spellStart"/>
      <w:r w:rsidR="006935A3">
        <w:rPr>
          <w:lang w:val="fr-FR"/>
        </w:rPr>
        <w:t>Baudilio</w:t>
      </w:r>
      <w:proofErr w:type="spellEnd"/>
      <w:r w:rsidR="006935A3">
        <w:rPr>
          <w:lang w:val="fr-FR"/>
        </w:rPr>
        <w:t xml:space="preserve"> Tomé </w:t>
      </w:r>
      <w:proofErr w:type="spellStart"/>
      <w:r w:rsidR="006935A3">
        <w:rPr>
          <w:lang w:val="fr-FR"/>
        </w:rPr>
        <w:t>Muguruza</w:t>
      </w:r>
      <w:proofErr w:type="spellEnd"/>
      <w:r w:rsid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(A8-0342/2017)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xml:space="preserve">vote: candidature de </w:t>
            </w:r>
            <w:proofErr w:type="spellStart"/>
            <w:r>
              <w:t>Baudil</w:t>
            </w:r>
            <w:r w:rsidR="00D05837">
              <w:t>i</w:t>
            </w:r>
            <w:r>
              <w:t>o</w:t>
            </w:r>
            <w:proofErr w:type="spellEnd"/>
            <w:r>
              <w:t xml:space="preserve"> Tomé </w:t>
            </w:r>
            <w:proofErr w:type="spellStart"/>
            <w:r>
              <w:t>Muguruza</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497, 102, 81</w:t>
            </w:r>
          </w:p>
        </w:tc>
      </w:tr>
    </w:tbl>
    <w:p w:rsidR="00853DCF" w:rsidRDefault="00853DCF">
      <w:pPr>
        <w:pStyle w:val="STYTAB"/>
      </w:pPr>
    </w:p>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t>Nomination d'un membre de la Cour d</w:t>
      </w:r>
      <w:r w:rsidR="006935A3">
        <w:rPr>
          <w:lang w:val="fr-FR"/>
        </w:rPr>
        <w:t xml:space="preserve">es comptes - Bettina </w:t>
      </w:r>
      <w:proofErr w:type="spellStart"/>
      <w:r w:rsidR="006935A3">
        <w:rPr>
          <w:lang w:val="fr-FR"/>
        </w:rPr>
        <w:t>Jakobsen</w:t>
      </w:r>
      <w:proofErr w:type="spellEnd"/>
      <w:r w:rsid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(A8-0341/2017)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proofErr w:type="gramStart"/>
            <w:r w:rsidRPr="006935A3">
              <w:rPr>
                <w:lang w:val="fr-FR"/>
              </w:rPr>
              <w:t>vote:</w:t>
            </w:r>
            <w:proofErr w:type="gramEnd"/>
            <w:r w:rsidRPr="006935A3">
              <w:rPr>
                <w:lang w:val="fr-FR"/>
              </w:rPr>
              <w:t xml:space="preserve"> candidature de Bettina </w:t>
            </w:r>
            <w:proofErr w:type="spellStart"/>
            <w:r w:rsidRPr="006935A3">
              <w:rPr>
                <w:lang w:val="fr-FR"/>
              </w:rPr>
              <w:t>Jakobsen</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853DCF">
            <w:pPr>
              <w:pStyle w:val="VOTINGTABLECELLAN"/>
              <w:rPr>
                <w:lang w:val="fr-FR"/>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558, 36, 52</w:t>
            </w:r>
          </w:p>
        </w:tc>
      </w:tr>
    </w:tbl>
    <w:p w:rsidR="00853DCF" w:rsidRDefault="00853DCF">
      <w:pPr>
        <w:pStyle w:val="STYTAB"/>
      </w:pPr>
    </w:p>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t xml:space="preserve">Nomination d'un membre de la Cour des comptes - João Alexandre </w:t>
      </w:r>
      <w:proofErr w:type="spellStart"/>
      <w:r w:rsidRPr="006935A3">
        <w:rPr>
          <w:lang w:val="fr-FR"/>
        </w:rPr>
        <w:t>T</w:t>
      </w:r>
      <w:r w:rsidR="006935A3">
        <w:rPr>
          <w:lang w:val="fr-FR"/>
        </w:rPr>
        <w:t>avares</w:t>
      </w:r>
      <w:proofErr w:type="spellEnd"/>
      <w:r w:rsidR="006935A3">
        <w:rPr>
          <w:lang w:val="fr-FR"/>
        </w:rPr>
        <w:t xml:space="preserve"> Gonçalves de </w:t>
      </w:r>
      <w:proofErr w:type="spellStart"/>
      <w:r w:rsidR="006935A3">
        <w:rPr>
          <w:lang w:val="fr-FR"/>
        </w:rPr>
        <w:t>Figueiredo</w:t>
      </w:r>
      <w:proofErr w:type="spellEnd"/>
      <w:r w:rsid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(A8-0343/2017)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pt-PT"/>
              </w:rPr>
            </w:pPr>
            <w:proofErr w:type="gramStart"/>
            <w:r w:rsidRPr="006935A3">
              <w:rPr>
                <w:lang w:val="pt-PT"/>
              </w:rPr>
              <w:t>vote</w:t>
            </w:r>
            <w:proofErr w:type="gramEnd"/>
            <w:r w:rsidRPr="006935A3">
              <w:rPr>
                <w:lang w:val="pt-PT"/>
              </w:rPr>
              <w:t xml:space="preserve">: </w:t>
            </w:r>
            <w:proofErr w:type="spellStart"/>
            <w:r w:rsidRPr="006935A3">
              <w:rPr>
                <w:lang w:val="pt-PT"/>
              </w:rPr>
              <w:t>candidature</w:t>
            </w:r>
            <w:proofErr w:type="spellEnd"/>
            <w:r w:rsidRPr="006935A3">
              <w:rPr>
                <w:lang w:val="pt-PT"/>
              </w:rPr>
              <w:t xml:space="preserve"> de João Alexandre Tavares Gonçalves de Figueiredo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853DCF">
            <w:pPr>
              <w:pStyle w:val="VOTINGTABLECELLAN"/>
              <w:rPr>
                <w:lang w:val="pt-P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572, 57, 52</w:t>
            </w:r>
          </w:p>
        </w:tc>
      </w:tr>
    </w:tbl>
    <w:p w:rsidR="00853DCF" w:rsidRDefault="00853DCF">
      <w:pPr>
        <w:pStyle w:val="STYTAB"/>
      </w:pPr>
    </w:p>
    <w:p w:rsidR="00853DCF" w:rsidRDefault="00853DCF">
      <w:pPr>
        <w:pStyle w:val="STYTAB"/>
      </w:pPr>
    </w:p>
    <w:p w:rsidR="002F6652" w:rsidRDefault="002F6652">
      <w:pPr>
        <w:rPr>
          <w:rFonts w:eastAsia="Times New Roman" w:cs="Times New Roman"/>
          <w:sz w:val="18"/>
          <w:szCs w:val="20"/>
          <w:lang w:val="en-GB" w:bidi="ar-SA"/>
        </w:rPr>
      </w:pPr>
      <w:r>
        <w:br w:type="page"/>
      </w:r>
    </w:p>
    <w:p w:rsidR="00853DCF" w:rsidRDefault="00853DCF">
      <w:pPr>
        <w:pStyle w:val="STYTAB"/>
      </w:pPr>
    </w:p>
    <w:p w:rsidR="00853DCF" w:rsidRPr="006935A3" w:rsidRDefault="00E81918">
      <w:pPr>
        <w:pStyle w:val="VOTETITLE"/>
        <w:rPr>
          <w:lang w:val="fr-FR"/>
        </w:rPr>
      </w:pPr>
      <w:r w:rsidRPr="006935A3">
        <w:rPr>
          <w:lang w:val="fr-FR"/>
        </w:rPr>
        <w:t xml:space="preserve">Nomination d'un membre de la Cour des comptes - </w:t>
      </w:r>
      <w:proofErr w:type="spellStart"/>
      <w:r w:rsidRPr="006935A3">
        <w:rPr>
          <w:lang w:val="fr-FR"/>
        </w:rPr>
        <w:t>Iliana</w:t>
      </w:r>
      <w:proofErr w:type="spellEnd"/>
      <w:r w:rsidRPr="006935A3">
        <w:rPr>
          <w:lang w:val="fr-FR"/>
        </w:rPr>
        <w:t xml:space="preserve"> </w:t>
      </w:r>
      <w:proofErr w:type="spellStart"/>
      <w:r w:rsidRPr="006935A3">
        <w:rPr>
          <w:lang w:val="fr-FR"/>
        </w:rPr>
        <w:t>Ivanova</w:t>
      </w:r>
      <w:proofErr w:type="spellEnd"/>
      <w:r w:rsidRPr="006935A3">
        <w:rPr>
          <w:lang w:val="fr-FR"/>
        </w:rPr>
        <w:t xml:space="preserve"> </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Indrek</w:t>
      </w:r>
      <w:proofErr w:type="spellEnd"/>
      <w:r w:rsidRPr="006935A3">
        <w:rPr>
          <w:lang w:val="fr-FR"/>
        </w:rPr>
        <w:t xml:space="preserve"> </w:t>
      </w:r>
      <w:proofErr w:type="spellStart"/>
      <w:r w:rsidRPr="006935A3">
        <w:rPr>
          <w:lang w:val="fr-FR"/>
        </w:rPr>
        <w:t>Tarand</w:t>
      </w:r>
      <w:proofErr w:type="spellEnd"/>
      <w:r w:rsidRPr="006935A3">
        <w:rPr>
          <w:lang w:val="fr-FR"/>
        </w:rPr>
        <w:t xml:space="preserve"> (A8-0344/2017) (Vote au scrutin secret (article 180 bis, paragraphe 1, du règlement))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53DCF" w:rsidRPr="008026B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xml:space="preserve">Vote: candidature de </w:t>
            </w:r>
            <w:proofErr w:type="spellStart"/>
            <w:r>
              <w:t>Ilana</w:t>
            </w:r>
            <w:proofErr w:type="spellEnd"/>
            <w:r>
              <w:t xml:space="preserve"> </w:t>
            </w:r>
            <w:proofErr w:type="spellStart"/>
            <w:r>
              <w:t>Ivanova</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568, 61, 37</w:t>
            </w:r>
          </w:p>
        </w:tc>
      </w:tr>
    </w:tbl>
    <w:p w:rsidR="00853DCF" w:rsidRDefault="00853DCF">
      <w:pPr>
        <w:pStyle w:val="STYTAB"/>
      </w:pPr>
    </w:p>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t>Défense contre les importations qui font l’objet d’un dumping ou de subventions de la part de pays non membres de l’UE ***I</w:t>
      </w:r>
    </w:p>
    <w:p w:rsidR="00853DCF" w:rsidRDefault="00E81918">
      <w:pPr>
        <w:pStyle w:val="VOTEREPORTTITLE"/>
      </w:pPr>
      <w:r>
        <w:t xml:space="preserve">Rapport: Salvatore </w:t>
      </w:r>
      <w:proofErr w:type="spellStart"/>
      <w:r>
        <w:t>Cicu</w:t>
      </w:r>
      <w:proofErr w:type="spellEnd"/>
      <w:r>
        <w:t xml:space="preserve"> (A8-0236/2017)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53DCF" w:rsidRPr="008026B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Auteur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xml:space="preserve">Accord </w:t>
            </w:r>
            <w:proofErr w:type="spellStart"/>
            <w:r>
              <w:t>provisoire</w:t>
            </w:r>
            <w:proofErr w:type="spellEnd"/>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xml:space="preserve">Accord </w:t>
            </w:r>
            <w:proofErr w:type="spellStart"/>
            <w:r>
              <w:t>provisoire</w:t>
            </w:r>
            <w:proofErr w:type="spellEnd"/>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commission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554, 48, 80</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proofErr w:type="spellStart"/>
            <w:r>
              <w:t>Déclaration</w:t>
            </w:r>
            <w:proofErr w:type="spellEnd"/>
            <w:r>
              <w:t xml:space="preserve"> de la Commission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commission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bl>
    <w:p w:rsidR="00853DCF" w:rsidRDefault="00853DCF">
      <w:pPr>
        <w:pStyle w:val="STYTAB"/>
      </w:pPr>
    </w:p>
    <w:p w:rsidR="00853DCF" w:rsidRDefault="00853DCF">
      <w:pPr>
        <w:pStyle w:val="STYTAB"/>
      </w:pPr>
    </w:p>
    <w:p w:rsidR="00853DCF" w:rsidRDefault="00853DCF">
      <w:pPr>
        <w:pStyle w:val="STYTAB"/>
      </w:pPr>
    </w:p>
    <w:p w:rsidR="00853DCF" w:rsidRDefault="00E81918">
      <w:pPr>
        <w:pStyle w:val="VOTETITLE"/>
      </w:pPr>
      <w:proofErr w:type="spellStart"/>
      <w:r>
        <w:t>L'état</w:t>
      </w:r>
      <w:proofErr w:type="spellEnd"/>
      <w:r>
        <w:t xml:space="preserve"> de droit à </w:t>
      </w:r>
      <w:proofErr w:type="spellStart"/>
      <w:r>
        <w:t>Malte</w:t>
      </w:r>
      <w:proofErr w:type="spellEnd"/>
    </w:p>
    <w:p w:rsidR="00853DCF" w:rsidRPr="006935A3" w:rsidRDefault="00E81918">
      <w:pPr>
        <w:pStyle w:val="VOTEREPORTTITLE"/>
        <w:rPr>
          <w:lang w:val="fr-FR"/>
        </w:rPr>
      </w:pPr>
      <w:r w:rsidRPr="006935A3">
        <w:rPr>
          <w:lang w:val="fr-FR"/>
        </w:rPr>
        <w:t>Propositions de résolution: B8-0596/2017, B8-0597/2017</w:t>
      </w:r>
    </w:p>
    <w:tbl>
      <w:tblPr>
        <w:tblW w:w="9071" w:type="dxa"/>
        <w:tblInd w:w="108" w:type="dxa"/>
        <w:tblLayout w:type="fixed"/>
        <w:tblCellMar>
          <w:left w:w="10" w:type="dxa"/>
          <w:right w:w="10" w:type="dxa"/>
        </w:tblCellMar>
        <w:tblLook w:val="04A0" w:firstRow="1" w:lastRow="0" w:firstColumn="1" w:lastColumn="0" w:noHBand="0" w:noVBand="1"/>
      </w:tblPr>
      <w:tblGrid>
        <w:gridCol w:w="2250"/>
        <w:gridCol w:w="7"/>
        <w:gridCol w:w="908"/>
        <w:gridCol w:w="1518"/>
        <w:gridCol w:w="982"/>
        <w:gridCol w:w="1419"/>
        <w:gridCol w:w="1987"/>
      </w:tblGrid>
      <w:tr w:rsidR="00853DCF" w:rsidRPr="008026B0" w:rsidTr="006935A3">
        <w:trPr>
          <w:cantSplit/>
          <w:tblHeader/>
        </w:trPr>
        <w:tc>
          <w:tcPr>
            <w:tcW w:w="2257"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Am n°</w:t>
            </w:r>
          </w:p>
        </w:tc>
        <w:tc>
          <w:tcPr>
            <w:tcW w:w="151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Auteur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rsidRPr="008026B0" w:rsidTr="006935A3">
        <w:trPr>
          <w:cantSplit/>
        </w:trPr>
        <w:tc>
          <w:tcPr>
            <w:tcW w:w="90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Proposition de résolution B8-0596/2017</w:t>
            </w:r>
            <w:r w:rsidRPr="006935A3">
              <w:rPr>
                <w:lang w:val="fr-FR"/>
              </w:rPr>
              <w:br/>
              <w:t>(S&amp;D)</w:t>
            </w:r>
          </w:p>
        </w:tc>
      </w:tr>
      <w:tr w:rsidR="00853DCF" w:rsidTr="006935A3">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proofErr w:type="gramStart"/>
            <w:r w:rsidRPr="006935A3">
              <w:rPr>
                <w:lang w:val="fr-FR"/>
              </w:rPr>
              <w:t>vote:</w:t>
            </w:r>
            <w:proofErr w:type="gramEnd"/>
            <w:r w:rsidRPr="006935A3">
              <w:rPr>
                <w:lang w:val="fr-FR"/>
              </w:rPr>
              <w:t xml:space="preserve"> résolution (ensemble du texte)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853DCF">
            <w:pPr>
              <w:pStyle w:val="VOTINGTABLECELLAN"/>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RPr="008026B0" w:rsidTr="006935A3">
        <w:trPr>
          <w:cantSplit/>
        </w:trPr>
        <w:tc>
          <w:tcPr>
            <w:tcW w:w="90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Proposition de résolution B8-0597/2017</w:t>
            </w:r>
            <w:r w:rsidRPr="006935A3">
              <w:rPr>
                <w:lang w:val="fr-FR"/>
              </w:rPr>
              <w:br/>
              <w:t>(PPE, ECR, ALDE, GUE/NGL, Verts/ALE)</w:t>
            </w:r>
          </w:p>
        </w:tc>
      </w:tr>
      <w:tr w:rsidR="00853DCF" w:rsidTr="006935A3">
        <w:trPr>
          <w:cantSplit/>
        </w:trPr>
        <w:tc>
          <w:tcPr>
            <w:tcW w:w="225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2</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296, 354, 29</w:t>
            </w:r>
          </w:p>
        </w:tc>
      </w:tr>
      <w:tr w:rsidR="00853DCF" w:rsidTr="006935A3">
        <w:trPr>
          <w:cantSplit/>
        </w:trPr>
        <w:tc>
          <w:tcPr>
            <w:tcW w:w="225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5</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8</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506, 147, 29</w:t>
            </w: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11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9</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199, 449, 26</w:t>
            </w: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13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4</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Visa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6935A3" w:rsidTr="006935A3">
        <w:trPr>
          <w:cantSplit/>
        </w:trPr>
        <w:tc>
          <w:tcPr>
            <w:tcW w:w="22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935A3" w:rsidRPr="002F6652" w:rsidRDefault="002F6652" w:rsidP="002F6652">
            <w:pPr>
              <w:pStyle w:val="VOTINGTABLECELLOBJECT"/>
              <w:rPr>
                <w:lang w:val="fr-FR"/>
              </w:rPr>
            </w:pPr>
            <w:r w:rsidRPr="002F6652">
              <w:rPr>
                <w:lang w:val="fr-FR"/>
              </w:rPr>
              <w:t>Amendement oral au c</w:t>
            </w:r>
            <w:r w:rsidR="006935A3" w:rsidRPr="002F6652">
              <w:rPr>
                <w:lang w:val="fr-FR"/>
              </w:rPr>
              <w:t>onsidérant B</w:t>
            </w:r>
          </w:p>
        </w:tc>
        <w:tc>
          <w:tcPr>
            <w:tcW w:w="915" w:type="dxa"/>
            <w:gridSpan w:val="2"/>
            <w:tcBorders>
              <w:top w:val="single" w:sz="4" w:space="0" w:color="000000"/>
              <w:left w:val="single" w:sz="4" w:space="0" w:color="000000"/>
              <w:bottom w:val="single" w:sz="4" w:space="0" w:color="000000"/>
              <w:right w:val="single" w:sz="4" w:space="0" w:color="auto"/>
            </w:tcBorders>
          </w:tcPr>
          <w:p w:rsidR="006935A3" w:rsidRPr="002F6652" w:rsidRDefault="006935A3" w:rsidP="006935A3">
            <w:pPr>
              <w:pStyle w:val="VOTINGTABLECELLOBJECT"/>
              <w:rPr>
                <w:lang w:val="fr-FR"/>
              </w:rPr>
            </w:pPr>
          </w:p>
        </w:tc>
        <w:tc>
          <w:tcPr>
            <w:tcW w:w="1518" w:type="dxa"/>
            <w:tcBorders>
              <w:top w:val="single" w:sz="4" w:space="0" w:color="000000"/>
              <w:left w:val="single" w:sz="4" w:space="0" w:color="auto"/>
              <w:bottom w:val="single" w:sz="4" w:space="0" w:color="000000"/>
              <w:right w:val="single" w:sz="4" w:space="0" w:color="000000"/>
            </w:tcBorders>
          </w:tcPr>
          <w:p w:rsidR="006935A3" w:rsidRPr="008026B0" w:rsidRDefault="006935A3" w:rsidP="006935A3">
            <w:pPr>
              <w:pStyle w:val="VOTINGTABLECELLOBJECT"/>
              <w:rPr>
                <w:lang w:val="fr-FR"/>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5A3" w:rsidRPr="008026B0" w:rsidRDefault="006935A3" w:rsidP="00B93847">
            <w:pPr>
              <w:pStyle w:val="VOTINGTABLECELLOBJECT"/>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5A3" w:rsidRDefault="006935A3">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5A3" w:rsidRDefault="006935A3">
            <w:pPr>
              <w:pStyle w:val="VOTINGTABLECELLREMARK"/>
            </w:pP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3DCF" w:rsidRDefault="00E81918">
            <w:pPr>
              <w:pStyle w:val="VOTINGTABLECELLSIMPLEOBJECT"/>
            </w:pPr>
            <w:r>
              <w:t xml:space="preserve">Après le </w:t>
            </w:r>
            <w:proofErr w:type="spellStart"/>
            <w:r>
              <w:t>considérant</w:t>
            </w:r>
            <w:proofErr w:type="spellEnd"/>
            <w:r>
              <w:t xml:space="preserve"> P</w:t>
            </w:r>
          </w:p>
        </w:tc>
        <w:tc>
          <w:tcPr>
            <w:tcW w:w="9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853DCF" w:rsidRDefault="00E81918">
            <w:pPr>
              <w:pStyle w:val="VOTINGTABLECELLAN"/>
            </w:pPr>
            <w:r>
              <w:t>5</w:t>
            </w:r>
          </w:p>
        </w:tc>
        <w:tc>
          <w:tcPr>
            <w:tcW w:w="15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498, 133, 53</w:t>
            </w:r>
          </w:p>
        </w:tc>
      </w:tr>
      <w:tr w:rsidR="00853DCF" w:rsidTr="006935A3">
        <w:trPr>
          <w:cantSplit/>
        </w:trPr>
        <w:tc>
          <w:tcPr>
            <w:tcW w:w="225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xml:space="preserve">Après le </w:t>
            </w:r>
            <w:proofErr w:type="spellStart"/>
            <w:r>
              <w:t>considérant</w:t>
            </w:r>
            <w:proofErr w:type="spellEnd"/>
            <w:r>
              <w:t xml:space="preserve"> U</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6</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291, 373, 18</w:t>
            </w: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7</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Verts</w:t>
            </w:r>
            <w:proofErr w:type="spellEnd"/>
            <w: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190, 446, 47</w:t>
            </w:r>
          </w:p>
        </w:tc>
      </w:tr>
      <w:tr w:rsidR="00853DCF" w:rsidTr="006935A3">
        <w:trPr>
          <w:cantSplit/>
        </w:trPr>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proofErr w:type="spellStart"/>
            <w:r>
              <w:t>Considérant</w:t>
            </w:r>
            <w:proofErr w:type="spellEnd"/>
            <w:r>
              <w:t xml:space="preserve"> X</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proofErr w:type="spellStart"/>
            <w:r>
              <w:t>Considérant</w:t>
            </w:r>
            <w:proofErr w:type="spellEnd"/>
            <w:r>
              <w:t xml:space="preserve"> Z</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638, 22, 19</w:t>
            </w:r>
          </w:p>
        </w:tc>
      </w:tr>
      <w:tr w:rsidR="00853DCF" w:rsidTr="006935A3">
        <w:trPr>
          <w:cantSplit/>
        </w:trPr>
        <w:tc>
          <w:tcPr>
            <w:tcW w:w="225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381, 266, 28</w:t>
            </w:r>
          </w:p>
        </w:tc>
      </w:tr>
      <w:tr w:rsidR="00853DCF" w:rsidTr="006935A3">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vote: résolution (ensemble du texte)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466, 49, 167</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 par appel nominal</w:t>
            </w:r>
          </w:p>
        </w:tc>
      </w:tr>
      <w:tr w:rsidR="00853DCF" w:rsidRPr="008026B0">
        <w:tc>
          <w:tcPr>
            <w:tcW w:w="1570" w:type="dxa"/>
            <w:tcMar>
              <w:top w:w="0" w:type="dxa"/>
              <w:left w:w="0" w:type="dxa"/>
              <w:bottom w:w="0" w:type="dxa"/>
              <w:right w:w="0" w:type="dxa"/>
            </w:tcMar>
          </w:tcPr>
          <w:p w:rsidR="00853DCF" w:rsidRDefault="00E81918">
            <w:pPr>
              <w:pStyle w:val="REMARKTABLECELLSIMPLE"/>
            </w:pPr>
            <w:proofErr w:type="spellStart"/>
            <w:r>
              <w:t>Verts</w:t>
            </w:r>
            <w:proofErr w:type="spellEnd"/>
            <w:r>
              <w:t>/ALE:</w:t>
            </w:r>
          </w:p>
        </w:tc>
        <w:tc>
          <w:tcPr>
            <w:tcW w:w="7495" w:type="dxa"/>
            <w:tcMar>
              <w:top w:w="0" w:type="dxa"/>
              <w:left w:w="0" w:type="dxa"/>
              <w:bottom w:w="0" w:type="dxa"/>
              <w:right w:w="0" w:type="dxa"/>
            </w:tcMar>
          </w:tcPr>
          <w:p w:rsidR="00853DCF" w:rsidRPr="006935A3" w:rsidRDefault="002F6652" w:rsidP="002F6652">
            <w:pPr>
              <w:pStyle w:val="REMARKTABLECELLSIMPLE"/>
              <w:rPr>
                <w:lang w:val="fr-FR"/>
              </w:rPr>
            </w:pPr>
            <w:r>
              <w:rPr>
                <w:lang w:val="fr-FR"/>
              </w:rPr>
              <w:t>c</w:t>
            </w:r>
            <w:r w:rsidR="00E81918" w:rsidRPr="006935A3">
              <w:rPr>
                <w:lang w:val="fr-FR"/>
              </w:rPr>
              <w:t>onsidérant Z, am</w:t>
            </w:r>
            <w:r>
              <w:rPr>
                <w:lang w:val="fr-FR"/>
              </w:rPr>
              <w:t>endements</w:t>
            </w:r>
            <w:r w:rsidR="00E81918" w:rsidRPr="006935A3">
              <w:rPr>
                <w:lang w:val="fr-FR"/>
              </w:rPr>
              <w:t xml:space="preserve"> 5, 6, 7, 8, 9, vote final (B8-0597/2017)</w:t>
            </w:r>
          </w:p>
        </w:tc>
      </w:tr>
      <w:tr w:rsidR="00853DCF">
        <w:tc>
          <w:tcPr>
            <w:tcW w:w="1570" w:type="dxa"/>
            <w:tcMar>
              <w:top w:w="0" w:type="dxa"/>
              <w:left w:w="0" w:type="dxa"/>
              <w:bottom w:w="0" w:type="dxa"/>
              <w:right w:w="0" w:type="dxa"/>
            </w:tcMar>
          </w:tcPr>
          <w:p w:rsidR="00853DCF" w:rsidRDefault="00E81918">
            <w:pPr>
              <w:pStyle w:val="REMARKTABLECELLSIMPLE"/>
            </w:pPr>
            <w:r>
              <w:lastRenderedPageBreak/>
              <w:t>GUE/NGL:</w:t>
            </w:r>
          </w:p>
        </w:tc>
        <w:tc>
          <w:tcPr>
            <w:tcW w:w="7495" w:type="dxa"/>
            <w:tcMar>
              <w:top w:w="0" w:type="dxa"/>
              <w:left w:w="0" w:type="dxa"/>
              <w:bottom w:w="0" w:type="dxa"/>
              <w:right w:w="0" w:type="dxa"/>
            </w:tcMar>
          </w:tcPr>
          <w:p w:rsidR="00853DCF" w:rsidRDefault="00E81918">
            <w:pPr>
              <w:pStyle w:val="REMARKTABLECELLSIMPLE"/>
            </w:pPr>
            <w:proofErr w:type="spellStart"/>
            <w:r>
              <w:t>amendement</w:t>
            </w:r>
            <w:proofErr w:type="spellEnd"/>
            <w:r>
              <w:t xml:space="preserve"> 2</w:t>
            </w:r>
          </w:p>
        </w:tc>
      </w:tr>
      <w:tr w:rsidR="00853DCF">
        <w:tc>
          <w:tcPr>
            <w:tcW w:w="1570" w:type="dxa"/>
            <w:tcMar>
              <w:top w:w="0" w:type="dxa"/>
              <w:left w:w="0" w:type="dxa"/>
              <w:bottom w:w="0" w:type="dxa"/>
              <w:right w:w="0" w:type="dxa"/>
            </w:tcMar>
          </w:tcPr>
          <w:p w:rsidR="00853DCF" w:rsidRDefault="00E81918">
            <w:pPr>
              <w:pStyle w:val="REMARKTABLECELLSIMPLE"/>
            </w:pPr>
            <w:r>
              <w:t>PPE:</w:t>
            </w:r>
          </w:p>
        </w:tc>
        <w:tc>
          <w:tcPr>
            <w:tcW w:w="7495" w:type="dxa"/>
            <w:tcMar>
              <w:top w:w="0" w:type="dxa"/>
              <w:left w:w="0" w:type="dxa"/>
              <w:bottom w:w="0" w:type="dxa"/>
              <w:right w:w="0" w:type="dxa"/>
            </w:tcMar>
          </w:tcPr>
          <w:p w:rsidR="00853DCF" w:rsidRDefault="00E81918">
            <w:pPr>
              <w:pStyle w:val="REMARKTABLECELLSIMPLE"/>
            </w:pPr>
            <w:r>
              <w:t>vote final (B8-0597/2017)</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trPr>
          <w:cantSplit/>
        </w:trPr>
        <w:tc>
          <w:tcPr>
            <w:tcW w:w="9065" w:type="dxa"/>
            <w:gridSpan w:val="2"/>
            <w:tcMar>
              <w:top w:w="0" w:type="dxa"/>
              <w:left w:w="0" w:type="dxa"/>
              <w:bottom w:w="0" w:type="dxa"/>
              <w:right w:w="0" w:type="dxa"/>
            </w:tcMar>
          </w:tcPr>
          <w:p w:rsidR="00853DCF" w:rsidRDefault="00E81918">
            <w:pPr>
              <w:pStyle w:val="REMARKTABLECELLTITLE"/>
            </w:pPr>
            <w:proofErr w:type="spellStart"/>
            <w:r>
              <w:t>Demandes</w:t>
            </w:r>
            <w:proofErr w:type="spellEnd"/>
            <w:r>
              <w:t xml:space="preserve"> de vote </w:t>
            </w:r>
            <w:proofErr w:type="spellStart"/>
            <w:r>
              <w:t>séparé</w:t>
            </w:r>
            <w:proofErr w:type="spellEnd"/>
          </w:p>
        </w:tc>
      </w:tr>
      <w:tr w:rsidR="00853DCF">
        <w:tc>
          <w:tcPr>
            <w:tcW w:w="1570" w:type="dxa"/>
            <w:tcMar>
              <w:top w:w="0" w:type="dxa"/>
              <w:left w:w="0" w:type="dxa"/>
              <w:bottom w:w="0" w:type="dxa"/>
              <w:right w:w="0" w:type="dxa"/>
            </w:tcMar>
          </w:tcPr>
          <w:p w:rsidR="00853DCF" w:rsidRDefault="00E81918">
            <w:pPr>
              <w:pStyle w:val="REMARKTABLECELLSIMPLE"/>
            </w:pPr>
            <w:r>
              <w:t>ECR:</w:t>
            </w:r>
          </w:p>
        </w:tc>
        <w:tc>
          <w:tcPr>
            <w:tcW w:w="7495" w:type="dxa"/>
            <w:tcMar>
              <w:top w:w="0" w:type="dxa"/>
              <w:left w:w="0" w:type="dxa"/>
              <w:bottom w:w="0" w:type="dxa"/>
              <w:right w:w="0" w:type="dxa"/>
            </w:tcMar>
          </w:tcPr>
          <w:p w:rsidR="00853DCF" w:rsidRDefault="00E81918">
            <w:pPr>
              <w:pStyle w:val="REMARKTABLECELLSIMPLE"/>
            </w:pPr>
            <w:r>
              <w:t xml:space="preserve">§ 12, visa 10, </w:t>
            </w:r>
            <w:proofErr w:type="spellStart"/>
            <w:r>
              <w:t>considérant</w:t>
            </w:r>
            <w:proofErr w:type="spellEnd"/>
            <w:r>
              <w:t xml:space="preserve"> X</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votes par division</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S&amp;D:</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5</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Ensemble du texte à l'exclusion des termes: "ces dernières années "</w:t>
            </w:r>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proofErr w:type="spellStart"/>
            <w:r>
              <w:t>ces</w:t>
            </w:r>
            <w:proofErr w:type="spellEnd"/>
            <w:r>
              <w:t xml:space="preserve"> </w:t>
            </w:r>
            <w:proofErr w:type="spellStart"/>
            <w:r>
              <w:t>termes</w:t>
            </w:r>
            <w:proofErr w:type="spellEnd"/>
          </w:p>
        </w:tc>
      </w:tr>
      <w:tr w:rsidR="00853DCF">
        <w:tc>
          <w:tcPr>
            <w:tcW w:w="9065" w:type="dxa"/>
            <w:gridSpan w:val="2"/>
            <w:tcMar>
              <w:top w:w="0" w:type="dxa"/>
              <w:left w:w="0" w:type="dxa"/>
              <w:bottom w:w="0" w:type="dxa"/>
              <w:right w:w="0" w:type="dxa"/>
            </w:tcMar>
          </w:tcPr>
          <w:p w:rsidR="00853DCF" w:rsidRDefault="00853DCF">
            <w:pPr>
              <w:pStyle w:val="REMARKTABLECELLSIMPLE"/>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Verts</w:t>
            </w:r>
            <w:proofErr w:type="spellEnd"/>
            <w:r>
              <w:t>/ALE:</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considérant</w:t>
            </w:r>
            <w:proofErr w:type="spellEnd"/>
            <w:r>
              <w:t xml:space="preserve"> Z</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"considérant que le rapport publié par le groupe des renseignements financiers d’Europol intitulé «</w:t>
            </w:r>
            <w:proofErr w:type="spellStart"/>
            <w:r w:rsidRPr="006935A3">
              <w:rPr>
                <w:lang w:val="fr-FR"/>
              </w:rPr>
              <w:t>From</w:t>
            </w:r>
            <w:proofErr w:type="spellEnd"/>
            <w:r w:rsidRPr="006935A3">
              <w:rPr>
                <w:lang w:val="fr-FR"/>
              </w:rPr>
              <w:t xml:space="preserve"> suspicion to action – </w:t>
            </w:r>
            <w:proofErr w:type="spellStart"/>
            <w:r w:rsidRPr="006935A3">
              <w:rPr>
                <w:lang w:val="fr-FR"/>
              </w:rPr>
              <w:t>converting</w:t>
            </w:r>
            <w:proofErr w:type="spellEnd"/>
            <w:r w:rsidRPr="006935A3">
              <w:rPr>
                <w:lang w:val="fr-FR"/>
              </w:rPr>
              <w:t xml:space="preserve"> </w:t>
            </w:r>
            <w:proofErr w:type="spellStart"/>
            <w:r w:rsidRPr="006935A3">
              <w:rPr>
                <w:lang w:val="fr-FR"/>
              </w:rPr>
              <w:t>financial</w:t>
            </w:r>
            <w:proofErr w:type="spellEnd"/>
            <w:r w:rsidRPr="006935A3">
              <w:rPr>
                <w:lang w:val="fr-FR"/>
              </w:rPr>
              <w:t xml:space="preserve"> intelligence </w:t>
            </w:r>
            <w:proofErr w:type="spellStart"/>
            <w:r w:rsidRPr="006935A3">
              <w:rPr>
                <w:lang w:val="fr-FR"/>
              </w:rPr>
              <w:t>into</w:t>
            </w:r>
            <w:proofErr w:type="spellEnd"/>
            <w:r w:rsidRPr="006935A3">
              <w:rPr>
                <w:lang w:val="fr-FR"/>
              </w:rPr>
              <w:t xml:space="preserve"> </w:t>
            </w:r>
            <w:proofErr w:type="spellStart"/>
            <w:r w:rsidRPr="006935A3">
              <w:rPr>
                <w:lang w:val="fr-FR"/>
              </w:rPr>
              <w:t>greater</w:t>
            </w:r>
            <w:proofErr w:type="spellEnd"/>
            <w:r w:rsidRPr="006935A3">
              <w:rPr>
                <w:lang w:val="fr-FR"/>
              </w:rPr>
              <w:t xml:space="preserve"> </w:t>
            </w:r>
            <w:proofErr w:type="spellStart"/>
            <w:r w:rsidRPr="006935A3">
              <w:rPr>
                <w:lang w:val="fr-FR"/>
              </w:rPr>
              <w:t>operational</w:t>
            </w:r>
            <w:proofErr w:type="spellEnd"/>
            <w:r w:rsidRPr="006935A3">
              <w:rPr>
                <w:lang w:val="fr-FR"/>
              </w:rPr>
              <w:t xml:space="preserve"> impact» [Du soupçon à l’action - Exploiter le renseignement financier pour une meilleure efficacité opérationnelle] souligne que certains acteurs, dont des organisations criminelles, abusent de certains aspects des secteurs de l’économie maltaise liés à l’internet pour blanchir les produits du crime"</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"qu’il convient toutefois de ne pas généraliser ce constat à l’ensemble de ces secteurs"</w:t>
            </w:r>
          </w:p>
        </w:tc>
      </w:tr>
      <w:tr w:rsidR="00853DCF" w:rsidRPr="008026B0">
        <w:tc>
          <w:tcPr>
            <w:tcW w:w="9065" w:type="dxa"/>
            <w:gridSpan w:val="2"/>
            <w:tcMar>
              <w:top w:w="0" w:type="dxa"/>
              <w:left w:w="0" w:type="dxa"/>
              <w:bottom w:w="0" w:type="dxa"/>
              <w:right w:w="0" w:type="dxa"/>
            </w:tcMar>
          </w:tcPr>
          <w:p w:rsidR="00853DCF" w:rsidRPr="006935A3" w:rsidRDefault="00853DCF">
            <w:pPr>
              <w:pStyle w:val="REMARKTABLECELLSIMPLE"/>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ECR:</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6</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"demande à la Commission de nouer le dialogue avec le gouvernement maltais en ce qui concerne le respect de l’état de droit à Malte et de veiller au respect des valeurs européennes; invite la Commission à tenir le Parlement pleinement informé de son évaluation; réaffirme la nécessité d’un suivi et d’un dialogue réguliers associant tous les États membres afin de sauvegarder les valeurs fondamentales de l’Union que sont la démocratie, les droits fondamentaux et l’état de droit avec la participation du Conseil, de la Commission et du Parlement"</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"ainsi que le préconise sa résolution du 25 octobre 2016 sur la création d’un mécanisme de l’Union pour la démocratie, l’état de droit et les droits fondamentaux"</w:t>
            </w:r>
          </w:p>
        </w:tc>
      </w:tr>
      <w:tr w:rsidR="00853DCF" w:rsidRPr="008026B0">
        <w:tc>
          <w:tcPr>
            <w:tcW w:w="9065" w:type="dxa"/>
            <w:gridSpan w:val="2"/>
            <w:tcMar>
              <w:top w:w="0" w:type="dxa"/>
              <w:left w:w="0" w:type="dxa"/>
              <w:bottom w:w="0" w:type="dxa"/>
              <w:right w:w="0" w:type="dxa"/>
            </w:tcMar>
          </w:tcPr>
          <w:p w:rsidR="00853DCF" w:rsidRPr="006935A3" w:rsidRDefault="00853DCF">
            <w:pPr>
              <w:pStyle w:val="REMARKTABLECELLSIMPLE"/>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GUE/NGL:</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2</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"demande qu’une enquête indépendante internationale soit menée sur l’assassinat de </w:t>
            </w:r>
            <w:proofErr w:type="spellStart"/>
            <w:r w:rsidRPr="006935A3">
              <w:rPr>
                <w:lang w:val="fr-FR"/>
              </w:rPr>
              <w:t>Daphne</w:t>
            </w:r>
            <w:proofErr w:type="spellEnd"/>
            <w:r w:rsidRPr="006935A3">
              <w:rPr>
                <w:lang w:val="fr-FR"/>
              </w:rPr>
              <w:t xml:space="preserve"> </w:t>
            </w:r>
            <w:proofErr w:type="spellStart"/>
            <w:r w:rsidRPr="006935A3">
              <w:rPr>
                <w:lang w:val="fr-FR"/>
              </w:rPr>
              <w:t>Caruana</w:t>
            </w:r>
            <w:proofErr w:type="spellEnd"/>
            <w:r w:rsidRPr="006935A3">
              <w:rPr>
                <w:lang w:val="fr-FR"/>
              </w:rPr>
              <w:t xml:space="preserve"> </w:t>
            </w:r>
            <w:proofErr w:type="spellStart"/>
            <w:r w:rsidRPr="006935A3">
              <w:rPr>
                <w:lang w:val="fr-FR"/>
              </w:rPr>
              <w:t>Galizia</w:t>
            </w:r>
            <w:proofErr w:type="spellEnd"/>
            <w:r w:rsidRPr="006935A3">
              <w:rPr>
                <w:lang w:val="fr-FR"/>
              </w:rPr>
              <w:t>"</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"prend acte, à cet égard, des démarches entreprises par les autorités maltaises pour inviter des organes internationaux des forces de l’ordre, tels que le </w:t>
            </w:r>
            <w:proofErr w:type="spellStart"/>
            <w:r w:rsidRPr="006935A3">
              <w:rPr>
                <w:lang w:val="fr-FR"/>
              </w:rPr>
              <w:t>Federal</w:t>
            </w:r>
            <w:proofErr w:type="spellEnd"/>
            <w:r w:rsidRPr="006935A3">
              <w:rPr>
                <w:lang w:val="fr-FR"/>
              </w:rPr>
              <w:t xml:space="preserve"> Bureau of Investigation (FBI) des États-Unis, ainsi que des spécialistes néerlandais de la médecine légale à participer; demande qu’Europol participe pleinement à l’enquête tout au long de celle-ci"</w:t>
            </w:r>
          </w:p>
        </w:tc>
      </w:tr>
    </w:tbl>
    <w:p w:rsidR="00853DCF" w:rsidRPr="006935A3" w:rsidRDefault="00853DCF">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853DCF">
        <w:trPr>
          <w:cantSplit/>
        </w:trPr>
        <w:tc>
          <w:tcPr>
            <w:tcW w:w="9065" w:type="dxa"/>
            <w:gridSpan w:val="2"/>
            <w:tcMar>
              <w:top w:w="0" w:type="dxa"/>
              <w:left w:w="0" w:type="dxa"/>
              <w:bottom w:w="0" w:type="dxa"/>
              <w:right w:w="0" w:type="dxa"/>
            </w:tcMar>
          </w:tcPr>
          <w:p w:rsidR="00853DCF" w:rsidRDefault="00E81918">
            <w:pPr>
              <w:pStyle w:val="REMARKTABLECELLTITLE"/>
            </w:pPr>
            <w:r>
              <w:t>Divers</w:t>
            </w:r>
          </w:p>
        </w:tc>
      </w:tr>
      <w:tr w:rsidR="00853DCF" w:rsidRPr="008026B0" w:rsidTr="006935A3">
        <w:trPr>
          <w:gridAfter w:val="1"/>
          <w:wAfter w:w="346" w:type="dxa"/>
          <w:cantSplit/>
        </w:trPr>
        <w:tc>
          <w:tcPr>
            <w:tcW w:w="8719" w:type="dxa"/>
            <w:tcMar>
              <w:top w:w="0" w:type="dxa"/>
              <w:left w:w="0" w:type="dxa"/>
              <w:bottom w:w="0" w:type="dxa"/>
              <w:right w:w="0" w:type="dxa"/>
            </w:tcMar>
          </w:tcPr>
          <w:p w:rsidR="00853DCF" w:rsidRPr="006935A3" w:rsidRDefault="00E81918">
            <w:pPr>
              <w:pStyle w:val="REMARKTABLECELLSIMPLE"/>
              <w:rPr>
                <w:lang w:val="fr-FR"/>
              </w:rPr>
            </w:pPr>
            <w:proofErr w:type="spellStart"/>
            <w:r w:rsidRPr="006935A3">
              <w:rPr>
                <w:lang w:val="fr-FR"/>
              </w:rPr>
              <w:t>Molly</w:t>
            </w:r>
            <w:proofErr w:type="spellEnd"/>
            <w:r w:rsidRPr="006935A3">
              <w:rPr>
                <w:lang w:val="fr-FR"/>
              </w:rPr>
              <w:t xml:space="preserve"> Scott </w:t>
            </w:r>
            <w:proofErr w:type="spellStart"/>
            <w:r w:rsidRPr="006935A3">
              <w:rPr>
                <w:lang w:val="fr-FR"/>
              </w:rPr>
              <w:t>Cato</w:t>
            </w:r>
            <w:proofErr w:type="spellEnd"/>
            <w:r w:rsidRPr="006935A3">
              <w:rPr>
                <w:lang w:val="fr-FR"/>
              </w:rPr>
              <w:t xml:space="preserve"> et Ernest </w:t>
            </w:r>
            <w:proofErr w:type="spellStart"/>
            <w:r w:rsidRPr="006935A3">
              <w:rPr>
                <w:lang w:val="fr-FR"/>
              </w:rPr>
              <w:t>Urtasun</w:t>
            </w:r>
            <w:proofErr w:type="spellEnd"/>
            <w:r w:rsidRPr="006935A3">
              <w:rPr>
                <w:lang w:val="fr-FR"/>
              </w:rPr>
              <w:t xml:space="preserve"> (groupe Verts/ALE) sont également signataires de la proposit</w:t>
            </w:r>
            <w:r w:rsidR="006935A3">
              <w:rPr>
                <w:lang w:val="fr-FR"/>
              </w:rPr>
              <w:t>ion de résolution B8-0597/2017.</w:t>
            </w:r>
          </w:p>
        </w:tc>
      </w:tr>
      <w:tr w:rsidR="00853DCF" w:rsidRPr="008026B0" w:rsidTr="006935A3">
        <w:trPr>
          <w:gridAfter w:val="1"/>
          <w:wAfter w:w="346" w:type="dxa"/>
          <w:cantSplit/>
        </w:trPr>
        <w:tc>
          <w:tcPr>
            <w:tcW w:w="8719" w:type="dxa"/>
            <w:tcMar>
              <w:top w:w="0" w:type="dxa"/>
              <w:left w:w="0" w:type="dxa"/>
              <w:bottom w:w="0" w:type="dxa"/>
              <w:right w:w="0" w:type="dxa"/>
            </w:tcMar>
          </w:tcPr>
          <w:p w:rsidR="00853DCF" w:rsidRPr="006935A3" w:rsidRDefault="00853DCF">
            <w:pPr>
              <w:pStyle w:val="REMARKTABLECELLSIMPLE"/>
              <w:rPr>
                <w:lang w:val="fr-FR"/>
              </w:rPr>
            </w:pPr>
          </w:p>
        </w:tc>
      </w:tr>
    </w:tbl>
    <w:p w:rsidR="00853DCF" w:rsidRPr="006935A3" w:rsidRDefault="00853DCF">
      <w:pPr>
        <w:pStyle w:val="STYTAB"/>
        <w:rPr>
          <w:lang w:val="fr-FR"/>
        </w:rPr>
      </w:pPr>
    </w:p>
    <w:p w:rsidR="002F6652" w:rsidRDefault="002F6652">
      <w:pPr>
        <w:rPr>
          <w:rFonts w:eastAsia="Times New Roman" w:cs="Times New Roman"/>
          <w:sz w:val="18"/>
          <w:szCs w:val="20"/>
          <w:lang w:val="fr-FR" w:bidi="ar-SA"/>
        </w:rPr>
      </w:pPr>
      <w:r>
        <w:rPr>
          <w:lang w:val="fr-FR"/>
        </w:rPr>
        <w:br w:type="page"/>
      </w:r>
    </w:p>
    <w:p w:rsidR="00853DCF" w:rsidRPr="006935A3" w:rsidRDefault="00853DCF">
      <w:pPr>
        <w:pStyle w:val="STYTAB"/>
        <w:rPr>
          <w:lang w:val="fr-FR"/>
        </w:rPr>
      </w:pPr>
    </w:p>
    <w:p w:rsidR="00853DCF" w:rsidRPr="006935A3" w:rsidRDefault="00E81918">
      <w:pPr>
        <w:pStyle w:val="VOTETITLE"/>
        <w:rPr>
          <w:lang w:val="fr-FR"/>
        </w:rPr>
      </w:pPr>
      <w:r w:rsidRPr="006935A3">
        <w:rPr>
          <w:lang w:val="fr-FR"/>
        </w:rPr>
        <w:t>Négociations multilatérales en vue de la onzième conférence ministérielle de l’OMC</w:t>
      </w:r>
    </w:p>
    <w:p w:rsidR="00853DCF" w:rsidRDefault="00E81918">
      <w:pPr>
        <w:pStyle w:val="VOTEREPORTTITLE"/>
      </w:pPr>
      <w:r>
        <w:t xml:space="preserve">Proposition de </w:t>
      </w:r>
      <w:proofErr w:type="spellStart"/>
      <w:r>
        <w:t>résolution</w:t>
      </w:r>
      <w:proofErr w:type="spellEnd"/>
      <w:r>
        <w:t>: B8-0593/2017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53DCF" w:rsidRPr="008026B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Auteur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rsidRPr="008026B0">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Proposition de résolution B8-0593/2017</w:t>
            </w:r>
            <w:r w:rsidRPr="006935A3">
              <w:rPr>
                <w:lang w:val="fr-FR"/>
              </w:rPr>
              <w:br/>
              <w:t>(commission INTA)</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110, 553, 14</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107, 545, 26</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127, 532, 24</w:t>
            </w:r>
          </w:p>
        </w:tc>
      </w:tr>
      <w:tr w:rsidR="00853DC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vote: résolution (ensemble du texte)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510, 53, 112</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 par appel nominal</w:t>
            </w:r>
          </w:p>
        </w:tc>
      </w:tr>
      <w:tr w:rsidR="00853DCF">
        <w:tc>
          <w:tcPr>
            <w:tcW w:w="1570" w:type="dxa"/>
            <w:tcMar>
              <w:top w:w="0" w:type="dxa"/>
              <w:left w:w="0" w:type="dxa"/>
              <w:bottom w:w="0" w:type="dxa"/>
              <w:right w:w="0" w:type="dxa"/>
            </w:tcMar>
          </w:tcPr>
          <w:p w:rsidR="00853DCF" w:rsidRDefault="00E81918">
            <w:pPr>
              <w:pStyle w:val="REMARKTABLECELLSIMPLE"/>
            </w:pPr>
            <w:r>
              <w:t>PPE:</w:t>
            </w:r>
          </w:p>
        </w:tc>
        <w:tc>
          <w:tcPr>
            <w:tcW w:w="7495" w:type="dxa"/>
            <w:tcMar>
              <w:top w:w="0" w:type="dxa"/>
              <w:left w:w="0" w:type="dxa"/>
              <w:bottom w:w="0" w:type="dxa"/>
              <w:right w:w="0" w:type="dxa"/>
            </w:tcMar>
          </w:tcPr>
          <w:p w:rsidR="00853DCF" w:rsidRDefault="00E81918">
            <w:pPr>
              <w:pStyle w:val="REMARKTABLECELLSIMPLE"/>
            </w:pPr>
            <w:r>
              <w:t>vote final</w:t>
            </w:r>
          </w:p>
        </w:tc>
      </w:tr>
      <w:tr w:rsidR="00853DCF">
        <w:tc>
          <w:tcPr>
            <w:tcW w:w="1570" w:type="dxa"/>
            <w:tcMar>
              <w:top w:w="0" w:type="dxa"/>
              <w:left w:w="0" w:type="dxa"/>
              <w:bottom w:w="0" w:type="dxa"/>
              <w:right w:w="0" w:type="dxa"/>
            </w:tcMar>
          </w:tcPr>
          <w:p w:rsidR="00853DCF" w:rsidRDefault="00E81918">
            <w:pPr>
              <w:pStyle w:val="REMARKTABLECELLSIMPLE"/>
            </w:pPr>
            <w:r>
              <w:t>GUE/NGL:</w:t>
            </w:r>
          </w:p>
        </w:tc>
        <w:tc>
          <w:tcPr>
            <w:tcW w:w="7495" w:type="dxa"/>
            <w:tcMar>
              <w:top w:w="0" w:type="dxa"/>
              <w:left w:w="0" w:type="dxa"/>
              <w:bottom w:w="0" w:type="dxa"/>
              <w:right w:w="0" w:type="dxa"/>
            </w:tcMar>
          </w:tcPr>
          <w:p w:rsidR="00853DCF" w:rsidRDefault="00E81918">
            <w:pPr>
              <w:pStyle w:val="REMARKTABLECELLSIMPLE"/>
            </w:pPr>
            <w:proofErr w:type="spellStart"/>
            <w:r>
              <w:t>amendements</w:t>
            </w:r>
            <w:proofErr w:type="spellEnd"/>
            <w:r>
              <w:t xml:space="preserve"> 1, 2, 3</w:t>
            </w:r>
          </w:p>
        </w:tc>
      </w:tr>
    </w:tbl>
    <w:p w:rsidR="006935A3" w:rsidRDefault="006935A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votes par division</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Verts</w:t>
            </w:r>
            <w:proofErr w:type="spellEnd"/>
            <w:r>
              <w:t>/ALE:</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2</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"souligne qu’il convient de faire fond sur les résultats obtenus lors des neuvième et dixième conférences ministérielles en vue de réaliser et de garantir des progrès tangibles lors de la onzième conférence ministérielle, qui se tiendra à Buenos Aires en décembre 2017, en vue de préserver et de consolider l’architecture multilatérale du commerce"</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"précise néanmoins que les parties devraient poursuivre de nouveaux objectifs dans les domaines tels que le commerce numérique et la facilitation des investissements"</w:t>
            </w:r>
          </w:p>
        </w:tc>
      </w:tr>
      <w:tr w:rsidR="00853DCF" w:rsidRPr="008026B0">
        <w:trPr>
          <w:cantSplit/>
        </w:trPr>
        <w:tc>
          <w:tcPr>
            <w:tcW w:w="9065" w:type="dxa"/>
            <w:gridSpan w:val="2"/>
            <w:tcMar>
              <w:top w:w="0" w:type="dxa"/>
              <w:left w:w="0" w:type="dxa"/>
              <w:bottom w:w="0" w:type="dxa"/>
              <w:right w:w="0" w:type="dxa"/>
            </w:tcMar>
          </w:tcPr>
          <w:p w:rsidR="00853DCF" w:rsidRPr="006935A3" w:rsidRDefault="00853DCF">
            <w:pPr>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7</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Ensemble du texte à l'exclusion des termes: " la réglementation des services à l’échelon national, le commerce électronique"</w:t>
            </w:r>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proofErr w:type="spellStart"/>
            <w:r>
              <w:t>ces</w:t>
            </w:r>
            <w:proofErr w:type="spellEnd"/>
            <w:r>
              <w:t xml:space="preserve"> </w:t>
            </w:r>
            <w:proofErr w:type="spellStart"/>
            <w:r>
              <w:t>termes</w:t>
            </w:r>
            <w:proofErr w:type="spellEnd"/>
          </w:p>
        </w:tc>
      </w:tr>
    </w:tbl>
    <w:p w:rsidR="00853DCF" w:rsidRDefault="00853DCF">
      <w:pPr>
        <w:pStyle w:val="STYTAB"/>
      </w:pPr>
    </w:p>
    <w:p w:rsidR="00853DCF" w:rsidRDefault="00853DCF">
      <w:pPr>
        <w:pStyle w:val="STYTAB"/>
      </w:pPr>
    </w:p>
    <w:p w:rsidR="00853DCF" w:rsidRPr="006935A3" w:rsidRDefault="00E81918">
      <w:pPr>
        <w:pStyle w:val="VOTETITLE"/>
        <w:rPr>
          <w:lang w:val="fr-FR"/>
        </w:rPr>
      </w:pPr>
      <w:r w:rsidRPr="006935A3">
        <w:rPr>
          <w:lang w:val="fr-FR"/>
        </w:rPr>
        <w:lastRenderedPageBreak/>
        <w:t>Partenariat oriental: sommet de novembre 2017</w:t>
      </w:r>
    </w:p>
    <w:p w:rsidR="00853DCF" w:rsidRPr="006935A3" w:rsidRDefault="00E81918">
      <w:pPr>
        <w:pStyle w:val="VOTEREPORTTITLE"/>
        <w:rPr>
          <w:lang w:val="fr-FR"/>
        </w:rPr>
      </w:pPr>
      <w:r w:rsidRPr="006935A3">
        <w:rPr>
          <w:lang w:val="fr-FR"/>
        </w:rPr>
        <w:t xml:space="preserve">Rapport: </w:t>
      </w:r>
      <w:proofErr w:type="spellStart"/>
      <w:r w:rsidRPr="006935A3">
        <w:rPr>
          <w:lang w:val="fr-FR"/>
        </w:rPr>
        <w:t>Laima</w:t>
      </w:r>
      <w:proofErr w:type="spellEnd"/>
      <w:r w:rsidRPr="006935A3">
        <w:rPr>
          <w:lang w:val="fr-FR"/>
        </w:rPr>
        <w:t xml:space="preserve"> </w:t>
      </w:r>
      <w:proofErr w:type="spellStart"/>
      <w:r w:rsidRPr="006935A3">
        <w:rPr>
          <w:lang w:val="fr-FR"/>
        </w:rPr>
        <w:t>Liucija</w:t>
      </w:r>
      <w:proofErr w:type="spellEnd"/>
      <w:r w:rsidRPr="006935A3">
        <w:rPr>
          <w:lang w:val="fr-FR"/>
        </w:rPr>
        <w:t xml:space="preserve"> </w:t>
      </w:r>
      <w:proofErr w:type="spellStart"/>
      <w:r w:rsidRPr="006935A3">
        <w:rPr>
          <w:lang w:val="fr-FR"/>
        </w:rPr>
        <w:t>Andrikienė</w:t>
      </w:r>
      <w:proofErr w:type="spellEnd"/>
      <w:r w:rsidRPr="006935A3">
        <w:rPr>
          <w:lang w:val="fr-FR"/>
        </w:rPr>
        <w:t xml:space="preserve"> et  Knut </w:t>
      </w:r>
      <w:proofErr w:type="spellStart"/>
      <w:r w:rsidRPr="006935A3">
        <w:rPr>
          <w:lang w:val="fr-FR"/>
        </w:rPr>
        <w:t>Fleckenstein</w:t>
      </w:r>
      <w:proofErr w:type="spellEnd"/>
      <w:r w:rsidRPr="006935A3">
        <w:rPr>
          <w:lang w:val="fr-FR"/>
        </w:rPr>
        <w:t xml:space="preserve"> (A8-0308/2017)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53DCF" w:rsidRPr="008026B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Auteur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OBJECT"/>
            </w:pPr>
            <w:r>
              <w:t xml:space="preserve">§ 1 </w:t>
            </w:r>
            <w:r w:rsidR="00E81918">
              <w:t>h)</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OBJECT"/>
            </w:pPr>
            <w:r>
              <w:t xml:space="preserve">§ 1 </w:t>
            </w:r>
            <w:r w:rsidR="00E81918">
              <w:t>p)</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529, 111, 32</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OBJECT"/>
            </w:pPr>
            <w:r>
              <w:t xml:space="preserve">§ 1 </w:t>
            </w:r>
            <w:r w:rsidR="00E81918">
              <w:t>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519, 141, 20</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OBJECT"/>
            </w:pPr>
            <w:r>
              <w:t xml:space="preserve">§ 1 </w:t>
            </w:r>
            <w:r w:rsidR="00E81918">
              <w:t>y)</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OBJECT"/>
            </w:pPr>
            <w:r>
              <w:t xml:space="preserve">§ 1 </w:t>
            </w:r>
            <w:r w:rsidR="00E81918">
              <w:t>ac)</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519, 143, 9</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SIMPLEOBJECT"/>
            </w:pPr>
            <w:r>
              <w:t xml:space="preserve">§ 1 </w:t>
            </w:r>
            <w:r w:rsidR="00E81918">
              <w:t>ad)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xml:space="preserve">§ 1 </w:t>
            </w:r>
            <w:proofErr w:type="spellStart"/>
            <w:r>
              <w:t>ae</w:t>
            </w:r>
            <w:proofErr w:type="spellEnd"/>
            <w:r>
              <w:t>)</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555FF1">
            <w:pPr>
              <w:pStyle w:val="VOTINGTABLECELLOBJECT"/>
            </w:pPr>
            <w:r>
              <w:t xml:space="preserve">§ 1 </w:t>
            </w:r>
            <w:proofErr w:type="spellStart"/>
            <w:r w:rsidR="00E81918">
              <w:t>af</w:t>
            </w:r>
            <w:proofErr w:type="spellEnd"/>
            <w:r w:rsidR="00E81918">
              <w:t>)</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proofErr w:type="spellStart"/>
            <w:r>
              <w:t>Considérant</w:t>
            </w:r>
            <w:proofErr w:type="spellEnd"/>
            <w:r>
              <w:t xml:space="preserve"> K</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529, 111, 35</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proofErr w:type="spellStart"/>
            <w:r>
              <w:t>Considérant</w:t>
            </w:r>
            <w:proofErr w:type="spellEnd"/>
            <w:r>
              <w:t xml:space="preserve"> L</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 xml:space="preserve">Vote: </w:t>
            </w:r>
            <w:proofErr w:type="spellStart"/>
            <w:r w:rsidRPr="006935A3">
              <w:rPr>
                <w:lang w:val="fr-FR"/>
              </w:rPr>
              <w:t>recommendation</w:t>
            </w:r>
            <w:proofErr w:type="spellEnd"/>
            <w:r w:rsidRPr="006935A3">
              <w:rPr>
                <w:lang w:val="fr-FR"/>
              </w:rPr>
              <w:t xml:space="preserve"> (ensemble du texte)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519, 114, 47</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trPr>
          <w:cantSplit/>
        </w:trPr>
        <w:tc>
          <w:tcPr>
            <w:tcW w:w="9065" w:type="dxa"/>
            <w:gridSpan w:val="2"/>
            <w:tcMar>
              <w:top w:w="0" w:type="dxa"/>
              <w:left w:w="0" w:type="dxa"/>
              <w:bottom w:w="0" w:type="dxa"/>
              <w:right w:w="0" w:type="dxa"/>
            </w:tcMar>
          </w:tcPr>
          <w:p w:rsidR="00853DCF" w:rsidRDefault="00E81918">
            <w:pPr>
              <w:pStyle w:val="REMARKTABLECELLTITLE"/>
            </w:pPr>
            <w:proofErr w:type="spellStart"/>
            <w:r>
              <w:t>Demandes</w:t>
            </w:r>
            <w:proofErr w:type="spellEnd"/>
            <w:r>
              <w:t xml:space="preserve"> de vote </w:t>
            </w:r>
            <w:proofErr w:type="spellStart"/>
            <w:r>
              <w:t>séparé</w:t>
            </w:r>
            <w:proofErr w:type="spellEnd"/>
          </w:p>
        </w:tc>
      </w:tr>
      <w:tr w:rsidR="00853DCF" w:rsidRPr="008026B0">
        <w:tc>
          <w:tcPr>
            <w:tcW w:w="1570" w:type="dxa"/>
            <w:tcMar>
              <w:top w:w="0" w:type="dxa"/>
              <w:left w:w="0" w:type="dxa"/>
              <w:bottom w:w="0" w:type="dxa"/>
              <w:right w:w="0" w:type="dxa"/>
            </w:tcMar>
          </w:tcPr>
          <w:p w:rsidR="00853DCF" w:rsidRDefault="00E81918">
            <w:pPr>
              <w:pStyle w:val="REMARKTABLECELLSIMPLE"/>
            </w:pPr>
            <w:r>
              <w:t>ENF:</w:t>
            </w:r>
          </w:p>
        </w:tc>
        <w:tc>
          <w:tcPr>
            <w:tcW w:w="7495" w:type="dxa"/>
            <w:tcMar>
              <w:top w:w="0" w:type="dxa"/>
              <w:left w:w="0" w:type="dxa"/>
              <w:bottom w:w="0" w:type="dxa"/>
              <w:right w:w="0" w:type="dxa"/>
            </w:tcMar>
          </w:tcPr>
          <w:p w:rsidR="00853DCF" w:rsidRPr="006935A3" w:rsidRDefault="00555FF1">
            <w:pPr>
              <w:pStyle w:val="REMARKTABLECELLSIMPLE"/>
              <w:rPr>
                <w:lang w:val="fr-FR"/>
              </w:rPr>
            </w:pPr>
            <w:r>
              <w:rPr>
                <w:lang w:val="fr-FR"/>
              </w:rPr>
              <w:t xml:space="preserve">§ 1 p), § 1 q), § 1 </w:t>
            </w:r>
            <w:r w:rsidR="00E81918" w:rsidRPr="006935A3">
              <w:rPr>
                <w:lang w:val="fr-FR"/>
              </w:rPr>
              <w:t>ad), considérant K</w:t>
            </w:r>
          </w:p>
        </w:tc>
      </w:tr>
    </w:tbl>
    <w:p w:rsidR="00853DCF" w:rsidRDefault="00853DCF">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935A3" w:rsidRPr="008026B0" w:rsidTr="005C5609">
        <w:trPr>
          <w:cantSplit/>
        </w:trPr>
        <w:tc>
          <w:tcPr>
            <w:tcW w:w="9065" w:type="dxa"/>
            <w:gridSpan w:val="2"/>
            <w:tcMar>
              <w:top w:w="0" w:type="dxa"/>
              <w:left w:w="0" w:type="dxa"/>
              <w:bottom w:w="0" w:type="dxa"/>
              <w:right w:w="0" w:type="dxa"/>
            </w:tcMar>
          </w:tcPr>
          <w:p w:rsidR="006935A3" w:rsidRPr="006935A3" w:rsidRDefault="006935A3" w:rsidP="005C5609">
            <w:pPr>
              <w:pStyle w:val="REMARKTABLECELLTITLE"/>
              <w:rPr>
                <w:lang w:val="fr-FR"/>
              </w:rPr>
            </w:pPr>
            <w:r w:rsidRPr="006935A3">
              <w:rPr>
                <w:lang w:val="fr-FR"/>
              </w:rPr>
              <w:t>Demandes de vote par appel nominal</w:t>
            </w:r>
          </w:p>
        </w:tc>
      </w:tr>
      <w:tr w:rsidR="006935A3" w:rsidRPr="008026B0" w:rsidTr="005C5609">
        <w:tc>
          <w:tcPr>
            <w:tcW w:w="1570" w:type="dxa"/>
            <w:tcMar>
              <w:top w:w="0" w:type="dxa"/>
              <w:left w:w="0" w:type="dxa"/>
              <w:bottom w:w="0" w:type="dxa"/>
              <w:right w:w="0" w:type="dxa"/>
            </w:tcMar>
          </w:tcPr>
          <w:p w:rsidR="006935A3" w:rsidRDefault="006935A3" w:rsidP="005C5609">
            <w:pPr>
              <w:pStyle w:val="REMARKTABLECELLSIMPLE"/>
            </w:pPr>
            <w:r>
              <w:t>EFDD:</w:t>
            </w:r>
          </w:p>
        </w:tc>
        <w:tc>
          <w:tcPr>
            <w:tcW w:w="7495" w:type="dxa"/>
            <w:tcMar>
              <w:top w:w="0" w:type="dxa"/>
              <w:left w:w="0" w:type="dxa"/>
              <w:bottom w:w="0" w:type="dxa"/>
              <w:right w:w="0" w:type="dxa"/>
            </w:tcMar>
          </w:tcPr>
          <w:p w:rsidR="006935A3" w:rsidRPr="006935A3" w:rsidRDefault="00555FF1" w:rsidP="005C5609">
            <w:pPr>
              <w:pStyle w:val="REMARKTABLECELLSIMPLE"/>
              <w:rPr>
                <w:lang w:val="fr-FR"/>
              </w:rPr>
            </w:pPr>
            <w:r>
              <w:rPr>
                <w:lang w:val="fr-FR"/>
              </w:rPr>
              <w:t xml:space="preserve">§1 p) (2ème partie), §1 </w:t>
            </w:r>
            <w:proofErr w:type="spellStart"/>
            <w:r>
              <w:rPr>
                <w:lang w:val="fr-FR"/>
              </w:rPr>
              <w:t>ac</w:t>
            </w:r>
            <w:proofErr w:type="spellEnd"/>
            <w:r>
              <w:rPr>
                <w:lang w:val="fr-FR"/>
              </w:rPr>
              <w:t xml:space="preserve">) (2ème partie), §1 </w:t>
            </w:r>
            <w:r w:rsidR="006935A3" w:rsidRPr="006935A3">
              <w:rPr>
                <w:lang w:val="fr-FR"/>
              </w:rPr>
              <w:t>s) (3ème partie), considérant K (2ème partie)</w:t>
            </w:r>
          </w:p>
        </w:tc>
      </w:tr>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votes par division</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ENF:</w:t>
            </w:r>
          </w:p>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r w:rsidR="00E81918">
              <w:t>h)</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"s’engager à unir les efforts pour améliorer la mobilité entre l’Union et les pays partenaires"</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"aider la Moldavie, la Géorgie et l’Ukraine dans la mise en œuvre de l’accord de libéralisation du régime des visas et veiller à ce que les dispositifs de suspension ne soient pas déclenchés à l’avenir, notamment au moyen d’une étroite coopération dans les domaines de la police et des douanes pour la protection contre les menaces de sécurité, la criminalité et les séjours dont la durée autorisée est dépassée; ouvrir le dialogue en matière de visa avec l’Arménie, encourager les progrès de la part de l’Azerbaïdjan dans la mise en œuvre des accords de facilitation de l’octroi des visas et de réadmission dans le but d’entamer un dialogue relatif aux visas à l’avenir, et finaliser les négociations sur les accords de facilitation d’octroi des visas et de réadmission avec la Biélorussie au profit de ses citoyens, sous réserve que ces pays accomplissent des progrès notables dans le respect des valeurs fondamentales et remplissent les conditions précises définies dans les plans d’action sur la libéralisation des régimes de visas"</w:t>
            </w:r>
          </w:p>
        </w:tc>
      </w:tr>
      <w:tr w:rsidR="00853DCF" w:rsidRPr="008026B0">
        <w:trPr>
          <w:cantSplit/>
        </w:trPr>
        <w:tc>
          <w:tcPr>
            <w:tcW w:w="9065" w:type="dxa"/>
            <w:gridSpan w:val="2"/>
            <w:tcMar>
              <w:top w:w="0" w:type="dxa"/>
              <w:left w:w="0" w:type="dxa"/>
              <w:bottom w:w="0" w:type="dxa"/>
              <w:right w:w="0" w:type="dxa"/>
            </w:tcMar>
          </w:tcPr>
          <w:p w:rsidR="00853DCF" w:rsidRPr="006935A3" w:rsidRDefault="00853DCF">
            <w:pPr>
              <w:rPr>
                <w:lang w:val="fr-FR"/>
              </w:rPr>
            </w:pPr>
          </w:p>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r w:rsidR="00E81918">
              <w:t>y)</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"souligner que le partenariat oriental vise à créer les conditions nécessaires pour une association politique "</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lastRenderedPageBreak/>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"et une intégration économique étroites, y compris la participation aux programmes de l’Union; réaffirmer que les accords d’association avec la Moldavie, la Géorgie et l’Ukraine ne constituent pas l’objectif ultime de leurs relations avec l’Union européenne; reconnaître une nouvelle fois les aspirations européennes de ces pays; faire valoir que, conformément à l’article 49 du traité UE, tout État européen peut poser sa candidature pour devenir membre de l’Union européenne, à condition qu’il se conforme aux critères de Copenhague et aux principes de la démocratie, du respect des libertés fondamentales, des droits des hommes et des droits des minorités, ainsi que de l’État de droit; inviter à cet égard les États membres à convenir d’une déclaration ambitieuse pour le sommet de 2017 définissant les objectifs à long terme"</w:t>
            </w:r>
          </w:p>
        </w:tc>
      </w:tr>
      <w:tr w:rsidR="00853DCF" w:rsidRPr="008026B0">
        <w:trPr>
          <w:cantSplit/>
        </w:trPr>
        <w:tc>
          <w:tcPr>
            <w:tcW w:w="9065" w:type="dxa"/>
            <w:gridSpan w:val="2"/>
            <w:tcMar>
              <w:top w:w="0" w:type="dxa"/>
              <w:left w:w="0" w:type="dxa"/>
              <w:bottom w:w="0" w:type="dxa"/>
              <w:right w:w="0" w:type="dxa"/>
            </w:tcMar>
          </w:tcPr>
          <w:p w:rsidR="00853DCF" w:rsidRPr="006935A3" w:rsidRDefault="00853DCF">
            <w:pPr>
              <w:rPr>
                <w:lang w:val="fr-FR"/>
              </w:rPr>
            </w:pPr>
          </w:p>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proofErr w:type="spellStart"/>
            <w:r w:rsidR="00E81918">
              <w:t>ae</w:t>
            </w:r>
            <w:proofErr w:type="spellEnd"/>
            <w:r w:rsidR="00E81918">
              <w:t>)</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"saluer les propositions de la Commission visant à fournir aux partenaires une aide </w:t>
            </w:r>
            <w:proofErr w:type="spellStart"/>
            <w:r w:rsidRPr="006935A3">
              <w:rPr>
                <w:lang w:val="fr-FR"/>
              </w:rPr>
              <w:t>macrofinancière</w:t>
            </w:r>
            <w:proofErr w:type="spellEnd"/>
            <w:r w:rsidRPr="006935A3">
              <w:rPr>
                <w:lang w:val="fr-FR"/>
              </w:rPr>
              <w:t xml:space="preserve">, tout en insistant sur la conditionnalité stricte et efficace liée aux propositions, notamment en matière de respect de l’État de droit (avec, entre autres, un pouvoir judiciaire indépendant et un système parlementaire multipartite), de bonne gouvernance (ce qui inclut la lutte efficace contre la corruption) et de défense des droits de l’homme et de la liberté de la presse; fournir chaque semestre au Parlement et au Conseil un rapport écrit détaillé sur les progrès réalisés dans ces trois domaines par les partenaires qui bénéficient déjà d’une telle aide" à l'exclusion des termes: "saluer les propositions de la Commission visant à fournir aux partenaires une aide </w:t>
            </w:r>
            <w:proofErr w:type="spellStart"/>
            <w:r w:rsidRPr="006935A3">
              <w:rPr>
                <w:lang w:val="fr-FR"/>
              </w:rPr>
              <w:t>macrofinancière</w:t>
            </w:r>
            <w:proofErr w:type="spellEnd"/>
            <w:r w:rsidRPr="006935A3">
              <w:rPr>
                <w:lang w:val="fr-FR"/>
              </w:rPr>
              <w:t>, tout en "</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"saluer les propositions de la Commission visant à fournir aux partenaires une aide </w:t>
            </w:r>
            <w:proofErr w:type="spellStart"/>
            <w:r w:rsidRPr="006935A3">
              <w:rPr>
                <w:lang w:val="fr-FR"/>
              </w:rPr>
              <w:t>macrofinancière</w:t>
            </w:r>
            <w:proofErr w:type="spellEnd"/>
            <w:r w:rsidRPr="006935A3">
              <w:rPr>
                <w:lang w:val="fr-FR"/>
              </w:rPr>
              <w:t>, tout en "</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3ème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"inviter la Commission à élaborer de nouveaux programmes d’assistance </w:t>
            </w:r>
            <w:proofErr w:type="spellStart"/>
            <w:r w:rsidRPr="006935A3">
              <w:rPr>
                <w:lang w:val="fr-FR"/>
              </w:rPr>
              <w:t>macrofinancière</w:t>
            </w:r>
            <w:proofErr w:type="spellEnd"/>
            <w:r w:rsidRPr="006935A3">
              <w:rPr>
                <w:lang w:val="fr-FR"/>
              </w:rPr>
              <w:t xml:space="preserve"> pour les pays partenaires qui ont accompli avec succès des programmes antérieurs, à intégrer systématiquement les dispositions concernant la conditionnalité dans les futures propositions liées à cette aide, et veiller à ce qu’elles soient strictement appliquées, en particulier pour la Moldavie"</w:t>
            </w:r>
          </w:p>
        </w:tc>
      </w:tr>
      <w:tr w:rsidR="00853DCF" w:rsidRPr="008026B0">
        <w:trPr>
          <w:cantSplit/>
        </w:trPr>
        <w:tc>
          <w:tcPr>
            <w:tcW w:w="9065" w:type="dxa"/>
            <w:gridSpan w:val="2"/>
            <w:tcMar>
              <w:top w:w="0" w:type="dxa"/>
              <w:left w:w="0" w:type="dxa"/>
              <w:bottom w:w="0" w:type="dxa"/>
              <w:right w:w="0" w:type="dxa"/>
            </w:tcMar>
          </w:tcPr>
          <w:p w:rsidR="00853DCF" w:rsidRPr="006935A3" w:rsidRDefault="00853DCF">
            <w:pPr>
              <w:rPr>
                <w:lang w:val="fr-FR"/>
              </w:rPr>
            </w:pPr>
          </w:p>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proofErr w:type="spellStart"/>
            <w:r w:rsidR="00E81918">
              <w:t>af</w:t>
            </w:r>
            <w:proofErr w:type="spellEnd"/>
            <w:r w:rsidR="00E81918">
              <w:t>)</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"demander à la Commission, à la Banque européenne d’investissement et aux autres institutions financières multilatérales d’œuvrer à la réussite de la mise en œuvre du plan d’investissement pour l’Europe et d’un mécanisme de soutien spécifique pour les pays du Partenariat oriental qui se sont engagés à mettre en œuvre les accords d’association; demander la mise en place d’un fonds fiduciaire pour l’Ukraine, la Géorgie et la Moldavie, fondé sur les meilleures pratiques des instruments </w:t>
            </w:r>
            <w:proofErr w:type="spellStart"/>
            <w:r w:rsidRPr="006935A3">
              <w:rPr>
                <w:lang w:val="fr-FR"/>
              </w:rPr>
              <w:t>multidonateurs</w:t>
            </w:r>
            <w:proofErr w:type="spellEnd"/>
            <w:r w:rsidRPr="006935A3">
              <w:rPr>
                <w:lang w:val="fr-FR"/>
              </w:rPr>
              <w:t xml:space="preserve"> et axé sur les investissements publics et privés, en particulier dans les infrastructures sociales et économiques et pour celles qui visent à stimuler la capacité d’absorption des investissements, ainsi que pour la coordination du soutien des institutions financières internationales (IFI) et de l’appui des donateurs internationaux sur le terrain; envisager d’organiser une conférence des bailleurs de fonds pour l’Ukraine, afin de couvrir les besoins humanitaires dus au conflit dans l’Est du pays et à l’annexion de la Crimée"</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"veiller à ce que l’usage qui est fait de l’ensemble de ces fonds fasse également l’objet d’un examen rigoureux afin de prévenir tout abus"</w:t>
            </w:r>
          </w:p>
        </w:tc>
      </w:tr>
      <w:tr w:rsidR="00853DCF" w:rsidRPr="008026B0">
        <w:trPr>
          <w:cantSplit/>
        </w:trPr>
        <w:tc>
          <w:tcPr>
            <w:tcW w:w="9065" w:type="dxa"/>
            <w:gridSpan w:val="2"/>
            <w:tcMar>
              <w:top w:w="0" w:type="dxa"/>
              <w:left w:w="0" w:type="dxa"/>
              <w:bottom w:w="0" w:type="dxa"/>
              <w:right w:w="0" w:type="dxa"/>
            </w:tcMar>
          </w:tcPr>
          <w:p w:rsidR="00853DCF" w:rsidRPr="006935A3" w:rsidRDefault="00853DCF">
            <w:pPr>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considérant</w:t>
            </w:r>
            <w:proofErr w:type="spellEnd"/>
            <w:r>
              <w:t xml:space="preserve"> L</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"considérant que la politique du partenariat oriental repose sur le droit souverain de chaque partenaire à choisir le niveau d’ambition auquel il aspire dans ses relations avec l’Union"</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lastRenderedPageBreak/>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"que les partenaires souhaitant entretenir des liens plus étroits avec l’Union devraient pouvoir compter sur davantage de soutien et d’assistance dans la réalisation des objectifs définis d’un commun accord s’ils remplissent leurs engagements en matière de réforme conformément au principe consistant à donner plus pour recevoir plus"</w:t>
            </w:r>
          </w:p>
        </w:tc>
      </w:tr>
      <w:tr w:rsidR="00853DCF" w:rsidRPr="008026B0">
        <w:tc>
          <w:tcPr>
            <w:tcW w:w="9065" w:type="dxa"/>
            <w:gridSpan w:val="2"/>
            <w:tcMar>
              <w:top w:w="0" w:type="dxa"/>
              <w:left w:w="0" w:type="dxa"/>
              <w:bottom w:w="0" w:type="dxa"/>
              <w:right w:w="0" w:type="dxa"/>
            </w:tcMar>
          </w:tcPr>
          <w:p w:rsidR="00853DCF" w:rsidRPr="006935A3" w:rsidRDefault="00853DCF">
            <w:pPr>
              <w:pStyle w:val="REMARKTABLECELLSIMPLE"/>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EFDD:</w:t>
            </w:r>
          </w:p>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r w:rsidR="00E81918">
              <w:t>p)</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Ensemble du texte à l'exclusion des termes: "dont la présence militaire dans la région n’a fait que croître ces dernières années, en particulier au moyen de mesures restrictives ciblées et renforcées"</w:t>
            </w:r>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proofErr w:type="spellStart"/>
            <w:r>
              <w:t>ces</w:t>
            </w:r>
            <w:proofErr w:type="spellEnd"/>
            <w:r>
              <w:t xml:space="preserve"> </w:t>
            </w:r>
            <w:proofErr w:type="spellStart"/>
            <w:r>
              <w:t>termes</w:t>
            </w:r>
            <w:proofErr w:type="spellEnd"/>
          </w:p>
        </w:tc>
      </w:tr>
      <w:tr w:rsidR="00853DCF">
        <w:trPr>
          <w:cantSplit/>
        </w:trPr>
        <w:tc>
          <w:tcPr>
            <w:tcW w:w="9065" w:type="dxa"/>
            <w:gridSpan w:val="2"/>
            <w:tcMar>
              <w:top w:w="0" w:type="dxa"/>
              <w:left w:w="0" w:type="dxa"/>
              <w:bottom w:w="0" w:type="dxa"/>
              <w:right w:w="0" w:type="dxa"/>
            </w:tcMar>
          </w:tcPr>
          <w:p w:rsidR="00853DCF" w:rsidRDefault="00853DCF"/>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r w:rsidR="00E81918">
              <w:t>ac)</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Ensemble du texte à l'exclusion des termes: "et le soutenir en allouant davantage de fonds à ses activités et à son personnel"</w:t>
            </w:r>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proofErr w:type="spellStart"/>
            <w:r>
              <w:t>ces</w:t>
            </w:r>
            <w:proofErr w:type="spellEnd"/>
            <w:r>
              <w:t xml:space="preserve"> </w:t>
            </w:r>
            <w:proofErr w:type="spellStart"/>
            <w:r>
              <w:t>termes</w:t>
            </w:r>
            <w:proofErr w:type="spellEnd"/>
          </w:p>
        </w:tc>
      </w:tr>
      <w:tr w:rsidR="00853DCF">
        <w:trPr>
          <w:cantSplit/>
        </w:trPr>
        <w:tc>
          <w:tcPr>
            <w:tcW w:w="9065" w:type="dxa"/>
            <w:gridSpan w:val="2"/>
            <w:tcMar>
              <w:top w:w="0" w:type="dxa"/>
              <w:left w:w="0" w:type="dxa"/>
              <w:bottom w:w="0" w:type="dxa"/>
              <w:right w:w="0" w:type="dxa"/>
            </w:tcMar>
          </w:tcPr>
          <w:p w:rsidR="00853DCF" w:rsidRDefault="00853DCF"/>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considérant</w:t>
            </w:r>
            <w:proofErr w:type="spellEnd"/>
            <w:r>
              <w:t xml:space="preserve"> K</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Ensemble du texte à l'exclusion des termes: "dont certains ont été amorcés et sont encore activement entretenus par la Fédération de Russie, ce qui va à l’encontre de ses engagements internationaux en faveur du respect de l’ordre juridique </w:t>
            </w:r>
            <w:proofErr w:type="spellStart"/>
            <w:r w:rsidRPr="006935A3">
              <w:rPr>
                <w:lang w:val="fr-FR"/>
              </w:rPr>
              <w:t>internationa</w:t>
            </w:r>
            <w:proofErr w:type="spellEnd"/>
            <w:r w:rsidRPr="006935A3">
              <w:rPr>
                <w:lang w:val="fr-FR"/>
              </w:rPr>
              <w:t>"</w:t>
            </w:r>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proofErr w:type="spellStart"/>
            <w:r>
              <w:t>ces</w:t>
            </w:r>
            <w:proofErr w:type="spellEnd"/>
            <w:r>
              <w:t xml:space="preserve"> </w:t>
            </w:r>
            <w:proofErr w:type="spellStart"/>
            <w:r>
              <w:t>termes</w:t>
            </w:r>
            <w:proofErr w:type="spellEnd"/>
          </w:p>
        </w:tc>
      </w:tr>
      <w:tr w:rsidR="00853DCF">
        <w:tc>
          <w:tcPr>
            <w:tcW w:w="9065" w:type="dxa"/>
            <w:gridSpan w:val="2"/>
            <w:tcMar>
              <w:top w:w="0" w:type="dxa"/>
              <w:left w:w="0" w:type="dxa"/>
              <w:bottom w:w="0" w:type="dxa"/>
              <w:right w:w="0" w:type="dxa"/>
            </w:tcMar>
          </w:tcPr>
          <w:p w:rsidR="00853DCF" w:rsidRDefault="00853DCF">
            <w:pPr>
              <w:pStyle w:val="REMARKTABLECELLSIMPLE"/>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EFDD, ENF:</w:t>
            </w:r>
          </w:p>
        </w:tc>
      </w:tr>
      <w:tr w:rsidR="00853DCF">
        <w:trPr>
          <w:cantSplit/>
        </w:trPr>
        <w:tc>
          <w:tcPr>
            <w:tcW w:w="9065" w:type="dxa"/>
            <w:gridSpan w:val="2"/>
            <w:tcMar>
              <w:top w:w="0" w:type="dxa"/>
              <w:left w:w="0" w:type="dxa"/>
              <w:bottom w:w="0" w:type="dxa"/>
              <w:right w:w="0" w:type="dxa"/>
            </w:tcMar>
          </w:tcPr>
          <w:p w:rsidR="00853DCF" w:rsidRDefault="00555FF1">
            <w:pPr>
              <w:pStyle w:val="REMARKTABLECELLSIMPLE"/>
            </w:pPr>
            <w:r>
              <w:t xml:space="preserve">§ 1 </w:t>
            </w:r>
            <w:r w:rsidR="00E81918">
              <w:t>s)</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"appeler à soutenir avec constance les travaux réalisés par les missions de l’Union et de l’OSCE en Géorgie, en Moldavie et dans l’Est de l’Ukraine, en tant que démarches essentielles de paix et de sécurité visant avant tout à défendre les intérêts des citoyens sur le terrain"</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"veiller à l’exécution effective du mandat de ces missions et exhorter la Fédération de Russie à leur garantir un accès sans entrave"</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3ème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"envisager de soutenir le déploiement d’une mission de police armée de l’OSCE dans l’est de l’Ukraine; réfléchir conjointement avec les pays partenaires aux possibilités d’amélioration du rôle de l’Union dans la résolution de ces conflits, y compris en déployant des missions de politique de sécurité et de défense commune (PSDC) ambitieuses destinées à améliorer la sécurité et la stabilité"</w:t>
            </w:r>
          </w:p>
        </w:tc>
      </w:tr>
    </w:tbl>
    <w:p w:rsidR="00853DCF" w:rsidRPr="006935A3" w:rsidRDefault="00853DCF">
      <w:pPr>
        <w:pStyle w:val="STYTAB"/>
        <w:rPr>
          <w:lang w:val="fr-FR"/>
        </w:rPr>
      </w:pPr>
    </w:p>
    <w:p w:rsidR="00853DCF" w:rsidRPr="006935A3" w:rsidRDefault="00853DCF">
      <w:pPr>
        <w:pStyle w:val="STYTAB"/>
        <w:rPr>
          <w:lang w:val="fr-FR"/>
        </w:rPr>
      </w:pPr>
    </w:p>
    <w:p w:rsidR="00853DCF" w:rsidRPr="006935A3" w:rsidRDefault="00853DCF">
      <w:pPr>
        <w:pStyle w:val="STYTAB"/>
        <w:rPr>
          <w:lang w:val="fr-FR"/>
        </w:rPr>
      </w:pPr>
    </w:p>
    <w:p w:rsidR="00853DCF" w:rsidRPr="006935A3" w:rsidRDefault="00E81918">
      <w:pPr>
        <w:pStyle w:val="VOTETITLE"/>
        <w:rPr>
          <w:lang w:val="fr-FR"/>
        </w:rPr>
      </w:pPr>
      <w:r w:rsidRPr="006935A3">
        <w:rPr>
          <w:lang w:val="fr-FR"/>
        </w:rPr>
        <w:t>Plan d'action pour le milieu naturel, la population et l'économie</w:t>
      </w:r>
    </w:p>
    <w:p w:rsidR="00853DCF" w:rsidRDefault="00E81918">
      <w:pPr>
        <w:pStyle w:val="VOTEREPORTTITLE"/>
      </w:pPr>
      <w:r>
        <w:t xml:space="preserve">Proposition de </w:t>
      </w:r>
      <w:proofErr w:type="spellStart"/>
      <w:r>
        <w:t>résolution</w:t>
      </w:r>
      <w:proofErr w:type="spellEnd"/>
      <w:r>
        <w:t>: B8-0589/2017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53DCF" w:rsidRPr="008026B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Auteur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rsidRPr="008026B0">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Pr>
                <w:lang w:val="fr-FR"/>
              </w:rPr>
              <w:t>Proposition de ré</w:t>
            </w:r>
            <w:r w:rsidRPr="006935A3">
              <w:rPr>
                <w:lang w:val="fr-FR"/>
              </w:rPr>
              <w:t>solution B8-0589/2017</w:t>
            </w:r>
            <w:r w:rsidRPr="006935A3">
              <w:rPr>
                <w:lang w:val="fr-FR"/>
              </w:rPr>
              <w:br/>
              <w:t>(commission ENVI)</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410, 255, 6</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lastRenderedPageBreak/>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29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433, 213, 3</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372, 267, 21</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271, 388, 4</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420, 222, 25</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36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398, 237, 37</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 52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286, 361, 23</w:t>
            </w:r>
          </w:p>
        </w:tc>
      </w:tr>
      <w:tr w:rsidR="00853DC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vote: résolution (ensemble du texte)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612, 33, 35</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 par appel nominal</w:t>
            </w:r>
          </w:p>
        </w:tc>
      </w:tr>
      <w:tr w:rsidR="00853DCF">
        <w:tc>
          <w:tcPr>
            <w:tcW w:w="1570" w:type="dxa"/>
            <w:tcMar>
              <w:top w:w="0" w:type="dxa"/>
              <w:left w:w="0" w:type="dxa"/>
              <w:bottom w:w="0" w:type="dxa"/>
              <w:right w:w="0" w:type="dxa"/>
            </w:tcMar>
          </w:tcPr>
          <w:p w:rsidR="00853DCF" w:rsidRDefault="00E81918">
            <w:pPr>
              <w:pStyle w:val="REMARKTABLECELLSIMPLE"/>
            </w:pPr>
            <w:r>
              <w:t>ECR:</w:t>
            </w:r>
          </w:p>
        </w:tc>
        <w:tc>
          <w:tcPr>
            <w:tcW w:w="7495" w:type="dxa"/>
            <w:tcMar>
              <w:top w:w="0" w:type="dxa"/>
              <w:left w:w="0" w:type="dxa"/>
              <w:bottom w:w="0" w:type="dxa"/>
              <w:right w:w="0" w:type="dxa"/>
            </w:tcMar>
          </w:tcPr>
          <w:p w:rsidR="00853DCF" w:rsidRDefault="00E81918">
            <w:pPr>
              <w:pStyle w:val="REMARKTABLECELLSIMPLE"/>
            </w:pPr>
            <w:r>
              <w:t>vote final</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trPr>
          <w:cantSplit/>
        </w:trPr>
        <w:tc>
          <w:tcPr>
            <w:tcW w:w="9065" w:type="dxa"/>
            <w:gridSpan w:val="2"/>
            <w:tcMar>
              <w:top w:w="0" w:type="dxa"/>
              <w:left w:w="0" w:type="dxa"/>
              <w:bottom w:w="0" w:type="dxa"/>
              <w:right w:w="0" w:type="dxa"/>
            </w:tcMar>
          </w:tcPr>
          <w:p w:rsidR="00853DCF" w:rsidRDefault="00E81918">
            <w:pPr>
              <w:pStyle w:val="REMARKTABLECELLTITLE"/>
            </w:pPr>
            <w:proofErr w:type="spellStart"/>
            <w:r>
              <w:t>Demandes</w:t>
            </w:r>
            <w:proofErr w:type="spellEnd"/>
            <w:r>
              <w:t xml:space="preserve"> de vote </w:t>
            </w:r>
            <w:proofErr w:type="spellStart"/>
            <w:r>
              <w:t>séparé</w:t>
            </w:r>
            <w:proofErr w:type="spellEnd"/>
          </w:p>
        </w:tc>
      </w:tr>
      <w:tr w:rsidR="00853DCF">
        <w:tc>
          <w:tcPr>
            <w:tcW w:w="1570" w:type="dxa"/>
            <w:tcMar>
              <w:top w:w="0" w:type="dxa"/>
              <w:left w:w="0" w:type="dxa"/>
              <w:bottom w:w="0" w:type="dxa"/>
              <w:right w:w="0" w:type="dxa"/>
            </w:tcMar>
          </w:tcPr>
          <w:p w:rsidR="00853DCF" w:rsidRDefault="00E81918">
            <w:pPr>
              <w:pStyle w:val="REMARKTABLECELLSIMPLE"/>
            </w:pPr>
            <w:r>
              <w:t>PPE:</w:t>
            </w:r>
          </w:p>
        </w:tc>
        <w:tc>
          <w:tcPr>
            <w:tcW w:w="7495" w:type="dxa"/>
            <w:tcMar>
              <w:top w:w="0" w:type="dxa"/>
              <w:left w:w="0" w:type="dxa"/>
              <w:bottom w:w="0" w:type="dxa"/>
              <w:right w:w="0" w:type="dxa"/>
            </w:tcMar>
          </w:tcPr>
          <w:p w:rsidR="00853DCF" w:rsidRDefault="00E81918">
            <w:pPr>
              <w:pStyle w:val="REMARKTABLECELLSIMPLE"/>
            </w:pPr>
            <w:r>
              <w:t>§ 16</w:t>
            </w:r>
          </w:p>
        </w:tc>
      </w:tr>
      <w:tr w:rsidR="00853DCF">
        <w:tc>
          <w:tcPr>
            <w:tcW w:w="1570" w:type="dxa"/>
            <w:tcMar>
              <w:top w:w="0" w:type="dxa"/>
              <w:left w:w="0" w:type="dxa"/>
              <w:bottom w:w="0" w:type="dxa"/>
              <w:right w:w="0" w:type="dxa"/>
            </w:tcMar>
          </w:tcPr>
          <w:p w:rsidR="00853DCF" w:rsidRDefault="00E81918">
            <w:pPr>
              <w:pStyle w:val="REMARKTABLECELLSIMPLE"/>
            </w:pPr>
            <w:r>
              <w:t xml:space="preserve">ECR, </w:t>
            </w:r>
            <w:proofErr w:type="spellStart"/>
            <w:r w:rsidR="00555FF1">
              <w:t>Verts</w:t>
            </w:r>
            <w:proofErr w:type="spellEnd"/>
            <w:r w:rsidR="00555FF1">
              <w:t>/</w:t>
            </w:r>
            <w:r>
              <w:t>ALE:</w:t>
            </w:r>
          </w:p>
        </w:tc>
        <w:tc>
          <w:tcPr>
            <w:tcW w:w="7495" w:type="dxa"/>
            <w:tcMar>
              <w:top w:w="0" w:type="dxa"/>
              <w:left w:w="0" w:type="dxa"/>
              <w:bottom w:w="0" w:type="dxa"/>
              <w:right w:w="0" w:type="dxa"/>
            </w:tcMar>
          </w:tcPr>
          <w:p w:rsidR="00853DCF" w:rsidRDefault="00E81918">
            <w:pPr>
              <w:pStyle w:val="REMARKTABLECELLSIMPLE"/>
            </w:pPr>
            <w:r>
              <w:t>§§ 28, 35</w:t>
            </w:r>
          </w:p>
        </w:tc>
      </w:tr>
      <w:tr w:rsidR="00853DCF">
        <w:tc>
          <w:tcPr>
            <w:tcW w:w="1570" w:type="dxa"/>
            <w:tcMar>
              <w:top w:w="0" w:type="dxa"/>
              <w:left w:w="0" w:type="dxa"/>
              <w:bottom w:w="0" w:type="dxa"/>
              <w:right w:w="0" w:type="dxa"/>
            </w:tcMar>
          </w:tcPr>
          <w:p w:rsidR="00853DCF" w:rsidRDefault="00E81918">
            <w:pPr>
              <w:pStyle w:val="REMARKTABLECELLSIMPLE"/>
            </w:pPr>
            <w:r>
              <w:t>S&amp;D:</w:t>
            </w:r>
          </w:p>
        </w:tc>
        <w:tc>
          <w:tcPr>
            <w:tcW w:w="7495" w:type="dxa"/>
            <w:tcMar>
              <w:top w:w="0" w:type="dxa"/>
              <w:left w:w="0" w:type="dxa"/>
              <w:bottom w:w="0" w:type="dxa"/>
              <w:right w:w="0" w:type="dxa"/>
            </w:tcMar>
          </w:tcPr>
          <w:p w:rsidR="00853DCF" w:rsidRDefault="00E81918">
            <w:pPr>
              <w:pStyle w:val="REMARKTABLECELLSIMPLE"/>
            </w:pPr>
            <w:r>
              <w:t>§ 28</w:t>
            </w:r>
          </w:p>
        </w:tc>
      </w:tr>
      <w:tr w:rsidR="00853DCF">
        <w:tc>
          <w:tcPr>
            <w:tcW w:w="1570" w:type="dxa"/>
            <w:tcMar>
              <w:top w:w="0" w:type="dxa"/>
              <w:left w:w="0" w:type="dxa"/>
              <w:bottom w:w="0" w:type="dxa"/>
              <w:right w:w="0" w:type="dxa"/>
            </w:tcMar>
          </w:tcPr>
          <w:p w:rsidR="00853DCF" w:rsidRDefault="00E81918">
            <w:pPr>
              <w:pStyle w:val="REMARKTABLECELLSIMPLE"/>
            </w:pPr>
            <w:r>
              <w:t>GUE/NGL:</w:t>
            </w:r>
          </w:p>
        </w:tc>
        <w:tc>
          <w:tcPr>
            <w:tcW w:w="7495" w:type="dxa"/>
            <w:tcMar>
              <w:top w:w="0" w:type="dxa"/>
              <w:left w:w="0" w:type="dxa"/>
              <w:bottom w:w="0" w:type="dxa"/>
              <w:right w:w="0" w:type="dxa"/>
            </w:tcMar>
          </w:tcPr>
          <w:p w:rsidR="00853DCF" w:rsidRDefault="00E81918">
            <w:pPr>
              <w:pStyle w:val="REMARKTABLECELLSIMPLE"/>
            </w:pPr>
            <w:r>
              <w:t>§§ 28, 32, 35, 36</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votes par division</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ECR:</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lastRenderedPageBreak/>
              <w:t>§ 52</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Ensemble du texte à l'exclusion des termes: "et du développement économique en général"</w:t>
            </w:r>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proofErr w:type="spellStart"/>
            <w:r>
              <w:t>ces</w:t>
            </w:r>
            <w:proofErr w:type="spellEnd"/>
            <w:r>
              <w:t xml:space="preserve"> </w:t>
            </w:r>
            <w:proofErr w:type="spellStart"/>
            <w:r>
              <w:t>termes</w:t>
            </w:r>
            <w:proofErr w:type="spellEnd"/>
          </w:p>
        </w:tc>
      </w:tr>
      <w:tr w:rsidR="00853DCF">
        <w:tc>
          <w:tcPr>
            <w:tcW w:w="9065" w:type="dxa"/>
            <w:gridSpan w:val="2"/>
            <w:tcMar>
              <w:top w:w="0" w:type="dxa"/>
              <w:left w:w="0" w:type="dxa"/>
              <w:bottom w:w="0" w:type="dxa"/>
              <w:right w:w="0" w:type="dxa"/>
            </w:tcMar>
          </w:tcPr>
          <w:p w:rsidR="00853DCF" w:rsidRDefault="00853DCF">
            <w:pPr>
              <w:pStyle w:val="REMARKTABLECELLSIMPLE"/>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Verts</w:t>
            </w:r>
            <w:proofErr w:type="spellEnd"/>
            <w:r>
              <w:t>/ALE:</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29</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"se félicite des mesures destinées à intégrer les services </w:t>
            </w:r>
            <w:proofErr w:type="spellStart"/>
            <w:r w:rsidRPr="006935A3">
              <w:rPr>
                <w:lang w:val="fr-FR"/>
              </w:rPr>
              <w:t>écosystémiques</w:t>
            </w:r>
            <w:proofErr w:type="spellEnd"/>
            <w:r w:rsidRPr="006935A3">
              <w:rPr>
                <w:lang w:val="fr-FR"/>
              </w:rPr>
              <w:t xml:space="preserve"> dans le processus décisionnel"</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"déplore toutefois que le plan d’action ne contienne aucune initiative concrète visant à éviter toute perte de biodiversité;"</w:t>
            </w:r>
          </w:p>
        </w:tc>
      </w:tr>
      <w:tr w:rsidR="00853DCF" w:rsidRPr="008026B0">
        <w:tc>
          <w:tcPr>
            <w:tcW w:w="9065" w:type="dxa"/>
            <w:gridSpan w:val="2"/>
            <w:tcMar>
              <w:top w:w="0" w:type="dxa"/>
              <w:left w:w="0" w:type="dxa"/>
              <w:bottom w:w="0" w:type="dxa"/>
              <w:right w:w="0" w:type="dxa"/>
            </w:tcMar>
          </w:tcPr>
          <w:p w:rsidR="00853DCF" w:rsidRPr="006935A3" w:rsidRDefault="00853DCF">
            <w:pPr>
              <w:pStyle w:val="REMARKTABLECELLSIMPLE"/>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Verts</w:t>
            </w:r>
            <w:proofErr w:type="spellEnd"/>
            <w:r>
              <w:t>/ALE, S&amp;D:</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32</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"rappelle que rétablir, préserver et améliorer les écosystèmes liés à l’agriculture et à la sylviculture, notamment dans les sites «</w:t>
            </w:r>
            <w:proofErr w:type="spellStart"/>
            <w:r w:rsidRPr="006935A3">
              <w:rPr>
                <w:lang w:val="fr-FR"/>
              </w:rPr>
              <w:t>Natura</w:t>
            </w:r>
            <w:proofErr w:type="spellEnd"/>
            <w:r w:rsidRPr="006935A3">
              <w:rPr>
                <w:lang w:val="fr-FR"/>
              </w:rPr>
              <w:t xml:space="preserve"> 2000» compte parmi les six priorités clés pour le développement rural dans l’Union"</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"rappelle les nombreux efforts déployés par les acteurs du secteur agricole, notamment dans le cadre de la mise en œuvre des mesures de verdissement instaurées lors de la révision de la PAC en 2013"</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3ème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"souligne que selon les premières observations de la Commission, il est encore trop tôt pour mesurer l’impact de ces mesures sur le plan de la restauration des espèces et des habitats, et de l’amélioration de la biodiversité; invite la Commission à poursuivre ses études afin de fournir au plus tôt des informations sur l’impact des mesures de verdissement"</w:t>
            </w:r>
          </w:p>
        </w:tc>
      </w:tr>
      <w:tr w:rsidR="00853DCF" w:rsidRPr="008026B0">
        <w:tc>
          <w:tcPr>
            <w:tcW w:w="9065" w:type="dxa"/>
            <w:gridSpan w:val="2"/>
            <w:tcMar>
              <w:top w:w="0" w:type="dxa"/>
              <w:left w:w="0" w:type="dxa"/>
              <w:bottom w:w="0" w:type="dxa"/>
              <w:right w:w="0" w:type="dxa"/>
            </w:tcMar>
          </w:tcPr>
          <w:p w:rsidR="00853DCF" w:rsidRPr="006935A3" w:rsidRDefault="00853DCF">
            <w:pPr>
              <w:pStyle w:val="REMARKTABLECELLSIMPLE"/>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xml:space="preserve">ECR, </w:t>
            </w:r>
            <w:proofErr w:type="spellStart"/>
            <w:r>
              <w:t>Verts</w:t>
            </w:r>
            <w:proofErr w:type="spellEnd"/>
            <w:r>
              <w:t>/ALE</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36</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rsidP="008026B0">
            <w:pPr>
              <w:pStyle w:val="REMARKTABLECELLSIMPLE"/>
              <w:rPr>
                <w:lang w:val="fr-FR"/>
              </w:rPr>
            </w:pPr>
            <w:r w:rsidRPr="006935A3">
              <w:rPr>
                <w:lang w:val="fr-FR"/>
              </w:rPr>
              <w:t xml:space="preserve">Ensemble du texte à l'exclusion des </w:t>
            </w:r>
            <w:proofErr w:type="gramStart"/>
            <w:r w:rsidRPr="006935A3">
              <w:rPr>
                <w:lang w:val="fr-FR"/>
              </w:rPr>
              <w:t>termes:</w:t>
            </w:r>
            <w:proofErr w:type="gramEnd"/>
            <w:r w:rsidRPr="006935A3">
              <w:rPr>
                <w:lang w:val="fr-FR"/>
              </w:rPr>
              <w:t xml:space="preserve"> "notamment les loups", " sur le développement durable des écosystèmes et des zones rurales peuplées " "ainsi que d’autr</w:t>
            </w:r>
            <w:r w:rsidR="008026B0">
              <w:rPr>
                <w:lang w:val="fr-FR"/>
              </w:rPr>
              <w:t xml:space="preserve">es activités socio-économiques", </w:t>
            </w:r>
            <w:r w:rsidR="008026B0" w:rsidRPr="00555FF1">
              <w:rPr>
                <w:lang w:val="fr-FR"/>
              </w:rPr>
              <w:t>"pour ne pas compromettre le développement durable des zones rurales"</w:t>
            </w:r>
            <w:bookmarkStart w:id="0" w:name="_GoBack"/>
            <w:bookmarkEnd w:id="0"/>
          </w:p>
        </w:tc>
      </w:tr>
      <w:tr w:rsidR="00853DCF">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Default="00E81918">
            <w:pPr>
              <w:pStyle w:val="REMARKTABLECELLSIMPLE"/>
            </w:pPr>
            <w:r>
              <w:t>"</w:t>
            </w:r>
            <w:proofErr w:type="spellStart"/>
            <w:r>
              <w:t>notamment</w:t>
            </w:r>
            <w:proofErr w:type="spellEnd"/>
            <w:r>
              <w:t xml:space="preserve"> les loups"</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3ème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"sur le développement durable des écosystèmes et des zones rurales peuplées"</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4ème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"ainsi que d’autres activités socio-économiques"</w:t>
            </w:r>
          </w:p>
        </w:tc>
      </w:tr>
      <w:tr w:rsidR="00555FF1" w:rsidRPr="008026B0">
        <w:trPr>
          <w:cantSplit/>
        </w:trPr>
        <w:tc>
          <w:tcPr>
            <w:tcW w:w="1570" w:type="dxa"/>
            <w:tcMar>
              <w:top w:w="0" w:type="dxa"/>
              <w:left w:w="0" w:type="dxa"/>
              <w:bottom w:w="0" w:type="dxa"/>
              <w:right w:w="0" w:type="dxa"/>
            </w:tcMar>
          </w:tcPr>
          <w:p w:rsidR="00555FF1" w:rsidRDefault="00555FF1" w:rsidP="00203B4D">
            <w:pPr>
              <w:pStyle w:val="REMARKTABLECELLITALIC"/>
            </w:pPr>
            <w:r>
              <w:t xml:space="preserve">5ème </w:t>
            </w:r>
            <w:proofErr w:type="spellStart"/>
            <w:r>
              <w:t>partie</w:t>
            </w:r>
            <w:proofErr w:type="spellEnd"/>
          </w:p>
        </w:tc>
        <w:tc>
          <w:tcPr>
            <w:tcW w:w="7495" w:type="dxa"/>
            <w:tcMar>
              <w:top w:w="0" w:type="dxa"/>
              <w:left w:w="0" w:type="dxa"/>
              <w:bottom w:w="0" w:type="dxa"/>
              <w:right w:w="0" w:type="dxa"/>
            </w:tcMar>
          </w:tcPr>
          <w:p w:rsidR="00555FF1" w:rsidRPr="006935A3" w:rsidRDefault="00555FF1">
            <w:pPr>
              <w:pStyle w:val="REMARKTABLECELLSIMPLE"/>
              <w:rPr>
                <w:lang w:val="fr-FR"/>
              </w:rPr>
            </w:pPr>
            <w:r w:rsidRPr="00555FF1">
              <w:rPr>
                <w:lang w:val="fr-FR"/>
              </w:rPr>
              <w:t>"pour ne pas compromettre le développement durable des zones rurales"</w:t>
            </w:r>
          </w:p>
        </w:tc>
      </w:tr>
    </w:tbl>
    <w:p w:rsidR="00853DCF" w:rsidRPr="006935A3" w:rsidRDefault="00853DCF">
      <w:pPr>
        <w:pStyle w:val="STYTAB"/>
        <w:rPr>
          <w:lang w:val="fr-FR"/>
        </w:rPr>
      </w:pPr>
    </w:p>
    <w:p w:rsidR="00853DCF" w:rsidRPr="006935A3" w:rsidRDefault="00853DCF">
      <w:pPr>
        <w:pStyle w:val="STYTAB"/>
        <w:rPr>
          <w:lang w:val="fr-FR"/>
        </w:rPr>
      </w:pPr>
    </w:p>
    <w:p w:rsidR="00853DCF" w:rsidRPr="006935A3" w:rsidRDefault="00E81918">
      <w:pPr>
        <w:pStyle w:val="VOTETITLE"/>
        <w:rPr>
          <w:lang w:val="fr-FR"/>
        </w:rPr>
      </w:pPr>
      <w:r w:rsidRPr="006935A3">
        <w:rPr>
          <w:lang w:val="fr-FR"/>
        </w:rPr>
        <w:t>La situation de l'état de droit et de la démocratie en Pologne</w:t>
      </w:r>
    </w:p>
    <w:p w:rsidR="00853DCF" w:rsidRPr="006935A3" w:rsidRDefault="00E81918">
      <w:pPr>
        <w:pStyle w:val="VOTEREPORTTITLE"/>
        <w:rPr>
          <w:lang w:val="fr-FR"/>
        </w:rPr>
      </w:pPr>
      <w:r w:rsidRPr="006935A3">
        <w:rPr>
          <w:lang w:val="fr-FR"/>
        </w:rPr>
        <w:t>Propositions de résolution: B8-0594/2017, B8-0595/2017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53DCF" w:rsidRPr="008026B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Objet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Auteur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Default="00E81918">
            <w:pPr>
              <w:pStyle w:val="VOTINGTABLEHEADER"/>
            </w:pPr>
            <w:r>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53DCF" w:rsidRPr="006935A3" w:rsidRDefault="00E81918">
            <w:pPr>
              <w:pStyle w:val="VOTINGTABLEHEADER"/>
              <w:rPr>
                <w:lang w:val="fr-FR"/>
              </w:rPr>
            </w:pPr>
            <w:r w:rsidRPr="006935A3">
              <w:rPr>
                <w:lang w:val="fr-FR"/>
              </w:rPr>
              <w:t>Votes par AN/VE - observations</w:t>
            </w:r>
          </w:p>
        </w:tc>
      </w:tr>
      <w:tr w:rsidR="00853DCF" w:rsidRPr="008026B0">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rsidP="00E81918">
            <w:pPr>
              <w:pStyle w:val="VOTINGTABLECELLOBJECT"/>
              <w:rPr>
                <w:lang w:val="fr-FR"/>
              </w:rPr>
            </w:pPr>
            <w:r w:rsidRPr="006935A3">
              <w:rPr>
                <w:lang w:val="fr-FR"/>
              </w:rPr>
              <w:t>Proposition de r</w:t>
            </w:r>
            <w:r>
              <w:rPr>
                <w:lang w:val="fr-FR"/>
              </w:rPr>
              <w:t>é</w:t>
            </w:r>
            <w:r w:rsidRPr="006935A3">
              <w:rPr>
                <w:lang w:val="fr-FR"/>
              </w:rPr>
              <w:t>solution B8-0594/2017</w:t>
            </w:r>
            <w:r w:rsidRPr="006935A3">
              <w:rPr>
                <w:lang w:val="fr-FR"/>
              </w:rPr>
              <w:br/>
              <w:t>(groupe ECR)</w:t>
            </w:r>
          </w:p>
        </w:tc>
      </w:tr>
      <w:tr w:rsidR="00853DC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proofErr w:type="gramStart"/>
            <w:r w:rsidRPr="006935A3">
              <w:rPr>
                <w:lang w:val="fr-FR"/>
              </w:rPr>
              <w:t>vote:</w:t>
            </w:r>
            <w:proofErr w:type="gramEnd"/>
            <w:r w:rsidRPr="006935A3">
              <w:rPr>
                <w:lang w:val="fr-FR"/>
              </w:rPr>
              <w:t xml:space="preserve"> résolution (ensemble du texte)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853DCF">
            <w:pPr>
              <w:pStyle w:val="VOTINGTABLECELLAN"/>
              <w:rPr>
                <w:lang w:val="fr-F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rsidRPr="008026B0">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Pr>
                <w:lang w:val="fr-FR"/>
              </w:rPr>
              <w:t>Proposition de ré</w:t>
            </w:r>
            <w:r w:rsidRPr="006935A3">
              <w:rPr>
                <w:lang w:val="fr-FR"/>
              </w:rPr>
              <w:t>solution B8-0595/2017</w:t>
            </w:r>
            <w:r w:rsidRPr="006935A3">
              <w:rPr>
                <w:lang w:val="fr-FR"/>
              </w:rPr>
              <w:br/>
              <w:t>(PPE, ALDE, S&amp;D, GUE/NGL, Verts/ALE)</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lastRenderedPageBreak/>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568, 30, 78</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127, 525, 26</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119, 527, 27</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12S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115, 527, 27</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501, 143, 26</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67, 580, 21</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13S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r>
              <w:t>Après le §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 xml:space="preserve">GUE/NGL, </w:t>
            </w:r>
            <w:proofErr w:type="spellStart"/>
            <w:r>
              <w:t>Verts</w:t>
            </w:r>
            <w:proofErr w:type="spellEnd"/>
            <w:r>
              <w:t>/ALE,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323, 262, 85</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383, 200, 85</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 xml:space="preserve">GUE/NGL, </w:t>
            </w:r>
            <w:proofErr w:type="spellStart"/>
            <w:r>
              <w:t>Verts</w:t>
            </w:r>
            <w:proofErr w:type="spellEnd"/>
            <w:r>
              <w:t>/ALE,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406, 207, 58</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rsidP="00E81918">
            <w:pPr>
              <w:pStyle w:val="VOTINGTABLECELLAUTHOR"/>
            </w:pPr>
            <w:r>
              <w:t>GUE/NGL,</w:t>
            </w:r>
            <w:r>
              <w:br/>
            </w:r>
            <w:proofErr w:type="spellStart"/>
            <w:r>
              <w:t>Verts</w:t>
            </w:r>
            <w:proofErr w:type="spellEnd"/>
            <w: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283, 298, 83</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536, 116, 15</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538, 102, 30</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132, 517, 27</w:t>
            </w: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448, 190, 29</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508, 149, 15</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lastRenderedPageBreak/>
              <w:t>Après le §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 xml:space="preserve">PPE, S&amp;D, ALDE, </w:t>
            </w:r>
            <w:proofErr w:type="spellStart"/>
            <w:r>
              <w:t>Verts</w:t>
            </w:r>
            <w:proofErr w:type="spellEnd"/>
            <w:r>
              <w:t>/ALE,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Après le visa 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 xml:space="preserve">GUE/NGL, </w:t>
            </w:r>
            <w:proofErr w:type="spellStart"/>
            <w:r>
              <w:t>Verts</w:t>
            </w:r>
            <w:proofErr w:type="spellEnd"/>
            <w:r>
              <w:t>/ALE,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387, 203, 77</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proofErr w:type="spellStart"/>
            <w:r>
              <w:t>Considérant</w:t>
            </w:r>
            <w:proofErr w:type="spellEnd"/>
            <w:r>
              <w:t xml:space="preserve">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532, 58, 76</w:t>
            </w:r>
          </w:p>
        </w:tc>
      </w:tr>
      <w:tr w:rsidR="00853DC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OBJECT"/>
            </w:pPr>
            <w:proofErr w:type="spellStart"/>
            <w:r>
              <w:t>Considérant</w:t>
            </w:r>
            <w:proofErr w:type="spellEnd"/>
            <w:r>
              <w:t xml:space="preserve"> H</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proofErr w:type="spellStart"/>
            <w:r>
              <w:t>texte</w:t>
            </w:r>
            <w:proofErr w:type="spellEnd"/>
            <w:r>
              <w:t xml:space="preserve">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pPr>
              <w:pStyle w:val="VOTINGTABLECELLREMARK"/>
            </w:pPr>
          </w:p>
        </w:tc>
      </w:tr>
      <w:tr w:rsidR="00853DC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853DC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491, 124, 54</w:t>
            </w:r>
          </w:p>
        </w:tc>
      </w:tr>
      <w:tr w:rsidR="00853DC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SIMPLEOBJECT"/>
            </w:pPr>
            <w:r>
              <w:t xml:space="preserve">Après le </w:t>
            </w:r>
            <w:proofErr w:type="spellStart"/>
            <w:r>
              <w:t>considérant</w:t>
            </w:r>
            <w:proofErr w:type="spellEnd"/>
            <w:r>
              <w:t xml:space="preserve"> J</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UTHOR"/>
            </w:pPr>
            <w:r>
              <w:t xml:space="preserve">GUE/NGL, </w:t>
            </w:r>
            <w:proofErr w:type="spellStart"/>
            <w:r>
              <w:t>Verts</w:t>
            </w:r>
            <w:proofErr w:type="spellEnd"/>
            <w:r>
              <w:t>/ALE,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389, 220, 54</w:t>
            </w:r>
          </w:p>
        </w:tc>
      </w:tr>
      <w:tr w:rsidR="00853DC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Pr="006935A3" w:rsidRDefault="00E81918">
            <w:pPr>
              <w:pStyle w:val="VOTINGTABLECELLOBJECT"/>
              <w:rPr>
                <w:lang w:val="fr-FR"/>
              </w:rPr>
            </w:pPr>
            <w:r w:rsidRPr="006935A3">
              <w:rPr>
                <w:lang w:val="fr-FR"/>
              </w:rPr>
              <w:t>vote: résolution (ensemble du texte)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DCF" w:rsidRDefault="00E81918">
            <w:pPr>
              <w:pStyle w:val="VOTINGTABLECELLREMARK"/>
            </w:pPr>
            <w:r>
              <w:t>438, 152, 71</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 par appel nominal</w:t>
            </w:r>
          </w:p>
        </w:tc>
      </w:tr>
      <w:tr w:rsidR="00853DCF">
        <w:tc>
          <w:tcPr>
            <w:tcW w:w="1570" w:type="dxa"/>
            <w:tcMar>
              <w:top w:w="0" w:type="dxa"/>
              <w:left w:w="0" w:type="dxa"/>
              <w:bottom w:w="0" w:type="dxa"/>
              <w:right w:w="0" w:type="dxa"/>
            </w:tcMar>
          </w:tcPr>
          <w:p w:rsidR="00853DCF" w:rsidRDefault="00E81918">
            <w:pPr>
              <w:pStyle w:val="REMARKTABLECELLSIMPLE"/>
            </w:pPr>
            <w:r>
              <w:t>ECR:</w:t>
            </w:r>
          </w:p>
        </w:tc>
        <w:tc>
          <w:tcPr>
            <w:tcW w:w="7495" w:type="dxa"/>
            <w:tcMar>
              <w:top w:w="0" w:type="dxa"/>
              <w:left w:w="0" w:type="dxa"/>
              <w:bottom w:w="0" w:type="dxa"/>
              <w:right w:w="0" w:type="dxa"/>
            </w:tcMar>
          </w:tcPr>
          <w:p w:rsidR="00853DCF" w:rsidRDefault="00E81918" w:rsidP="00AF7220">
            <w:pPr>
              <w:pStyle w:val="REMARKTABLECELLSIMPLE"/>
            </w:pPr>
            <w:proofErr w:type="spellStart"/>
            <w:r>
              <w:t>am</w:t>
            </w:r>
            <w:r w:rsidR="00AF7220">
              <w:t>endements</w:t>
            </w:r>
            <w:proofErr w:type="spellEnd"/>
            <w:r>
              <w:t xml:space="preserve"> 3, 4, 5, 6 , 7, § 14, vote final (B8-0595/2017)</w:t>
            </w:r>
          </w:p>
        </w:tc>
      </w:tr>
      <w:tr w:rsidR="00853DCF" w:rsidRPr="008026B0">
        <w:tc>
          <w:tcPr>
            <w:tcW w:w="1570" w:type="dxa"/>
            <w:tcMar>
              <w:top w:w="0" w:type="dxa"/>
              <w:left w:w="0" w:type="dxa"/>
              <w:bottom w:w="0" w:type="dxa"/>
              <w:right w:w="0" w:type="dxa"/>
            </w:tcMar>
          </w:tcPr>
          <w:p w:rsidR="00853DCF" w:rsidRDefault="00E81918">
            <w:pPr>
              <w:pStyle w:val="REMARKTABLECELLSIMPLE"/>
            </w:pPr>
            <w:r>
              <w:t>EFDD:</w:t>
            </w:r>
          </w:p>
        </w:tc>
        <w:tc>
          <w:tcPr>
            <w:tcW w:w="7495" w:type="dxa"/>
            <w:tcMar>
              <w:top w:w="0" w:type="dxa"/>
              <w:left w:w="0" w:type="dxa"/>
              <w:bottom w:w="0" w:type="dxa"/>
              <w:right w:w="0" w:type="dxa"/>
            </w:tcMar>
          </w:tcPr>
          <w:p w:rsidR="00853DCF" w:rsidRPr="006935A3" w:rsidRDefault="00E81918" w:rsidP="00AF7220">
            <w:pPr>
              <w:pStyle w:val="REMARKTABLECELLSIMPLE"/>
              <w:rPr>
                <w:lang w:val="fr-FR"/>
              </w:rPr>
            </w:pPr>
            <w:r w:rsidRPr="006935A3">
              <w:rPr>
                <w:lang w:val="fr-FR"/>
              </w:rPr>
              <w:t>§§ 1 (</w:t>
            </w:r>
            <w:r w:rsidR="00555FF1">
              <w:rPr>
                <w:lang w:val="fr-FR"/>
              </w:rPr>
              <w:t>2ème</w:t>
            </w:r>
            <w:r w:rsidRPr="006935A3">
              <w:rPr>
                <w:lang w:val="fr-FR"/>
              </w:rPr>
              <w:t xml:space="preserve"> partie), 10, 12, 13, 14, 15, considérant</w:t>
            </w:r>
            <w:r w:rsidR="00AF7220">
              <w:rPr>
                <w:lang w:val="fr-FR"/>
              </w:rPr>
              <w:t>s</w:t>
            </w:r>
            <w:r w:rsidRPr="006935A3">
              <w:rPr>
                <w:lang w:val="fr-FR"/>
              </w:rPr>
              <w:t xml:space="preserve"> D</w:t>
            </w:r>
            <w:r w:rsidR="00555FF1">
              <w:rPr>
                <w:lang w:val="fr-FR"/>
              </w:rPr>
              <w:t>, H</w:t>
            </w:r>
            <w:r w:rsidRPr="006935A3">
              <w:rPr>
                <w:lang w:val="fr-FR"/>
              </w:rPr>
              <w:t xml:space="preserve"> (2ème partie), amendements 11, 12</w:t>
            </w:r>
          </w:p>
        </w:tc>
      </w:tr>
      <w:tr w:rsidR="00853DCF">
        <w:tc>
          <w:tcPr>
            <w:tcW w:w="1570" w:type="dxa"/>
            <w:tcMar>
              <w:top w:w="0" w:type="dxa"/>
              <w:left w:w="0" w:type="dxa"/>
              <w:bottom w:w="0" w:type="dxa"/>
              <w:right w:w="0" w:type="dxa"/>
            </w:tcMar>
          </w:tcPr>
          <w:p w:rsidR="00853DCF" w:rsidRDefault="00E81918">
            <w:pPr>
              <w:pStyle w:val="REMARKTABLECELLSIMPLE"/>
            </w:pPr>
            <w:r>
              <w:t>GUE/NGL:</w:t>
            </w:r>
          </w:p>
        </w:tc>
        <w:tc>
          <w:tcPr>
            <w:tcW w:w="7495" w:type="dxa"/>
            <w:tcMar>
              <w:top w:w="0" w:type="dxa"/>
              <w:left w:w="0" w:type="dxa"/>
              <w:bottom w:w="0" w:type="dxa"/>
              <w:right w:w="0" w:type="dxa"/>
            </w:tcMar>
          </w:tcPr>
          <w:p w:rsidR="00853DCF" w:rsidRDefault="00E81918">
            <w:pPr>
              <w:pStyle w:val="REMARKTABLECELLSIMPLE"/>
            </w:pPr>
            <w:proofErr w:type="spellStart"/>
            <w:r>
              <w:t>amendements</w:t>
            </w:r>
            <w:proofErr w:type="spellEnd"/>
            <w:r>
              <w:t xml:space="preserve"> 2, 3, 4, 5, 6, 7</w:t>
            </w:r>
          </w:p>
        </w:tc>
      </w:tr>
      <w:tr w:rsidR="00853DCF">
        <w:tc>
          <w:tcPr>
            <w:tcW w:w="1570" w:type="dxa"/>
            <w:tcMar>
              <w:top w:w="0" w:type="dxa"/>
              <w:left w:w="0" w:type="dxa"/>
              <w:bottom w:w="0" w:type="dxa"/>
              <w:right w:w="0" w:type="dxa"/>
            </w:tcMar>
          </w:tcPr>
          <w:p w:rsidR="00853DCF" w:rsidRDefault="00E81918">
            <w:pPr>
              <w:pStyle w:val="REMARKTABLECELLSIMPLE"/>
            </w:pPr>
            <w:r>
              <w:t>ENF:</w:t>
            </w:r>
          </w:p>
        </w:tc>
        <w:tc>
          <w:tcPr>
            <w:tcW w:w="7495" w:type="dxa"/>
            <w:tcMar>
              <w:top w:w="0" w:type="dxa"/>
              <w:left w:w="0" w:type="dxa"/>
              <w:bottom w:w="0" w:type="dxa"/>
              <w:right w:w="0" w:type="dxa"/>
            </w:tcMar>
          </w:tcPr>
          <w:p w:rsidR="00853DCF" w:rsidRDefault="00E81918" w:rsidP="00AF7220">
            <w:pPr>
              <w:pStyle w:val="REMARKTABLECELLSIMPLE"/>
            </w:pPr>
            <w:r>
              <w:t>am</w:t>
            </w:r>
            <w:r w:rsidR="00AF7220">
              <w:t>endements</w:t>
            </w:r>
            <w:r>
              <w:t xml:space="preserve"> 9, 15, vote final (B8-0595/2017)</w:t>
            </w:r>
          </w:p>
        </w:tc>
      </w:tr>
      <w:tr w:rsidR="00853DCF">
        <w:tc>
          <w:tcPr>
            <w:tcW w:w="1570" w:type="dxa"/>
            <w:tcMar>
              <w:top w:w="0" w:type="dxa"/>
              <w:left w:w="0" w:type="dxa"/>
              <w:bottom w:w="0" w:type="dxa"/>
              <w:right w:w="0" w:type="dxa"/>
            </w:tcMar>
          </w:tcPr>
          <w:p w:rsidR="00853DCF" w:rsidRDefault="00E81918">
            <w:pPr>
              <w:pStyle w:val="REMARKTABLECELLSIMPLE"/>
            </w:pPr>
            <w:r>
              <w:t>PPE:</w:t>
            </w:r>
          </w:p>
        </w:tc>
        <w:tc>
          <w:tcPr>
            <w:tcW w:w="7495" w:type="dxa"/>
            <w:tcMar>
              <w:top w:w="0" w:type="dxa"/>
              <w:left w:w="0" w:type="dxa"/>
              <w:bottom w:w="0" w:type="dxa"/>
              <w:right w:w="0" w:type="dxa"/>
            </w:tcMar>
          </w:tcPr>
          <w:p w:rsidR="00853DCF" w:rsidRDefault="00E81918">
            <w:pPr>
              <w:pStyle w:val="REMARKTABLECELLSIMPLE"/>
            </w:pPr>
            <w:r>
              <w:t>§ 14</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trPr>
          <w:cantSplit/>
        </w:trPr>
        <w:tc>
          <w:tcPr>
            <w:tcW w:w="9065" w:type="dxa"/>
            <w:gridSpan w:val="2"/>
            <w:tcMar>
              <w:top w:w="0" w:type="dxa"/>
              <w:left w:w="0" w:type="dxa"/>
              <w:bottom w:w="0" w:type="dxa"/>
              <w:right w:w="0" w:type="dxa"/>
            </w:tcMar>
          </w:tcPr>
          <w:p w:rsidR="00853DCF" w:rsidRDefault="00E81918" w:rsidP="00E81918">
            <w:pPr>
              <w:pStyle w:val="REMARKTABLECELLTITLE"/>
              <w:tabs>
                <w:tab w:val="center" w:pos="4532"/>
              </w:tabs>
            </w:pPr>
            <w:proofErr w:type="spellStart"/>
            <w:r>
              <w:t>Demandes</w:t>
            </w:r>
            <w:proofErr w:type="spellEnd"/>
            <w:r>
              <w:t xml:space="preserve"> de vote </w:t>
            </w:r>
            <w:proofErr w:type="spellStart"/>
            <w:r>
              <w:t>séparé</w:t>
            </w:r>
            <w:proofErr w:type="spellEnd"/>
            <w:r>
              <w:tab/>
            </w:r>
          </w:p>
        </w:tc>
      </w:tr>
      <w:tr w:rsidR="00853DCF">
        <w:tc>
          <w:tcPr>
            <w:tcW w:w="1570" w:type="dxa"/>
            <w:tcMar>
              <w:top w:w="0" w:type="dxa"/>
              <w:left w:w="0" w:type="dxa"/>
              <w:bottom w:w="0" w:type="dxa"/>
              <w:right w:w="0" w:type="dxa"/>
            </w:tcMar>
          </w:tcPr>
          <w:p w:rsidR="00853DCF" w:rsidRDefault="00E81918">
            <w:pPr>
              <w:pStyle w:val="REMARKTABLECELLSIMPLE"/>
            </w:pPr>
            <w:r>
              <w:t>ECR, PPE:</w:t>
            </w:r>
          </w:p>
        </w:tc>
        <w:tc>
          <w:tcPr>
            <w:tcW w:w="7495" w:type="dxa"/>
            <w:tcMar>
              <w:top w:w="0" w:type="dxa"/>
              <w:left w:w="0" w:type="dxa"/>
              <w:bottom w:w="0" w:type="dxa"/>
              <w:right w:w="0" w:type="dxa"/>
            </w:tcMar>
          </w:tcPr>
          <w:p w:rsidR="00853DCF" w:rsidRDefault="00E81918">
            <w:pPr>
              <w:pStyle w:val="REMARKTABLECELLSIMPLE"/>
            </w:pPr>
            <w:r>
              <w:t>§ 14</w:t>
            </w:r>
          </w:p>
        </w:tc>
      </w:tr>
    </w:tbl>
    <w:p w:rsidR="00853DCF" w:rsidRDefault="00853DCF">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53DCF" w:rsidRPr="008026B0">
        <w:trPr>
          <w:cantSplit/>
        </w:trPr>
        <w:tc>
          <w:tcPr>
            <w:tcW w:w="9065" w:type="dxa"/>
            <w:gridSpan w:val="2"/>
            <w:tcMar>
              <w:top w:w="0" w:type="dxa"/>
              <w:left w:w="0" w:type="dxa"/>
              <w:bottom w:w="0" w:type="dxa"/>
              <w:right w:w="0" w:type="dxa"/>
            </w:tcMar>
          </w:tcPr>
          <w:p w:rsidR="00853DCF" w:rsidRPr="006935A3" w:rsidRDefault="00E81918">
            <w:pPr>
              <w:pStyle w:val="REMARKTABLECELLTITLE"/>
              <w:rPr>
                <w:lang w:val="fr-FR"/>
              </w:rPr>
            </w:pPr>
            <w:r w:rsidRPr="006935A3">
              <w:rPr>
                <w:lang w:val="fr-FR"/>
              </w:rPr>
              <w:t>Demandes de votes par division</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EFDD:</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t>§ 1</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"souligne qu’il est d’une importance fondamentale de défendre les valeurs européennes communes inscrites à l’article 2 du traité UE et dans la constitution polonaise "</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"et que les droits fondamentaux tels qu’énoncés dans la charte des droits fondamentaux de l’Union européenne soient garantis"</w:t>
            </w:r>
          </w:p>
        </w:tc>
      </w:tr>
      <w:tr w:rsidR="00853DCF" w:rsidRPr="008026B0">
        <w:trPr>
          <w:cantSplit/>
        </w:trPr>
        <w:tc>
          <w:tcPr>
            <w:tcW w:w="9065" w:type="dxa"/>
            <w:gridSpan w:val="2"/>
            <w:tcMar>
              <w:top w:w="0" w:type="dxa"/>
              <w:left w:w="0" w:type="dxa"/>
              <w:bottom w:w="0" w:type="dxa"/>
              <w:right w:w="0" w:type="dxa"/>
            </w:tcMar>
          </w:tcPr>
          <w:p w:rsidR="00853DCF" w:rsidRPr="006935A3" w:rsidRDefault="00853DCF">
            <w:pPr>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considérant</w:t>
            </w:r>
            <w:proofErr w:type="spellEnd"/>
            <w:r>
              <w:t xml:space="preserve"> H</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 xml:space="preserve">"considérant que les refus du gouvernement polonais de mettre en œuvre les mesures ordonnées par la Cour de justice de l’Union européenne concernant l’abattage des arbres dans la forêt de </w:t>
            </w:r>
            <w:proofErr w:type="spellStart"/>
            <w:r w:rsidRPr="006935A3">
              <w:rPr>
                <w:lang w:val="fr-FR"/>
              </w:rPr>
              <w:t>Białowieża</w:t>
            </w:r>
            <w:proofErr w:type="spellEnd"/>
            <w:r w:rsidRPr="006935A3">
              <w:rPr>
                <w:lang w:val="fr-FR"/>
              </w:rPr>
              <w:t xml:space="preserve"> "</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"et d’obtempérer aux ordonnances de référé émises par la CEDH en matière d’expulsions vers la Biélorussie sont les symboles visibles du non-respect par la Pologne des traités de l’Union européenne"</w:t>
            </w:r>
          </w:p>
        </w:tc>
      </w:tr>
      <w:tr w:rsidR="00853DCF" w:rsidRPr="008026B0">
        <w:tc>
          <w:tcPr>
            <w:tcW w:w="9065" w:type="dxa"/>
            <w:gridSpan w:val="2"/>
            <w:tcMar>
              <w:top w:w="0" w:type="dxa"/>
              <w:left w:w="0" w:type="dxa"/>
              <w:bottom w:w="0" w:type="dxa"/>
              <w:right w:w="0" w:type="dxa"/>
            </w:tcMar>
          </w:tcPr>
          <w:p w:rsidR="00853DCF" w:rsidRPr="006935A3" w:rsidRDefault="00853DCF">
            <w:pPr>
              <w:pStyle w:val="REMARKTABLECELLSIMPLE"/>
              <w:rPr>
                <w:lang w:val="fr-FR"/>
              </w:rPr>
            </w:pP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r>
              <w:lastRenderedPageBreak/>
              <w:t>ALDE:</w:t>
            </w:r>
          </w:p>
        </w:tc>
      </w:tr>
      <w:tr w:rsidR="00853DCF">
        <w:trPr>
          <w:cantSplit/>
        </w:trPr>
        <w:tc>
          <w:tcPr>
            <w:tcW w:w="9065" w:type="dxa"/>
            <w:gridSpan w:val="2"/>
            <w:tcMar>
              <w:top w:w="0" w:type="dxa"/>
              <w:left w:w="0" w:type="dxa"/>
              <w:bottom w:w="0" w:type="dxa"/>
              <w:right w:w="0" w:type="dxa"/>
            </w:tcMar>
          </w:tcPr>
          <w:p w:rsidR="00853DCF" w:rsidRDefault="00E81918">
            <w:pPr>
              <w:pStyle w:val="REMARKTABLECELLSIMPLE"/>
            </w:pPr>
            <w:proofErr w:type="spellStart"/>
            <w:r>
              <w:t>amendement</w:t>
            </w:r>
            <w:proofErr w:type="spellEnd"/>
            <w:r>
              <w:t xml:space="preserve"> 6</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1ère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"invite le gouvernement polonais à prendre une position ferme sur les droits des femmes et des filles en leur assurant une contraception gratuite et accessible sans discrimination, et en leur donnant accès à la contraception d’urgence sans prescription médicale"</w:t>
            </w:r>
          </w:p>
        </w:tc>
      </w:tr>
      <w:tr w:rsidR="00853DCF" w:rsidRPr="008026B0">
        <w:trPr>
          <w:cantSplit/>
        </w:trPr>
        <w:tc>
          <w:tcPr>
            <w:tcW w:w="1570" w:type="dxa"/>
            <w:tcMar>
              <w:top w:w="0" w:type="dxa"/>
              <w:left w:w="0" w:type="dxa"/>
              <w:bottom w:w="0" w:type="dxa"/>
              <w:right w:w="0" w:type="dxa"/>
            </w:tcMar>
          </w:tcPr>
          <w:p w:rsidR="00853DCF" w:rsidRDefault="00E81918">
            <w:pPr>
              <w:pStyle w:val="REMARKTABLECELLITALIC"/>
            </w:pPr>
            <w:r>
              <w:t xml:space="preserve">2ème </w:t>
            </w:r>
            <w:proofErr w:type="spellStart"/>
            <w:r>
              <w:t>partie</w:t>
            </w:r>
            <w:proofErr w:type="spellEnd"/>
          </w:p>
        </w:tc>
        <w:tc>
          <w:tcPr>
            <w:tcW w:w="749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"demande, dans ce contexte, que la loi limitant l’accès des femmes et des filles à la pilule contraceptive d’urgence soit abrogée"</w:t>
            </w:r>
          </w:p>
        </w:tc>
      </w:tr>
    </w:tbl>
    <w:p w:rsidR="00853DCF" w:rsidRPr="006935A3" w:rsidRDefault="00853DCF">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853DCF">
        <w:trPr>
          <w:cantSplit/>
        </w:trPr>
        <w:tc>
          <w:tcPr>
            <w:tcW w:w="9065" w:type="dxa"/>
            <w:gridSpan w:val="2"/>
            <w:tcMar>
              <w:top w:w="0" w:type="dxa"/>
              <w:left w:w="0" w:type="dxa"/>
              <w:bottom w:w="0" w:type="dxa"/>
              <w:right w:w="0" w:type="dxa"/>
            </w:tcMar>
          </w:tcPr>
          <w:p w:rsidR="00853DCF" w:rsidRDefault="00E81918">
            <w:pPr>
              <w:pStyle w:val="REMARKTABLECELLTITLE"/>
            </w:pPr>
            <w:r>
              <w:t>Divers</w:t>
            </w:r>
          </w:p>
        </w:tc>
      </w:tr>
      <w:tr w:rsidR="00853DCF" w:rsidRPr="008026B0">
        <w:trPr>
          <w:gridAfter w:val="1"/>
          <w:wAfter w:w="360" w:type="dxa"/>
          <w:cantSplit/>
        </w:trPr>
        <w:tc>
          <w:tcPr>
            <w:tcW w:w="9065" w:type="dxa"/>
            <w:tcMar>
              <w:top w:w="0" w:type="dxa"/>
              <w:left w:w="0" w:type="dxa"/>
              <w:bottom w:w="0" w:type="dxa"/>
              <w:right w:w="0" w:type="dxa"/>
            </w:tcMar>
          </w:tcPr>
          <w:p w:rsidR="00853DCF" w:rsidRPr="006935A3" w:rsidRDefault="00E81918">
            <w:pPr>
              <w:pStyle w:val="REMARKTABLECELLSIMPLE"/>
              <w:rPr>
                <w:lang w:val="fr-FR"/>
              </w:rPr>
            </w:pPr>
            <w:r w:rsidRPr="006935A3">
              <w:rPr>
                <w:lang w:val="fr-FR"/>
              </w:rPr>
              <w:t>Julie Ward (groupe S&amp;D) est également signataire des amendements 1, 4, 5, 6, 7.</w:t>
            </w:r>
          </w:p>
        </w:tc>
      </w:tr>
    </w:tbl>
    <w:p w:rsidR="005C2C63" w:rsidRPr="006935A3" w:rsidRDefault="005C2C63">
      <w:pPr>
        <w:rPr>
          <w:lang w:val="fr-FR"/>
        </w:rPr>
      </w:pPr>
    </w:p>
    <w:sectPr w:rsidR="005C2C63" w:rsidRPr="006935A3">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7D" w:rsidRDefault="00881D7D">
      <w:r>
        <w:separator/>
      </w:r>
    </w:p>
  </w:endnote>
  <w:endnote w:type="continuationSeparator" w:id="0">
    <w:p w:rsidR="00881D7D" w:rsidRDefault="0088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121"/>
      <w:gridCol w:w="822"/>
      <w:gridCol w:w="4121"/>
    </w:tblGrid>
    <w:tr w:rsidR="00853DCF">
      <w:tc>
        <w:tcPr>
          <w:tcW w:w="4121" w:type="dxa"/>
        </w:tcPr>
        <w:p w:rsidR="00853DCF" w:rsidRDefault="00E81918" w:rsidP="002F6652">
          <w:pPr>
            <w:pStyle w:val="FOOTERSTYLELEFTSTYLE"/>
          </w:pPr>
          <w:r>
            <w:t>P8_PV(2017)11-15(VOT)_FR.docx</w:t>
          </w:r>
        </w:p>
      </w:tc>
      <w:tc>
        <w:tcPr>
          <w:tcW w:w="822" w:type="dxa"/>
        </w:tcPr>
        <w:p w:rsidR="00853DCF" w:rsidRDefault="00E81918">
          <w:pPr>
            <w:pStyle w:val="FOOTERSTYLECENTERSTYLE"/>
          </w:pPr>
          <w:r>
            <w:fldChar w:fldCharType="begin"/>
          </w:r>
          <w:r>
            <w:instrText xml:space="preserve"> PAGE   \* MERGEFORMAT </w:instrText>
          </w:r>
          <w:r>
            <w:fldChar w:fldCharType="separate"/>
          </w:r>
          <w:r w:rsidR="008026B0">
            <w:rPr>
              <w:noProof/>
            </w:rPr>
            <w:t>14</w:t>
          </w:r>
          <w:r>
            <w:fldChar w:fldCharType="end"/>
          </w:r>
        </w:p>
      </w:tc>
      <w:tc>
        <w:tcPr>
          <w:tcW w:w="4121" w:type="dxa"/>
        </w:tcPr>
        <w:p w:rsidR="00853DCF" w:rsidRDefault="00E81918">
          <w:pPr>
            <w:pStyle w:val="FOOTERSTYLERIGHTSTYLE"/>
          </w:pPr>
          <w:r>
            <w:t>PE 613.722</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7D" w:rsidRDefault="00881D7D">
      <w:r>
        <w:rPr>
          <w:color w:val="000000"/>
        </w:rPr>
        <w:separator/>
      </w:r>
    </w:p>
  </w:footnote>
  <w:footnote w:type="continuationSeparator" w:id="0">
    <w:p w:rsidR="00881D7D" w:rsidRDefault="00881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203B4D"/>
    <w:rsid w:val="002C29C5"/>
    <w:rsid w:val="002F6652"/>
    <w:rsid w:val="00555FF1"/>
    <w:rsid w:val="005C2C63"/>
    <w:rsid w:val="0067693A"/>
    <w:rsid w:val="006935A3"/>
    <w:rsid w:val="007A5C46"/>
    <w:rsid w:val="007D3A6B"/>
    <w:rsid w:val="008026B0"/>
    <w:rsid w:val="00853DCF"/>
    <w:rsid w:val="00881D7D"/>
    <w:rsid w:val="00A90E4E"/>
    <w:rsid w:val="00AC2B49"/>
    <w:rsid w:val="00AF7220"/>
    <w:rsid w:val="00D05837"/>
    <w:rsid w:val="00D12AC1"/>
    <w:rsid w:val="00E8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41704-66F9-40E6-BD6A-E2AB169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val="en-GB"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3EFA39FF</Template>
  <TotalTime>37</TotalTime>
  <Pages>16</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10</cp:revision>
  <dcterms:created xsi:type="dcterms:W3CDTF">2017-11-15T13:12:00Z</dcterms:created>
  <dcterms:modified xsi:type="dcterms:W3CDTF">2017-12-13T17:20:00Z</dcterms:modified>
</cp:coreProperties>
</file>