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C5" w:rsidRDefault="007A5C46">
      <w:pPr>
        <w:pStyle w:val="ANNEXTITLE"/>
      </w:pPr>
      <w:r>
        <w:t>ANLAGE</w:t>
      </w:r>
    </w:p>
    <w:p w:rsidR="002C29C5" w:rsidRDefault="002C29C5">
      <w:pPr>
        <w:pStyle w:val="STYTAB"/>
      </w:pPr>
    </w:p>
    <w:p w:rsidR="002C29C5" w:rsidRDefault="007A5C46">
      <w:pPr>
        <w:pStyle w:val="VOTERESULT"/>
      </w:pPr>
      <w:r>
        <w:t>ERGEBNISSE DER ABSTIMMUNGEN</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442438">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Default="007A5C46">
            <w:pPr>
              <w:pStyle w:val="SIGNIFICATIONTITLE"/>
              <w:snapToGrid w:val="0"/>
            </w:pPr>
            <w:r>
              <w:t>Erklärung der Abkürzungen und Symbole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angenommen</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abgelehnt</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hinfällig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Z</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zurückgezogen</w:t>
            </w:r>
          </w:p>
        </w:tc>
      </w:tr>
      <w:tr w:rsidR="002C29C5" w:rsidRPr="00442438">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NA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namentliche Abstimmung (Ja-Stimmen, Nein-Stimmen, Enthaltungen)</w:t>
            </w:r>
          </w:p>
        </w:tc>
      </w:tr>
      <w:tr w:rsidR="002C29C5" w:rsidRPr="00442438">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EA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elektronische Abstimmung (Ja-Stimmen, Nein-Stimmen, Enthaltungen)</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getr.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getrennte Abstimmung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ges.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gesonderte Abstimmung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Änd.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Änderungsantrag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K</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Kompromissänderungsantrag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entspr.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entsprechender Teil</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Streichung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identische Änderungsanträge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Absatz/Ziffer/Nummer</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Artikel</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Erw.</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Erwägung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Entschl.antr.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Entschließungsantrag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gem. Entschl.antr.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gemeinsamer Entschließungsantrag</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geh.</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geheime Abstimmung</w:t>
            </w:r>
          </w:p>
        </w:tc>
      </w:tr>
    </w:tbl>
    <w:p w:rsidR="002C29C5" w:rsidRDefault="002C29C5">
      <w:bookmarkStart w:id="0" w:name="_GoBack"/>
      <w:bookmarkEnd w:id="0"/>
    </w:p>
    <w:p w:rsidR="004F3206" w:rsidRPr="00776B2E" w:rsidRDefault="00776B2E">
      <w:pPr>
        <w:pStyle w:val="VOTEFIRSTTITLE"/>
      </w:pPr>
      <w:r>
        <w:lastRenderedPageBreak/>
        <w:t>Inanspruchnahme des Solidaritätsfonds der Europäischen Union zwecks Hilfeleistung für Lettland</w:t>
      </w:r>
    </w:p>
    <w:p w:rsidR="004F3206" w:rsidRPr="00776B2E" w:rsidRDefault="00776B2E">
      <w:pPr>
        <w:pStyle w:val="VOTEREPORTTITLE"/>
      </w:pPr>
      <w:r>
        <w:t>Bericht: Inese Vaidere (A8-0357/2018) (Mehrheit der Mitglieder des Parlaments und 3/5 der abgegebenen Stimmen erforderlich)</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F3206" w:rsidRPr="0044243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einzige Abstimmung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402, 25, 7</w:t>
            </w:r>
          </w:p>
        </w:tc>
      </w:tr>
    </w:tbl>
    <w:p w:rsidR="004F3206" w:rsidRDefault="004F3206">
      <w:pPr>
        <w:pStyle w:val="STYTAB"/>
      </w:pPr>
    </w:p>
    <w:p w:rsidR="004F3206" w:rsidRDefault="004F3206">
      <w:pPr>
        <w:pStyle w:val="STYTAB"/>
      </w:pPr>
    </w:p>
    <w:p w:rsidR="004F3206" w:rsidRPr="00776B2E" w:rsidRDefault="00776B2E">
      <w:pPr>
        <w:pStyle w:val="VOTETITLE"/>
      </w:pPr>
      <w:r>
        <w:t>Entwicklungshilfe der EU für das Bildungswesen</w:t>
      </w:r>
    </w:p>
    <w:p w:rsidR="004F3206" w:rsidRDefault="00776B2E">
      <w:pPr>
        <w:pStyle w:val="VOTEREPORTTITLE"/>
      </w:pPr>
      <w:r>
        <w:t>Bericht: Vincent Peillon (A8-0327/2018)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F3206" w:rsidRPr="0044243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einzige Abstimmung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474, 41, 24</w:t>
            </w:r>
          </w:p>
        </w:tc>
      </w:tr>
    </w:tbl>
    <w:p w:rsidR="004F3206" w:rsidRDefault="004F3206">
      <w:pPr>
        <w:pStyle w:val="STYTAB"/>
      </w:pPr>
    </w:p>
    <w:p w:rsidR="004F3206" w:rsidRDefault="004F3206">
      <w:pPr>
        <w:pStyle w:val="STYTAB"/>
      </w:pPr>
    </w:p>
    <w:p w:rsidR="004F3206" w:rsidRDefault="00776B2E">
      <w:pPr>
        <w:pStyle w:val="VOTETITLE"/>
      </w:pPr>
      <w:r>
        <w:t>Energieeffizienz ***I</w:t>
      </w:r>
    </w:p>
    <w:p w:rsidR="004F3206" w:rsidRDefault="00776B2E">
      <w:pPr>
        <w:pStyle w:val="VOTEREPORTTITLE"/>
      </w:pPr>
      <w:r>
        <w:t>Bericht: Miroslav Poche (A8-0391/2017)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Vorläufige Einigung</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Vorläufige Einigung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434, 104, 37</w:t>
            </w:r>
          </w:p>
        </w:tc>
      </w:tr>
    </w:tbl>
    <w:p w:rsidR="004F3206" w:rsidRDefault="004F3206">
      <w:pPr>
        <w:pStyle w:val="STYTAB"/>
      </w:pPr>
    </w:p>
    <w:p w:rsidR="004F3206" w:rsidRDefault="004F3206">
      <w:pPr>
        <w:pStyle w:val="STYTAB"/>
      </w:pPr>
    </w:p>
    <w:p w:rsidR="004F3206" w:rsidRDefault="004F3206">
      <w:pPr>
        <w:pStyle w:val="STYTAB"/>
      </w:pPr>
    </w:p>
    <w:p w:rsidR="004F3206" w:rsidRPr="00776B2E" w:rsidRDefault="00776B2E">
      <w:pPr>
        <w:pStyle w:val="VOTETITLE"/>
      </w:pPr>
      <w:r>
        <w:t>Governance-System der Energieunion ***I</w:t>
      </w:r>
    </w:p>
    <w:p w:rsidR="004F3206" w:rsidRPr="00776B2E" w:rsidRDefault="00776B2E">
      <w:pPr>
        <w:pStyle w:val="VOTEREPORTTITLE"/>
      </w:pPr>
      <w:r>
        <w:t>Bericht: Michèle Rivasi und Jakop Dalunde (A8-0402/2017)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Vorläufige Einigung</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Vorläufige Einigung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475, 100, 33</w:t>
            </w:r>
          </w:p>
        </w:tc>
      </w:tr>
    </w:tbl>
    <w:p w:rsidR="004F3206" w:rsidRDefault="004F3206">
      <w:pPr>
        <w:pStyle w:val="STYTAB"/>
      </w:pPr>
    </w:p>
    <w:p w:rsidR="004F3206" w:rsidRDefault="004F3206">
      <w:pPr>
        <w:pStyle w:val="STYTAB"/>
      </w:pPr>
    </w:p>
    <w:p w:rsidR="004F3206" w:rsidRDefault="004F3206">
      <w:pPr>
        <w:pStyle w:val="STYTAB"/>
      </w:pPr>
    </w:p>
    <w:p w:rsidR="004F3206" w:rsidRPr="00776B2E" w:rsidRDefault="00776B2E">
      <w:pPr>
        <w:pStyle w:val="VOTETITLE"/>
      </w:pPr>
      <w:r>
        <w:lastRenderedPageBreak/>
        <w:t>Förderung der Nutzung von Energie aus erneuerbaren Quellen ***I</w:t>
      </w:r>
    </w:p>
    <w:p w:rsidR="004F3206" w:rsidRPr="00776B2E" w:rsidRDefault="00776B2E">
      <w:pPr>
        <w:pStyle w:val="VOTEREPORTTITLE"/>
      </w:pPr>
      <w:r>
        <w:t>Bericht: José Blanco López (A8-0392/2017)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Vorläufige Einigung</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Vorläufige Einigung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495, 68, 61</w:t>
            </w:r>
          </w:p>
        </w:tc>
      </w:tr>
    </w:tbl>
    <w:p w:rsidR="004F3206" w:rsidRDefault="004F3206">
      <w:pPr>
        <w:pStyle w:val="STYTAB"/>
      </w:pPr>
    </w:p>
    <w:p w:rsidR="004F3206" w:rsidRDefault="004F3206">
      <w:pPr>
        <w:pStyle w:val="STYTAB"/>
      </w:pPr>
    </w:p>
    <w:p w:rsidR="004F3206" w:rsidRDefault="004F3206">
      <w:pPr>
        <w:pStyle w:val="STYTAB"/>
      </w:pPr>
    </w:p>
    <w:p w:rsidR="004F3206" w:rsidRPr="00776B2E" w:rsidRDefault="00776B2E">
      <w:pPr>
        <w:pStyle w:val="VOTETITLE"/>
      </w:pPr>
      <w:r>
        <w:t>Mehrjahresplan für kleine pelagische Bestände im Adriatischen Meer und für die Fischereien, die diese Bestände befischen ***I</w:t>
      </w:r>
    </w:p>
    <w:p w:rsidR="004F3206" w:rsidRDefault="00776B2E">
      <w:pPr>
        <w:pStyle w:val="VOTEREPORTTITLE"/>
      </w:pPr>
      <w:r>
        <w:t>Bericht: Ruža Tomašić (A8-0337/2018)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SIMPLEOBJECT"/>
            </w:pPr>
            <w:r>
              <w:t>Änderungsanträge des federführenden Ausschusses – Abstimmung en bloc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1-6</w:t>
            </w:r>
            <w:r>
              <w:br/>
              <w:t>9-12</w:t>
            </w:r>
            <w:r>
              <w:br/>
              <w:t>14-16</w:t>
            </w:r>
            <w:r>
              <w:br/>
              <w:t>18</w:t>
            </w:r>
            <w:r>
              <w:br/>
              <w:t>22-31</w:t>
            </w:r>
            <w:r>
              <w:br/>
              <w:t>33-34</w:t>
            </w:r>
            <w:r>
              <w:br/>
              <w:t>39</w:t>
            </w:r>
            <w:r>
              <w:br/>
              <w:t>49-50</w:t>
            </w:r>
            <w:r>
              <w:br/>
              <w:t>57</w:t>
            </w:r>
            <w:r>
              <w:br/>
              <w:t>60</w:t>
            </w:r>
            <w:r>
              <w:br/>
              <w:t>71</w:t>
            </w:r>
            <w:r>
              <w:br/>
              <w:t>74</w:t>
            </w:r>
            <w:r>
              <w:br/>
              <w:t>76</w:t>
            </w:r>
            <w:r>
              <w:br/>
              <w:t>80-81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SIMPLEOBJECT"/>
            </w:pPr>
            <w:r>
              <w:t>Änderungsanträge des federführenden Ausschusses – gesonderte Abstimmung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333, 293, 29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334, 289, 27</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342, 292, 26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337, 298, 27</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342, 293, 31</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312, 318, 30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307, 302, 59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313, 323, 29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368, 269, 30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334, 299, 32</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372, 262, 37</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309, 332, 25</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SIMPLEOBJECT"/>
            </w:pPr>
            <w:r>
              <w:t>Artikel 2 § 2, nach Buchstabe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88=</w:t>
            </w:r>
            <w:r>
              <w:br/>
              <w:t>93=</w:t>
            </w:r>
            <w:r>
              <w:br/>
              <w:t>102=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83247F" w:rsidRDefault="00776B2E">
            <w:pPr>
              <w:pStyle w:val="VOTINGTABLECELLAUTHOR"/>
              <w:rPr>
                <w:lang w:val="nl-NL"/>
              </w:rPr>
            </w:pPr>
            <w:r w:rsidRPr="0083247F">
              <w:rPr>
                <w:lang w:val="nl-NL"/>
              </w:rPr>
              <w:t>ALDE,</w:t>
            </w:r>
            <w:r w:rsidRPr="0083247F">
              <w:rPr>
                <w:lang w:val="nl-NL"/>
              </w:rPr>
              <w:br/>
              <w:t>S&amp;D,</w:t>
            </w:r>
            <w:r w:rsidRPr="0083247F">
              <w:rPr>
                <w:lang w:val="nl-NL"/>
              </w:rPr>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326, 329, 16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89=</w:t>
            </w:r>
            <w:r>
              <w:br/>
              <w:t>94=</w:t>
            </w:r>
            <w:r>
              <w:br/>
              <w:t>103=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83247F" w:rsidRDefault="00776B2E">
            <w:pPr>
              <w:pStyle w:val="VOTINGTABLECELLAUTHOR"/>
              <w:rPr>
                <w:lang w:val="nl-NL"/>
              </w:rPr>
            </w:pPr>
            <w:r w:rsidRPr="0083247F">
              <w:rPr>
                <w:lang w:val="nl-NL"/>
              </w:rPr>
              <w:t>ALDE,</w:t>
            </w:r>
            <w:r w:rsidRPr="0083247F">
              <w:rPr>
                <w:lang w:val="nl-NL"/>
              </w:rPr>
              <w:br/>
              <w:t>S&amp;D,</w:t>
            </w:r>
            <w:r w:rsidRPr="0083247F">
              <w:rPr>
                <w:lang w:val="nl-NL"/>
              </w:rPr>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318, 334, 20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336, 328, 9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Artikel 4 § 1 und nach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305, 356, 16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246, 411, 16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338, 308, 29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299, 358, 19</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Artikel 5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96=</w:t>
            </w:r>
            <w:r>
              <w:br/>
              <w:t>106=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r>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303, 349, 20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Artikel 5, nach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91=</w:t>
            </w:r>
            <w:r>
              <w:br/>
              <w:t>107=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ALDE,</w:t>
            </w:r>
            <w:r>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303, 356, 17</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Artikel 6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338, 308, 28</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69S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Artikel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92=</w:t>
            </w:r>
            <w:r>
              <w:br/>
              <w:t>97=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ALDE,</w:t>
            </w:r>
            <w:r>
              <w:b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306, 352, 15</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112, 549, 10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253, 409, 13</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Artikel 8, nach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288, 371, 14</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Anhang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83S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328, 336, 12</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332, 329, 12</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326, 311, 39</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Erwägung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308, 354, 12</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333, 330, 13</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249, 409, 13</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301, 355, 19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Ausschuss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OBJECT"/>
            </w:pPr>
            <w:r>
              <w:t>Abstimmung: Vorschlag der Kommission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342, 295, 24</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rsidRPr="00776B2E">
        <w:trPr>
          <w:cantSplit/>
        </w:trPr>
        <w:tc>
          <w:tcPr>
            <w:tcW w:w="9065" w:type="dxa"/>
            <w:gridSpan w:val="2"/>
            <w:tcMar>
              <w:top w:w="0" w:type="dxa"/>
              <w:left w:w="0" w:type="dxa"/>
              <w:bottom w:w="0" w:type="dxa"/>
              <w:right w:w="0" w:type="dxa"/>
            </w:tcMar>
          </w:tcPr>
          <w:p w:rsidR="004F3206" w:rsidRPr="00776B2E" w:rsidRDefault="00776B2E">
            <w:pPr>
              <w:pStyle w:val="REMARKTABLECELLTITLE"/>
            </w:pPr>
            <w:r>
              <w:t>Anträge auf namentliche Abstimmung</w:t>
            </w:r>
          </w:p>
        </w:tc>
      </w:tr>
      <w:tr w:rsidR="004F3206">
        <w:tc>
          <w:tcPr>
            <w:tcW w:w="1570" w:type="dxa"/>
            <w:tcMar>
              <w:top w:w="0" w:type="dxa"/>
              <w:left w:w="0" w:type="dxa"/>
              <w:bottom w:w="0" w:type="dxa"/>
              <w:right w:w="0" w:type="dxa"/>
            </w:tcMar>
          </w:tcPr>
          <w:p w:rsidR="004F3206" w:rsidRDefault="00776B2E">
            <w:pPr>
              <w:pStyle w:val="REMARKTABLECELLSIMPLE"/>
            </w:pPr>
            <w:r>
              <w:t>ECR, EFDD:</w:t>
            </w:r>
          </w:p>
        </w:tc>
        <w:tc>
          <w:tcPr>
            <w:tcW w:w="7495" w:type="dxa"/>
            <w:tcMar>
              <w:top w:w="0" w:type="dxa"/>
              <w:left w:w="0" w:type="dxa"/>
              <w:bottom w:w="0" w:type="dxa"/>
              <w:right w:w="0" w:type="dxa"/>
            </w:tcMar>
          </w:tcPr>
          <w:p w:rsidR="004F3206" w:rsidRDefault="00776B2E">
            <w:pPr>
              <w:pStyle w:val="REMARKTABLECELLSIMPLE"/>
            </w:pPr>
            <w:r>
              <w:t>Änderungsanträge 85, 86, 87, 90, 91, 92, 95, 96, 97, 98, 101, 105, 106, 107, 108, 109</w:t>
            </w:r>
          </w:p>
        </w:tc>
      </w:tr>
      <w:tr w:rsidR="004F3206">
        <w:tc>
          <w:tcPr>
            <w:tcW w:w="1570" w:type="dxa"/>
            <w:tcMar>
              <w:top w:w="0" w:type="dxa"/>
              <w:left w:w="0" w:type="dxa"/>
              <w:bottom w:w="0" w:type="dxa"/>
              <w:right w:w="0" w:type="dxa"/>
            </w:tcMar>
          </w:tcPr>
          <w:p w:rsidR="004F3206" w:rsidRDefault="00776B2E">
            <w:pPr>
              <w:pStyle w:val="REMARKTABLECELLSIMPLE"/>
            </w:pPr>
            <w:r>
              <w:t>GUE/NGL:</w:t>
            </w:r>
          </w:p>
        </w:tc>
        <w:tc>
          <w:tcPr>
            <w:tcW w:w="7495" w:type="dxa"/>
            <w:tcMar>
              <w:top w:w="0" w:type="dxa"/>
              <w:left w:w="0" w:type="dxa"/>
              <w:bottom w:w="0" w:type="dxa"/>
              <w:right w:w="0" w:type="dxa"/>
            </w:tcMar>
          </w:tcPr>
          <w:p w:rsidR="004F3206" w:rsidRDefault="00776B2E">
            <w:pPr>
              <w:pStyle w:val="REMARKTABLECELLSIMPLE"/>
            </w:pPr>
            <w:r>
              <w:t>Änderungsantrag 55</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trPr>
          <w:cantSplit/>
        </w:trPr>
        <w:tc>
          <w:tcPr>
            <w:tcW w:w="9065" w:type="dxa"/>
            <w:gridSpan w:val="2"/>
            <w:tcMar>
              <w:top w:w="0" w:type="dxa"/>
              <w:left w:w="0" w:type="dxa"/>
              <w:bottom w:w="0" w:type="dxa"/>
              <w:right w:w="0" w:type="dxa"/>
            </w:tcMar>
          </w:tcPr>
          <w:p w:rsidR="004F3206" w:rsidRDefault="00776B2E">
            <w:pPr>
              <w:pStyle w:val="REMARKTABLECELLTITLE"/>
            </w:pPr>
            <w:r>
              <w:t>Anträge auf gesonderte Abstimmung</w:t>
            </w:r>
          </w:p>
        </w:tc>
      </w:tr>
      <w:tr w:rsidR="004F3206">
        <w:tc>
          <w:tcPr>
            <w:tcW w:w="1570" w:type="dxa"/>
            <w:tcMar>
              <w:top w:w="0" w:type="dxa"/>
              <w:left w:w="0" w:type="dxa"/>
              <w:bottom w:w="0" w:type="dxa"/>
              <w:right w:w="0" w:type="dxa"/>
            </w:tcMar>
          </w:tcPr>
          <w:p w:rsidR="004F3206" w:rsidRDefault="00776B2E">
            <w:pPr>
              <w:pStyle w:val="REMARKTABLECELLSIMPLE"/>
            </w:pPr>
            <w:r>
              <w:t>ALDE:</w:t>
            </w:r>
          </w:p>
        </w:tc>
        <w:tc>
          <w:tcPr>
            <w:tcW w:w="7495" w:type="dxa"/>
            <w:tcMar>
              <w:top w:w="0" w:type="dxa"/>
              <w:left w:w="0" w:type="dxa"/>
              <w:bottom w:w="0" w:type="dxa"/>
              <w:right w:w="0" w:type="dxa"/>
            </w:tcMar>
          </w:tcPr>
          <w:p w:rsidR="004F3206" w:rsidRDefault="00776B2E">
            <w:pPr>
              <w:pStyle w:val="REMARKTABLECELLSIMPLE"/>
            </w:pPr>
            <w:r>
              <w:t>Änderungsanträge 7, 8, 13, 17, 20, 21, 32, 37, 38, 41, 43, 45, 51, 52, 53, 59, 61, 62, 63, 73, 75, 77, 78, 79, 83, 84</w:t>
            </w:r>
          </w:p>
        </w:tc>
      </w:tr>
      <w:tr w:rsidR="004F3206">
        <w:tc>
          <w:tcPr>
            <w:tcW w:w="1570" w:type="dxa"/>
            <w:tcMar>
              <w:top w:w="0" w:type="dxa"/>
              <w:left w:w="0" w:type="dxa"/>
              <w:bottom w:w="0" w:type="dxa"/>
              <w:right w:w="0" w:type="dxa"/>
            </w:tcMar>
          </w:tcPr>
          <w:p w:rsidR="004F3206" w:rsidRDefault="00776B2E">
            <w:pPr>
              <w:pStyle w:val="REMARKTABLECELLSIMPLE"/>
            </w:pPr>
            <w:r>
              <w:t>Verts/ALE:</w:t>
            </w:r>
          </w:p>
        </w:tc>
        <w:tc>
          <w:tcPr>
            <w:tcW w:w="7495" w:type="dxa"/>
            <w:tcMar>
              <w:top w:w="0" w:type="dxa"/>
              <w:left w:w="0" w:type="dxa"/>
              <w:bottom w:w="0" w:type="dxa"/>
              <w:right w:w="0" w:type="dxa"/>
            </w:tcMar>
          </w:tcPr>
          <w:p w:rsidR="004F3206" w:rsidRDefault="00776B2E">
            <w:pPr>
              <w:pStyle w:val="REMARKTABLECELLSIMPLE"/>
            </w:pPr>
            <w:r>
              <w:t>Änderungsanträge 19, 35, 37, 38, 40, 41, 42, 44, 45, 46, 47, 48, 51, 52, 53, 54, 55, 58, 61, 62, 63, 64, 65, 66, 67, 68, 69, 70, 72, 73, 75, 79, 82</w:t>
            </w:r>
          </w:p>
        </w:tc>
      </w:tr>
      <w:tr w:rsidR="004F3206">
        <w:tc>
          <w:tcPr>
            <w:tcW w:w="1570" w:type="dxa"/>
            <w:tcMar>
              <w:top w:w="0" w:type="dxa"/>
              <w:left w:w="0" w:type="dxa"/>
              <w:bottom w:w="0" w:type="dxa"/>
              <w:right w:w="0" w:type="dxa"/>
            </w:tcMar>
          </w:tcPr>
          <w:p w:rsidR="004F3206" w:rsidRDefault="00776B2E">
            <w:pPr>
              <w:pStyle w:val="REMARKTABLECELLSIMPLE"/>
            </w:pPr>
            <w:r>
              <w:t>GUE/NGL:</w:t>
            </w:r>
          </w:p>
        </w:tc>
        <w:tc>
          <w:tcPr>
            <w:tcW w:w="7495" w:type="dxa"/>
            <w:tcMar>
              <w:top w:w="0" w:type="dxa"/>
              <w:left w:w="0" w:type="dxa"/>
              <w:bottom w:w="0" w:type="dxa"/>
              <w:right w:w="0" w:type="dxa"/>
            </w:tcMar>
          </w:tcPr>
          <w:p w:rsidR="004F3206" w:rsidRDefault="00776B2E">
            <w:pPr>
              <w:pStyle w:val="REMARKTABLECELLSIMPLE"/>
            </w:pPr>
            <w:r>
              <w:t>Änderungsanträge 48, 55, 56, 70</w:t>
            </w:r>
          </w:p>
        </w:tc>
      </w:tr>
      <w:tr w:rsidR="004F3206">
        <w:tc>
          <w:tcPr>
            <w:tcW w:w="1570" w:type="dxa"/>
            <w:tcMar>
              <w:top w:w="0" w:type="dxa"/>
              <w:left w:w="0" w:type="dxa"/>
              <w:bottom w:w="0" w:type="dxa"/>
              <w:right w:w="0" w:type="dxa"/>
            </w:tcMar>
          </w:tcPr>
          <w:p w:rsidR="004F3206" w:rsidRDefault="00776B2E">
            <w:pPr>
              <w:pStyle w:val="REMARKTABLECELLSIMPLE"/>
            </w:pPr>
            <w:r>
              <w:t>S&amp;D:</w:t>
            </w:r>
          </w:p>
        </w:tc>
        <w:tc>
          <w:tcPr>
            <w:tcW w:w="7495" w:type="dxa"/>
            <w:tcMar>
              <w:top w:w="0" w:type="dxa"/>
              <w:left w:w="0" w:type="dxa"/>
              <w:bottom w:w="0" w:type="dxa"/>
              <w:right w:w="0" w:type="dxa"/>
            </w:tcMar>
          </w:tcPr>
          <w:p w:rsidR="004F3206" w:rsidRDefault="00776B2E">
            <w:pPr>
              <w:pStyle w:val="REMARKTABLECELLSIMPLE"/>
            </w:pPr>
            <w:r>
              <w:t>Änderungsanträge 41, 42, 44, 45, 61, 63, 64, 65, 66, 67, 68, 69, 72, 73, 75</w:t>
            </w:r>
          </w:p>
        </w:tc>
      </w:tr>
    </w:tbl>
    <w:p w:rsidR="004F3206" w:rsidRDefault="004F3206">
      <w:pPr>
        <w:pStyle w:val="STYTAB"/>
      </w:pPr>
    </w:p>
    <w:p w:rsidR="004F3206" w:rsidRDefault="004F3206">
      <w:pPr>
        <w:pStyle w:val="STYTAB"/>
      </w:pPr>
    </w:p>
    <w:p w:rsidR="004F3206" w:rsidRDefault="00776B2E">
      <w:pPr>
        <w:pStyle w:val="VOTETITLE"/>
      </w:pPr>
      <w:r>
        <w:t>Rechtsstaatlichkeit in Rumänien</w:t>
      </w:r>
    </w:p>
    <w:p w:rsidR="004F3206" w:rsidRDefault="00776B2E">
      <w:pPr>
        <w:pStyle w:val="VOTEREPORTTITLE"/>
      </w:pPr>
      <w:r>
        <w:t>Entschließungsantrag: B8-0522/2018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776B2E">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rsidRPr="00776B2E">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OBJECT"/>
            </w:pPr>
            <w:r>
              <w:t>Entschließungsantrag B8-0522/2018</w:t>
            </w:r>
            <w:r>
              <w:br/>
              <w:t>(PPE, S&amp;D, ALDE, Verts/ALE, GUE/NGL)</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lastRenderedPageBreak/>
              <w:t>Nach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36, 586, 40</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166, 440, 53</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482, 146, 39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323, 333, 19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527, 127, 15</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235, 379, 51</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230, 395, 42</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247, 331, 88</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 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396, 263, 7</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218, 382, 56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173, 482, 16</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Bezugsvermerk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276, 319, 68</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314, 347, 10</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284, 360, 24</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263, 379, 30</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371, 257, 41</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393, 223, 48</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330, 272, 70</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214, 432, 27</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Erwägung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Erwägung 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399, 196, 76</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274, 318, 79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3/NA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404, 208, 49</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SIMPLEOBJECT"/>
            </w:pPr>
            <w:r>
              <w:t>Nach Erwägung 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OBJECT"/>
            </w:pPr>
            <w:r>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473, 151, 40</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rsidRPr="00776B2E">
        <w:trPr>
          <w:cantSplit/>
        </w:trPr>
        <w:tc>
          <w:tcPr>
            <w:tcW w:w="9065" w:type="dxa"/>
            <w:gridSpan w:val="2"/>
            <w:tcMar>
              <w:top w:w="0" w:type="dxa"/>
              <w:left w:w="0" w:type="dxa"/>
              <w:bottom w:w="0" w:type="dxa"/>
              <w:right w:w="0" w:type="dxa"/>
            </w:tcMar>
          </w:tcPr>
          <w:p w:rsidR="004F3206" w:rsidRPr="00776B2E" w:rsidRDefault="00776B2E">
            <w:pPr>
              <w:pStyle w:val="REMARKTABLECELLTITLE"/>
            </w:pPr>
            <w:r>
              <w:t>Anträge auf namentliche Abstimmung</w:t>
            </w:r>
          </w:p>
        </w:tc>
      </w:tr>
      <w:tr w:rsidR="004F3206" w:rsidRPr="00776B2E">
        <w:tc>
          <w:tcPr>
            <w:tcW w:w="1570" w:type="dxa"/>
            <w:tcMar>
              <w:top w:w="0" w:type="dxa"/>
              <w:left w:w="0" w:type="dxa"/>
              <w:bottom w:w="0" w:type="dxa"/>
              <w:right w:w="0" w:type="dxa"/>
            </w:tcMar>
          </w:tcPr>
          <w:p w:rsidR="004F3206" w:rsidRDefault="00776B2E">
            <w:pPr>
              <w:pStyle w:val="REMARKTABLECELLSIMPLE"/>
            </w:pPr>
            <w:r>
              <w:t>PPE:</w:t>
            </w:r>
          </w:p>
        </w:tc>
        <w:tc>
          <w:tcPr>
            <w:tcW w:w="7495" w:type="dxa"/>
            <w:tcMar>
              <w:top w:w="0" w:type="dxa"/>
              <w:left w:w="0" w:type="dxa"/>
              <w:bottom w:w="0" w:type="dxa"/>
              <w:right w:w="0" w:type="dxa"/>
            </w:tcMar>
          </w:tcPr>
          <w:p w:rsidR="004F3206" w:rsidRPr="00776B2E" w:rsidRDefault="00776B2E">
            <w:pPr>
              <w:pStyle w:val="REMARKTABLECELLSIMPLE"/>
            </w:pPr>
            <w:r>
              <w:t>Erwägungen L, M, S; Schlussabstimmung</w:t>
            </w:r>
          </w:p>
        </w:tc>
      </w:tr>
      <w:tr w:rsidR="004F3206">
        <w:tc>
          <w:tcPr>
            <w:tcW w:w="1570" w:type="dxa"/>
            <w:tcMar>
              <w:top w:w="0" w:type="dxa"/>
              <w:left w:w="0" w:type="dxa"/>
              <w:bottom w:w="0" w:type="dxa"/>
              <w:right w:w="0" w:type="dxa"/>
            </w:tcMar>
          </w:tcPr>
          <w:p w:rsidR="004F3206" w:rsidRDefault="00776B2E">
            <w:pPr>
              <w:pStyle w:val="REMARKTABLECELLSIMPLE"/>
            </w:pPr>
            <w:r>
              <w:t>S&amp;D:</w:t>
            </w:r>
          </w:p>
        </w:tc>
        <w:tc>
          <w:tcPr>
            <w:tcW w:w="7495" w:type="dxa"/>
            <w:tcMar>
              <w:top w:w="0" w:type="dxa"/>
              <w:left w:w="0" w:type="dxa"/>
              <w:bottom w:w="0" w:type="dxa"/>
              <w:right w:w="0" w:type="dxa"/>
            </w:tcMar>
          </w:tcPr>
          <w:p w:rsidR="004F3206" w:rsidRDefault="00776B2E">
            <w:pPr>
              <w:pStyle w:val="REMARKTABLECELLSIMPLE"/>
            </w:pPr>
            <w:r>
              <w:t>Änderungsanträge 6, 8, 9, 11, 12; Erwägung S</w:t>
            </w:r>
          </w:p>
        </w:tc>
      </w:tr>
      <w:tr w:rsidR="004F3206">
        <w:tc>
          <w:tcPr>
            <w:tcW w:w="1570" w:type="dxa"/>
            <w:tcMar>
              <w:top w:w="0" w:type="dxa"/>
              <w:left w:w="0" w:type="dxa"/>
              <w:bottom w:w="0" w:type="dxa"/>
              <w:right w:w="0" w:type="dxa"/>
            </w:tcMar>
          </w:tcPr>
          <w:p w:rsidR="004F3206" w:rsidRDefault="00776B2E">
            <w:pPr>
              <w:pStyle w:val="REMARKTABLECELLSIMPLE"/>
            </w:pPr>
            <w:r>
              <w:t>GUE/NGL:</w:t>
            </w:r>
          </w:p>
        </w:tc>
        <w:tc>
          <w:tcPr>
            <w:tcW w:w="7495" w:type="dxa"/>
            <w:tcMar>
              <w:top w:w="0" w:type="dxa"/>
              <w:left w:w="0" w:type="dxa"/>
              <w:bottom w:w="0" w:type="dxa"/>
              <w:right w:w="0" w:type="dxa"/>
            </w:tcMar>
          </w:tcPr>
          <w:p w:rsidR="004F3206" w:rsidRDefault="00776B2E">
            <w:pPr>
              <w:pStyle w:val="REMARKTABLECELLSIMPLE"/>
            </w:pPr>
            <w:r>
              <w:t>Änderungsanträge 2, 3, 4</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trPr>
          <w:cantSplit/>
        </w:trPr>
        <w:tc>
          <w:tcPr>
            <w:tcW w:w="9065" w:type="dxa"/>
            <w:gridSpan w:val="2"/>
            <w:tcMar>
              <w:top w:w="0" w:type="dxa"/>
              <w:left w:w="0" w:type="dxa"/>
              <w:bottom w:w="0" w:type="dxa"/>
              <w:right w:w="0" w:type="dxa"/>
            </w:tcMar>
          </w:tcPr>
          <w:p w:rsidR="004F3206" w:rsidRDefault="00776B2E">
            <w:pPr>
              <w:pStyle w:val="REMARKTABLECELLTITLE"/>
            </w:pPr>
            <w:r>
              <w:t>Anträge auf gesonderte Abstimmung</w:t>
            </w:r>
          </w:p>
        </w:tc>
      </w:tr>
      <w:tr w:rsidR="004F3206">
        <w:tc>
          <w:tcPr>
            <w:tcW w:w="1570" w:type="dxa"/>
            <w:tcMar>
              <w:top w:w="0" w:type="dxa"/>
              <w:left w:w="0" w:type="dxa"/>
              <w:bottom w:w="0" w:type="dxa"/>
              <w:right w:w="0" w:type="dxa"/>
            </w:tcMar>
          </w:tcPr>
          <w:p w:rsidR="004F3206" w:rsidRDefault="00776B2E">
            <w:pPr>
              <w:pStyle w:val="REMARKTABLECELLSIMPLE"/>
            </w:pPr>
            <w:r>
              <w:t>PPE:</w:t>
            </w:r>
          </w:p>
        </w:tc>
        <w:tc>
          <w:tcPr>
            <w:tcW w:w="7495" w:type="dxa"/>
            <w:tcMar>
              <w:top w:w="0" w:type="dxa"/>
              <w:left w:w="0" w:type="dxa"/>
              <w:bottom w:w="0" w:type="dxa"/>
              <w:right w:w="0" w:type="dxa"/>
            </w:tcMar>
          </w:tcPr>
          <w:p w:rsidR="004F3206" w:rsidRDefault="00776B2E">
            <w:pPr>
              <w:pStyle w:val="REMARKTABLECELLSIMPLE"/>
            </w:pPr>
            <w:r>
              <w:t>§ 7; Erwägungen L, M</w:t>
            </w:r>
          </w:p>
        </w:tc>
      </w:tr>
      <w:tr w:rsidR="004F3206">
        <w:tc>
          <w:tcPr>
            <w:tcW w:w="1570" w:type="dxa"/>
            <w:tcMar>
              <w:top w:w="0" w:type="dxa"/>
              <w:left w:w="0" w:type="dxa"/>
              <w:bottom w:w="0" w:type="dxa"/>
              <w:right w:w="0" w:type="dxa"/>
            </w:tcMar>
          </w:tcPr>
          <w:p w:rsidR="004F3206" w:rsidRDefault="00776B2E">
            <w:pPr>
              <w:pStyle w:val="REMARKTABLECELLSIMPLE"/>
            </w:pPr>
            <w:r>
              <w:t>S&amp;D:</w:t>
            </w:r>
          </w:p>
        </w:tc>
        <w:tc>
          <w:tcPr>
            <w:tcW w:w="7495" w:type="dxa"/>
            <w:tcMar>
              <w:top w:w="0" w:type="dxa"/>
              <w:left w:w="0" w:type="dxa"/>
              <w:bottom w:w="0" w:type="dxa"/>
              <w:right w:w="0" w:type="dxa"/>
            </w:tcMar>
          </w:tcPr>
          <w:p w:rsidR="004F3206" w:rsidRDefault="00776B2E">
            <w:pPr>
              <w:pStyle w:val="REMARKTABLECELLSIMPLE"/>
            </w:pPr>
            <w:r>
              <w:t>Erwägung S</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rsidRPr="00776B2E">
        <w:trPr>
          <w:cantSplit/>
        </w:trPr>
        <w:tc>
          <w:tcPr>
            <w:tcW w:w="9065" w:type="dxa"/>
            <w:gridSpan w:val="2"/>
            <w:tcMar>
              <w:top w:w="0" w:type="dxa"/>
              <w:left w:w="0" w:type="dxa"/>
              <w:bottom w:w="0" w:type="dxa"/>
              <w:right w:w="0" w:type="dxa"/>
            </w:tcMar>
          </w:tcPr>
          <w:p w:rsidR="004F3206" w:rsidRPr="00776B2E" w:rsidRDefault="00776B2E">
            <w:pPr>
              <w:pStyle w:val="REMARKTABLECELLTITLE"/>
            </w:pPr>
            <w:r>
              <w:t>Anträge auf getrennte Abstimmung</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PPE:</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Erwägung S</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1. Teil</w:t>
            </w:r>
          </w:p>
        </w:tc>
        <w:tc>
          <w:tcPr>
            <w:tcW w:w="7495" w:type="dxa"/>
            <w:tcMar>
              <w:top w:w="0" w:type="dxa"/>
              <w:left w:w="0" w:type="dxa"/>
              <w:bottom w:w="0" w:type="dxa"/>
              <w:right w:w="0" w:type="dxa"/>
            </w:tcMar>
          </w:tcPr>
          <w:p w:rsidR="004F3206" w:rsidRPr="00776B2E" w:rsidRDefault="00776B2E">
            <w:pPr>
              <w:pStyle w:val="REMARKTABLECELLSIMPLE"/>
            </w:pPr>
            <w:r>
              <w:t>„in der Erwägung, dass die Oberste Staatsanwältin bei der Nationalen Behörde zur Bekämpfung der Korruption („Direcția Națională Anticorupție“ – DNA) nach einem Urteil des Verfassungsgerichts, durch das die Befugnisse des Präsidenten eingeschränkt worden waren, am 9. Juli 2018 ihres Amtes enthoben wurde, und zwar entgegen der Stellungnahme des Justizrates; in der Erwägung, dass die Venedig-Kommission in ihrem Gutachten vom 20. Oktober 2018 hingegen erklärt hat, dass es wichtig wäre, die Unabhängigkeit der Staatsanwälte zu stärken und die Rolle von Institutionen wie die des Obersten Richterrates (Consiliul Superior al Magistraturii – CSM) und seines Präsidenten aufrechtzuerhalten und aufzuwerten, die dem Einfluss des (Justiz)ministers etwas entgegensetzen können;“</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2. Teil</w:t>
            </w:r>
          </w:p>
        </w:tc>
        <w:tc>
          <w:tcPr>
            <w:tcW w:w="7495" w:type="dxa"/>
            <w:tcMar>
              <w:top w:w="0" w:type="dxa"/>
              <w:left w:w="0" w:type="dxa"/>
              <w:bottom w:w="0" w:type="dxa"/>
              <w:right w:w="0" w:type="dxa"/>
            </w:tcMar>
          </w:tcPr>
          <w:p w:rsidR="004F3206" w:rsidRPr="00776B2E" w:rsidRDefault="00776B2E">
            <w:pPr>
              <w:pStyle w:val="REMARKTABLECELLSIMPLE"/>
            </w:pPr>
            <w:r>
              <w:t>„in der Erwägung, dass die rumänische Regierung am 15. Oktober 2018 eine Dringlichkeitsverordnung erlassen hat; in der Erwägung, dass seit dem Inkrafttreten der Verordnung bislang 48 Staatsanwälte ihrer jeweiligen Ämtern enthoben wurden, wodurch eine große Anzahl laufender Ermittlungen behindert werden könnte;“</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lastRenderedPageBreak/>
              <w:t>3. Teil</w:t>
            </w:r>
          </w:p>
        </w:tc>
        <w:tc>
          <w:tcPr>
            <w:tcW w:w="7495" w:type="dxa"/>
            <w:tcMar>
              <w:top w:w="0" w:type="dxa"/>
              <w:left w:w="0" w:type="dxa"/>
              <w:bottom w:w="0" w:type="dxa"/>
              <w:right w:w="0" w:type="dxa"/>
            </w:tcMar>
          </w:tcPr>
          <w:p w:rsidR="004F3206" w:rsidRPr="00776B2E" w:rsidRDefault="00776B2E">
            <w:pPr>
              <w:pStyle w:val="REMARKTABLECELLSIMPLE"/>
            </w:pPr>
            <w:r>
              <w:t>„in der Erwägung, dass der Justizminister am 24. Oktober 2018 die Entlassung des Generalstaatsanwalts gefordert und ihn beschuldigt hat, seine Befugnisse zu überschreiten;“</w:t>
            </w:r>
          </w:p>
        </w:tc>
      </w:tr>
      <w:tr w:rsidR="004F3206" w:rsidRPr="00776B2E">
        <w:tc>
          <w:tcPr>
            <w:tcW w:w="9065" w:type="dxa"/>
            <w:gridSpan w:val="2"/>
            <w:tcMar>
              <w:top w:w="0" w:type="dxa"/>
              <w:left w:w="0" w:type="dxa"/>
              <w:bottom w:w="0" w:type="dxa"/>
              <w:right w:w="0" w:type="dxa"/>
            </w:tcMar>
          </w:tcPr>
          <w:p w:rsidR="004F3206" w:rsidRPr="0083247F" w:rsidRDefault="004F3206">
            <w:pPr>
              <w:pStyle w:val="REMARKTABLECELLSIMPLE"/>
            </w:pP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S&amp;D:</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 8</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1. Teil</w:t>
            </w:r>
          </w:p>
        </w:tc>
        <w:tc>
          <w:tcPr>
            <w:tcW w:w="7495" w:type="dxa"/>
            <w:tcMar>
              <w:top w:w="0" w:type="dxa"/>
              <w:left w:w="0" w:type="dxa"/>
              <w:bottom w:w="0" w:type="dxa"/>
              <w:right w:w="0" w:type="dxa"/>
            </w:tcMar>
          </w:tcPr>
          <w:p w:rsidR="004F3206" w:rsidRPr="00776B2E" w:rsidRDefault="00776B2E">
            <w:pPr>
              <w:pStyle w:val="REMARKTABLECELLSIMPLE"/>
            </w:pPr>
            <w:r>
              <w:t>Gesamter Text ohne die Worte „und keine Reformen durchzuführen, mit denen die Achtung der Rechtsstaatlichkeit, einschließlich der Unabhängigkeit der Justiz, gefährdet würde“</w:t>
            </w:r>
          </w:p>
        </w:tc>
      </w:tr>
      <w:tr w:rsidR="004F3206">
        <w:trPr>
          <w:cantSplit/>
        </w:trPr>
        <w:tc>
          <w:tcPr>
            <w:tcW w:w="1570" w:type="dxa"/>
            <w:tcMar>
              <w:top w:w="0" w:type="dxa"/>
              <w:left w:w="0" w:type="dxa"/>
              <w:bottom w:w="0" w:type="dxa"/>
              <w:right w:w="0" w:type="dxa"/>
            </w:tcMar>
          </w:tcPr>
          <w:p w:rsidR="004F3206" w:rsidRDefault="00776B2E">
            <w:pPr>
              <w:pStyle w:val="REMARKTABLECELLITALIC"/>
            </w:pPr>
            <w:r>
              <w:t>2. Teil</w:t>
            </w:r>
          </w:p>
        </w:tc>
        <w:tc>
          <w:tcPr>
            <w:tcW w:w="7495" w:type="dxa"/>
            <w:tcMar>
              <w:top w:w="0" w:type="dxa"/>
              <w:left w:w="0" w:type="dxa"/>
              <w:bottom w:w="0" w:type="dxa"/>
              <w:right w:w="0" w:type="dxa"/>
            </w:tcMar>
          </w:tcPr>
          <w:p w:rsidR="004F3206" w:rsidRDefault="00776B2E">
            <w:pPr>
              <w:pStyle w:val="REMARKTABLECELLSIMPLE"/>
            </w:pPr>
            <w:r>
              <w:t>diese Worte</w:t>
            </w:r>
          </w:p>
        </w:tc>
      </w:tr>
      <w:tr w:rsidR="004F3206">
        <w:trPr>
          <w:cantSplit/>
        </w:trPr>
        <w:tc>
          <w:tcPr>
            <w:tcW w:w="9065" w:type="dxa"/>
            <w:gridSpan w:val="2"/>
            <w:tcMar>
              <w:top w:w="0" w:type="dxa"/>
              <w:left w:w="0" w:type="dxa"/>
              <w:bottom w:w="0" w:type="dxa"/>
              <w:right w:w="0" w:type="dxa"/>
            </w:tcMar>
          </w:tcPr>
          <w:p w:rsidR="004F3206" w:rsidRDefault="004F3206"/>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Erwägung J</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1. Teil</w:t>
            </w:r>
          </w:p>
        </w:tc>
        <w:tc>
          <w:tcPr>
            <w:tcW w:w="7495" w:type="dxa"/>
            <w:tcMar>
              <w:top w:w="0" w:type="dxa"/>
              <w:left w:w="0" w:type="dxa"/>
              <w:bottom w:w="0" w:type="dxa"/>
              <w:right w:w="0" w:type="dxa"/>
            </w:tcMar>
          </w:tcPr>
          <w:p w:rsidR="004F3206" w:rsidRPr="00776B2E" w:rsidRDefault="00776B2E">
            <w:pPr>
              <w:pStyle w:val="REMARKTABLECELLSIMPLE"/>
            </w:pPr>
            <w:r>
              <w:t>„in der Erwägung, dass die Kommission am 19. Juli 2018 den Gerichtshof der Europäischen Union mit dem Versäumnis Rumäniens befasste, die vierte Richtlinie zur Bekämpfung der Geldwäsche in nationales Recht umzusetzen; in der Erwägung, dass das rumänische Parlament am 24. Oktober 2018 den Entwurf eines Gesetzes zur Bekämpfung von Geldwäsche und Terrorismusfinanzierung angenommen hat,“</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2. Teil</w:t>
            </w:r>
          </w:p>
        </w:tc>
        <w:tc>
          <w:tcPr>
            <w:tcW w:w="7495" w:type="dxa"/>
            <w:tcMar>
              <w:top w:w="0" w:type="dxa"/>
              <w:left w:w="0" w:type="dxa"/>
              <w:bottom w:w="0" w:type="dxa"/>
              <w:right w:w="0" w:type="dxa"/>
            </w:tcMar>
          </w:tcPr>
          <w:p w:rsidR="004F3206" w:rsidRPr="00776B2E" w:rsidRDefault="00776B2E">
            <w:pPr>
              <w:pStyle w:val="REMARKTABLECELLSIMPLE"/>
            </w:pPr>
            <w:r>
              <w:t>„nachdem die Abstimmung in fragwürdiger Weise wiederholt worden war;“</w:t>
            </w:r>
          </w:p>
        </w:tc>
      </w:tr>
      <w:tr w:rsidR="004F3206" w:rsidRPr="00776B2E">
        <w:tc>
          <w:tcPr>
            <w:tcW w:w="9065" w:type="dxa"/>
            <w:gridSpan w:val="2"/>
            <w:tcMar>
              <w:top w:w="0" w:type="dxa"/>
              <w:left w:w="0" w:type="dxa"/>
              <w:bottom w:w="0" w:type="dxa"/>
              <w:right w:w="0" w:type="dxa"/>
            </w:tcMar>
          </w:tcPr>
          <w:p w:rsidR="004F3206" w:rsidRPr="0083247F" w:rsidRDefault="004F3206">
            <w:pPr>
              <w:pStyle w:val="REMARKTABLECELLSIMPLE"/>
            </w:pP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ALDE:</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Änderungsantrag 12</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1. Teil</w:t>
            </w:r>
          </w:p>
        </w:tc>
        <w:tc>
          <w:tcPr>
            <w:tcW w:w="7495" w:type="dxa"/>
            <w:tcMar>
              <w:top w:w="0" w:type="dxa"/>
              <w:left w:w="0" w:type="dxa"/>
              <w:bottom w:w="0" w:type="dxa"/>
              <w:right w:w="0" w:type="dxa"/>
            </w:tcMar>
          </w:tcPr>
          <w:p w:rsidR="004F3206" w:rsidRPr="00776B2E" w:rsidRDefault="00776B2E">
            <w:pPr>
              <w:pStyle w:val="REMARKTABLECELLSIMPLE"/>
            </w:pPr>
            <w:r>
              <w:t>„stellt die Legitimität der Protokolle über die Zusammenarbeit des rumänischen Nachrichtendienstes und der Justizorgane infrage;“</w:t>
            </w:r>
          </w:p>
        </w:tc>
      </w:tr>
      <w:tr w:rsidR="004F3206" w:rsidRPr="00776B2E">
        <w:trPr>
          <w:cantSplit/>
        </w:trPr>
        <w:tc>
          <w:tcPr>
            <w:tcW w:w="1570" w:type="dxa"/>
            <w:tcMar>
              <w:top w:w="0" w:type="dxa"/>
              <w:left w:w="0" w:type="dxa"/>
              <w:bottom w:w="0" w:type="dxa"/>
              <w:right w:w="0" w:type="dxa"/>
            </w:tcMar>
          </w:tcPr>
          <w:p w:rsidR="004F3206" w:rsidRDefault="00776B2E">
            <w:pPr>
              <w:pStyle w:val="REMARKTABLECELLITALIC"/>
            </w:pPr>
            <w:r>
              <w:t>2. Teil</w:t>
            </w:r>
          </w:p>
        </w:tc>
        <w:tc>
          <w:tcPr>
            <w:tcW w:w="7495" w:type="dxa"/>
            <w:tcMar>
              <w:top w:w="0" w:type="dxa"/>
              <w:left w:w="0" w:type="dxa"/>
              <w:bottom w:w="0" w:type="dxa"/>
              <w:right w:w="0" w:type="dxa"/>
            </w:tcMar>
          </w:tcPr>
          <w:p w:rsidR="004F3206" w:rsidRPr="00776B2E" w:rsidRDefault="00776B2E">
            <w:pPr>
              <w:pStyle w:val="REMARKTABLECELLSIMPLE"/>
            </w:pPr>
            <w:r>
              <w:t>„fordert die rumänischen Staatsorgane auf, Garantien einzurichten, damit eine transparente und rechtmäßige Grundlage für die institutionelle Zusammenarbeit sichergestellt wird und sämtliche Einmischungen unterbunden werden, durch die das System von Kontrolle und Gegenkontrolle umgangen wird; fordert, dass die parlamentarische Kontrolle über die Nachrichtendienste gestärkt wird;“</w:t>
            </w:r>
          </w:p>
        </w:tc>
      </w:tr>
      <w:tr w:rsidR="004F3206" w:rsidRPr="00442438">
        <w:trPr>
          <w:cantSplit/>
        </w:trPr>
        <w:tc>
          <w:tcPr>
            <w:tcW w:w="1570" w:type="dxa"/>
            <w:tcMar>
              <w:top w:w="0" w:type="dxa"/>
              <w:left w:w="0" w:type="dxa"/>
              <w:bottom w:w="0" w:type="dxa"/>
              <w:right w:w="0" w:type="dxa"/>
            </w:tcMar>
          </w:tcPr>
          <w:p w:rsidR="004F3206" w:rsidRDefault="00776B2E">
            <w:pPr>
              <w:pStyle w:val="REMARKTABLECELLITALIC"/>
            </w:pPr>
            <w:r>
              <w:t>3. Teil</w:t>
            </w:r>
          </w:p>
        </w:tc>
        <w:tc>
          <w:tcPr>
            <w:tcW w:w="7495" w:type="dxa"/>
            <w:tcMar>
              <w:top w:w="0" w:type="dxa"/>
              <w:left w:w="0" w:type="dxa"/>
              <w:bottom w:w="0" w:type="dxa"/>
              <w:right w:w="0" w:type="dxa"/>
            </w:tcMar>
          </w:tcPr>
          <w:p w:rsidR="004F3206" w:rsidRPr="00776B2E" w:rsidRDefault="00776B2E">
            <w:pPr>
              <w:pStyle w:val="REMARKTABLECELLSIMPLE"/>
            </w:pPr>
            <w:r>
              <w:t>„fordert die rumänischen Staatsorgane, einschließlich des Präsidenten Rumäniens, auf, diese Protokolle öffentlich zu verurteilen;“</w:t>
            </w:r>
          </w:p>
        </w:tc>
      </w:tr>
    </w:tbl>
    <w:p w:rsidR="004F3206" w:rsidRPr="0083247F" w:rsidRDefault="004F3206">
      <w:pPr>
        <w:pStyle w:val="STYTAB"/>
      </w:pPr>
    </w:p>
    <w:p w:rsidR="004F3206" w:rsidRPr="0083247F" w:rsidRDefault="004F3206">
      <w:pPr>
        <w:pStyle w:val="STYTAB"/>
      </w:pPr>
    </w:p>
    <w:p w:rsidR="004F3206" w:rsidRPr="00776B2E" w:rsidRDefault="00776B2E">
      <w:pPr>
        <w:pStyle w:val="VOTETITLE"/>
      </w:pPr>
      <w:r>
        <w:t>Mindestnormen für Minderheiten in der EU</w:t>
      </w:r>
    </w:p>
    <w:p w:rsidR="004F3206" w:rsidRDefault="00776B2E">
      <w:pPr>
        <w:pStyle w:val="VOTEREPORTTITLE"/>
      </w:pPr>
      <w:r>
        <w:t>Bericht: József Nagy (A8-0353/2018)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pPr>
              <w:pStyle w:val="VOTINGTABLEHEADER"/>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pPr>
              <w:pStyle w:val="VOTINGTABLEHEADER"/>
            </w:pPr>
            <w:r>
              <w:t>NA/EA – Bemerkungen</w:t>
            </w:r>
          </w:p>
        </w:tc>
      </w:tr>
      <w:tr w:rsidR="004F3206">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SIMPLEOBJECT"/>
            </w:pPr>
            <w:r>
              <w:t>Alternativer Entschließungsantrag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OBJECT"/>
            </w:pPr>
            <w:r>
              <w:t>Abstimmung: Entschließung des LIBE-Ausschusses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489, 112, 73</w:t>
            </w:r>
          </w:p>
        </w:tc>
      </w:tr>
    </w:tbl>
    <w:p w:rsidR="004F3206" w:rsidRDefault="004F3206">
      <w:pPr>
        <w:pStyle w:val="STYTAB"/>
      </w:pPr>
    </w:p>
    <w:p w:rsidR="004F3206" w:rsidRDefault="004F3206">
      <w:pPr>
        <w:pStyle w:val="STYTAB"/>
      </w:pPr>
    </w:p>
    <w:p w:rsidR="004F3206" w:rsidRDefault="004F3206">
      <w:pPr>
        <w:pStyle w:val="STYTAB"/>
      </w:pPr>
    </w:p>
    <w:p w:rsidR="004F3206" w:rsidRPr="00776B2E" w:rsidRDefault="00776B2E" w:rsidP="0083247F">
      <w:pPr>
        <w:pStyle w:val="VOTETITLE"/>
        <w:keepNext/>
        <w:keepLines/>
      </w:pPr>
      <w:r>
        <w:lastRenderedPageBreak/>
        <w:t>Digitalisierung für die Entwicklung: Armut mit Technologie bekämpfen</w:t>
      </w:r>
    </w:p>
    <w:p w:rsidR="004F3206" w:rsidRDefault="00776B2E" w:rsidP="0083247F">
      <w:pPr>
        <w:pStyle w:val="VOTEREPORTTITLE"/>
        <w:keepNext/>
        <w:keepLines/>
      </w:pPr>
      <w:r>
        <w:t>Bericht: Bogdan Brunon Wenta (A8-0338/2018)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F3206" w:rsidRPr="0044243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rsidP="0083247F">
            <w:pPr>
              <w:pStyle w:val="VOTINGTABLEHEADER"/>
              <w:keepNext/>
              <w:keepLines/>
            </w:pPr>
            <w:r>
              <w:t>Gegenstand</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rsidP="0083247F">
            <w:pPr>
              <w:pStyle w:val="VOTINGTABLEHEADER"/>
              <w:keepNext/>
              <w:keepLines/>
            </w:pPr>
            <w:r>
              <w:t>Änd.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rsidP="0083247F">
            <w:pPr>
              <w:pStyle w:val="VOTINGTABLEHEADER"/>
              <w:keepNext/>
              <w:keepLines/>
            </w:pPr>
            <w:r>
              <w:t>Verfasser(in)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rsidP="0083247F">
            <w:pPr>
              <w:pStyle w:val="VOTINGTABLEHEADER"/>
              <w:keepNext/>
              <w:keepLines/>
            </w:pPr>
            <w:r>
              <w:t>NA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Default="00776B2E" w:rsidP="0083247F">
            <w:pPr>
              <w:pStyle w:val="VOTINGTABLEHEADER"/>
              <w:keepNext/>
              <w:keepLines/>
            </w:pPr>
            <w:r>
              <w:t>Abstimmung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F3206" w:rsidRPr="00776B2E" w:rsidRDefault="00776B2E" w:rsidP="0083247F">
            <w:pPr>
              <w:pStyle w:val="VOTINGTABLEHEADER"/>
              <w:keepNext/>
              <w:keepLines/>
            </w:pPr>
            <w:r>
              <w:t>NA/EA – Bemerkungen</w:t>
            </w:r>
          </w:p>
        </w:tc>
      </w:tr>
      <w:tr w:rsidR="004F3206">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OBJECT"/>
            </w:pPr>
            <w:r>
              <w:t>§ 13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UTHOR"/>
            </w:pPr>
            <w:r>
              <w:t>ursprünglicher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getr.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pPr>
              <w:pStyle w:val="VOTINGTABLECELLREMARK"/>
            </w:pP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1/NA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342, 319, 9</w:t>
            </w:r>
          </w:p>
        </w:tc>
      </w:tr>
      <w:tr w:rsidR="004F3206">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4F3206"/>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2/NA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297, 352, 11</w:t>
            </w:r>
          </w:p>
        </w:tc>
      </w:tr>
      <w:tr w:rsidR="004F3206">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Pr="00776B2E" w:rsidRDefault="00776B2E">
            <w:pPr>
              <w:pStyle w:val="VOTINGTABLECELLOBJECT"/>
            </w:pPr>
            <w:r>
              <w:t>Abstimmung: Entschließung (gesamter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AN"/>
            </w:pPr>
            <w:r>
              <w:t>NA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3206" w:rsidRDefault="00776B2E">
            <w:pPr>
              <w:pStyle w:val="VOTINGTABLECELLREMARK"/>
            </w:pPr>
            <w:r>
              <w:t>499, 48, 108</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rsidRPr="00442438">
        <w:trPr>
          <w:cantSplit/>
        </w:trPr>
        <w:tc>
          <w:tcPr>
            <w:tcW w:w="9065" w:type="dxa"/>
            <w:gridSpan w:val="2"/>
            <w:tcMar>
              <w:top w:w="0" w:type="dxa"/>
              <w:left w:w="0" w:type="dxa"/>
              <w:bottom w:w="0" w:type="dxa"/>
              <w:right w:w="0" w:type="dxa"/>
            </w:tcMar>
          </w:tcPr>
          <w:p w:rsidR="004F3206" w:rsidRPr="00776B2E" w:rsidRDefault="00776B2E">
            <w:pPr>
              <w:pStyle w:val="REMARKTABLECELLTITLE"/>
            </w:pPr>
            <w:r>
              <w:t>Anträge auf namentliche Abstimmung</w:t>
            </w:r>
          </w:p>
        </w:tc>
      </w:tr>
      <w:tr w:rsidR="004F3206">
        <w:tc>
          <w:tcPr>
            <w:tcW w:w="1570" w:type="dxa"/>
            <w:tcMar>
              <w:top w:w="0" w:type="dxa"/>
              <w:left w:w="0" w:type="dxa"/>
              <w:bottom w:w="0" w:type="dxa"/>
              <w:right w:w="0" w:type="dxa"/>
            </w:tcMar>
          </w:tcPr>
          <w:p w:rsidR="004F3206" w:rsidRDefault="00776B2E">
            <w:pPr>
              <w:pStyle w:val="REMARKTABLECELLSIMPLE"/>
            </w:pPr>
            <w:r>
              <w:t>S&amp;D:</w:t>
            </w:r>
          </w:p>
        </w:tc>
        <w:tc>
          <w:tcPr>
            <w:tcW w:w="7495" w:type="dxa"/>
            <w:tcMar>
              <w:top w:w="0" w:type="dxa"/>
              <w:left w:w="0" w:type="dxa"/>
              <w:bottom w:w="0" w:type="dxa"/>
              <w:right w:w="0" w:type="dxa"/>
            </w:tcMar>
          </w:tcPr>
          <w:p w:rsidR="004F3206" w:rsidRDefault="00776B2E">
            <w:pPr>
              <w:pStyle w:val="REMARKTABLECELLSIMPLE"/>
            </w:pPr>
            <w:r>
              <w:t>§ 13</w:t>
            </w:r>
          </w:p>
        </w:tc>
      </w:tr>
    </w:tbl>
    <w:p w:rsidR="004F3206" w:rsidRDefault="004F3206">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F3206" w:rsidRPr="00442438">
        <w:trPr>
          <w:cantSplit/>
        </w:trPr>
        <w:tc>
          <w:tcPr>
            <w:tcW w:w="9065" w:type="dxa"/>
            <w:gridSpan w:val="2"/>
            <w:tcMar>
              <w:top w:w="0" w:type="dxa"/>
              <w:left w:w="0" w:type="dxa"/>
              <w:bottom w:w="0" w:type="dxa"/>
              <w:right w:w="0" w:type="dxa"/>
            </w:tcMar>
          </w:tcPr>
          <w:p w:rsidR="004F3206" w:rsidRPr="00776B2E" w:rsidRDefault="00776B2E">
            <w:pPr>
              <w:pStyle w:val="REMARKTABLECELLTITLE"/>
            </w:pPr>
            <w:r>
              <w:t>Anträge auf getrennte Abstimmung</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mehr als 76 Mitglieder:</w:t>
            </w:r>
          </w:p>
        </w:tc>
      </w:tr>
      <w:tr w:rsidR="004F3206">
        <w:trPr>
          <w:cantSplit/>
        </w:trPr>
        <w:tc>
          <w:tcPr>
            <w:tcW w:w="9065" w:type="dxa"/>
            <w:gridSpan w:val="2"/>
            <w:tcMar>
              <w:top w:w="0" w:type="dxa"/>
              <w:left w:w="0" w:type="dxa"/>
              <w:bottom w:w="0" w:type="dxa"/>
              <w:right w:w="0" w:type="dxa"/>
            </w:tcMar>
          </w:tcPr>
          <w:p w:rsidR="004F3206" w:rsidRDefault="00776B2E">
            <w:pPr>
              <w:pStyle w:val="REMARKTABLECELLSIMPLE"/>
            </w:pPr>
            <w:r>
              <w:t>§ 13</w:t>
            </w:r>
          </w:p>
        </w:tc>
      </w:tr>
      <w:tr w:rsidR="004F3206" w:rsidRPr="00442438">
        <w:trPr>
          <w:cantSplit/>
        </w:trPr>
        <w:tc>
          <w:tcPr>
            <w:tcW w:w="1570" w:type="dxa"/>
            <w:tcMar>
              <w:top w:w="0" w:type="dxa"/>
              <w:left w:w="0" w:type="dxa"/>
              <w:bottom w:w="0" w:type="dxa"/>
              <w:right w:w="0" w:type="dxa"/>
            </w:tcMar>
          </w:tcPr>
          <w:p w:rsidR="004F3206" w:rsidRDefault="00776B2E">
            <w:pPr>
              <w:pStyle w:val="REMARKTABLECELLITALIC"/>
            </w:pPr>
            <w:r>
              <w:t>1. Teil</w:t>
            </w:r>
          </w:p>
        </w:tc>
        <w:tc>
          <w:tcPr>
            <w:tcW w:w="7495" w:type="dxa"/>
            <w:tcMar>
              <w:top w:w="0" w:type="dxa"/>
              <w:left w:w="0" w:type="dxa"/>
              <w:bottom w:w="0" w:type="dxa"/>
              <w:right w:w="0" w:type="dxa"/>
            </w:tcMar>
          </w:tcPr>
          <w:p w:rsidR="004F3206" w:rsidRPr="00776B2E" w:rsidRDefault="00776B2E">
            <w:pPr>
              <w:pStyle w:val="REMARKTABLECELLSIMPLE"/>
            </w:pPr>
            <w:r>
              <w:t>Gesamter Text ohne die Worte „einschließlich eines Mindesteinkommens“</w:t>
            </w:r>
          </w:p>
        </w:tc>
      </w:tr>
      <w:tr w:rsidR="004F3206">
        <w:trPr>
          <w:cantSplit/>
        </w:trPr>
        <w:tc>
          <w:tcPr>
            <w:tcW w:w="1570" w:type="dxa"/>
            <w:tcMar>
              <w:top w:w="0" w:type="dxa"/>
              <w:left w:w="0" w:type="dxa"/>
              <w:bottom w:w="0" w:type="dxa"/>
              <w:right w:w="0" w:type="dxa"/>
            </w:tcMar>
          </w:tcPr>
          <w:p w:rsidR="004F3206" w:rsidRDefault="00776B2E">
            <w:pPr>
              <w:pStyle w:val="REMARKTABLECELLITALIC"/>
            </w:pPr>
            <w:r>
              <w:t>2. Teil</w:t>
            </w:r>
          </w:p>
        </w:tc>
        <w:tc>
          <w:tcPr>
            <w:tcW w:w="7495" w:type="dxa"/>
            <w:tcMar>
              <w:top w:w="0" w:type="dxa"/>
              <w:left w:w="0" w:type="dxa"/>
              <w:bottom w:w="0" w:type="dxa"/>
              <w:right w:w="0" w:type="dxa"/>
            </w:tcMar>
          </w:tcPr>
          <w:p w:rsidR="004F3206" w:rsidRDefault="00776B2E">
            <w:pPr>
              <w:pStyle w:val="REMARKTABLECELLSIMPLE"/>
            </w:pPr>
            <w:r>
              <w:t>diese Worte</w:t>
            </w:r>
          </w:p>
        </w:tc>
      </w:tr>
    </w:tbl>
    <w:p w:rsidR="006705DA" w:rsidRDefault="006705DA"/>
    <w:sectPr w:rsidR="006705DA">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0E" w:rsidRDefault="0061240E">
      <w:r>
        <w:separator/>
      </w:r>
    </w:p>
  </w:endnote>
  <w:endnote w:type="continuationSeparator" w:id="0">
    <w:p w:rsidR="0061240E" w:rsidRDefault="006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4F3206">
      <w:tc>
        <w:tcPr>
          <w:tcW w:w="4121" w:type="dxa"/>
        </w:tcPr>
        <w:p w:rsidR="004F3206" w:rsidRDefault="00B12B0F" w:rsidP="00B12B0F">
          <w:pPr>
            <w:pStyle w:val="FOOTERSTYLELEFTSTYLE"/>
          </w:pPr>
          <w:r>
            <w:t>P8_PV</w:t>
          </w:r>
          <w:r w:rsidR="00776B2E">
            <w:t>(2018)11-13(VOT)_</w:t>
          </w:r>
          <w:r w:rsidR="0083247F">
            <w:t>DE</w:t>
          </w:r>
          <w:r w:rsidR="00776B2E">
            <w:t>.docx</w:t>
          </w:r>
        </w:p>
      </w:tc>
      <w:tc>
        <w:tcPr>
          <w:tcW w:w="822" w:type="dxa"/>
        </w:tcPr>
        <w:p w:rsidR="004F3206" w:rsidRDefault="00776B2E">
          <w:pPr>
            <w:pStyle w:val="FOOTERSTYLECENTERSTYLE"/>
          </w:pPr>
          <w:r>
            <w:fldChar w:fldCharType="begin"/>
          </w:r>
          <w:r>
            <w:instrText xml:space="preserve"> PAGE   \* MERGEFORMAT </w:instrText>
          </w:r>
          <w:r>
            <w:fldChar w:fldCharType="separate"/>
          </w:r>
          <w:r w:rsidR="00B12B0F">
            <w:rPr>
              <w:noProof/>
            </w:rPr>
            <w:t>2</w:t>
          </w:r>
          <w:r>
            <w:fldChar w:fldCharType="end"/>
          </w:r>
        </w:p>
      </w:tc>
      <w:tc>
        <w:tcPr>
          <w:tcW w:w="4121" w:type="dxa"/>
        </w:tcPr>
        <w:p w:rsidR="004F3206" w:rsidRDefault="00776B2E">
          <w:pPr>
            <w:pStyle w:val="FOOTERSTYLERIGHTSTYLE"/>
          </w:pPr>
          <w:r>
            <w:t>PE 630.363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0E" w:rsidRDefault="0061240E">
      <w:r>
        <w:rPr>
          <w:color w:val="000000"/>
        </w:rPr>
        <w:separator/>
      </w:r>
    </w:p>
  </w:footnote>
  <w:footnote w:type="continuationSeparator" w:id="0">
    <w:p w:rsidR="0061240E" w:rsidRDefault="0061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2C29C5"/>
    <w:rsid w:val="00420853"/>
    <w:rsid w:val="00442438"/>
    <w:rsid w:val="00475532"/>
    <w:rsid w:val="004F3206"/>
    <w:rsid w:val="0061240E"/>
    <w:rsid w:val="006705DA"/>
    <w:rsid w:val="00722B44"/>
    <w:rsid w:val="00776B2E"/>
    <w:rsid w:val="007A5C46"/>
    <w:rsid w:val="007D3A6B"/>
    <w:rsid w:val="0083247F"/>
    <w:rsid w:val="00881D7D"/>
    <w:rsid w:val="009765B5"/>
    <w:rsid w:val="00984BD6"/>
    <w:rsid w:val="00A90E4E"/>
    <w:rsid w:val="00AC2B49"/>
    <w:rsid w:val="00B12B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8B17"/>
  <w15:docId w15:val="{0CA2D181-7FBA-440C-BC76-FE823212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DLUGOSCH Martin</cp:lastModifiedBy>
  <cp:revision>3</cp:revision>
  <dcterms:created xsi:type="dcterms:W3CDTF">2019-01-22T13:51:00Z</dcterms:created>
  <dcterms:modified xsi:type="dcterms:W3CDTF">2019-01-22T13:52:00Z</dcterms:modified>
</cp:coreProperties>
</file>