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A2FB9" w:rsidRPr="00FD759A" w:rsidTr="004F500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CA2FB9" w:rsidRPr="00FD759A" w:rsidRDefault="0041709F" w:rsidP="004D5831">
            <w:pPr>
              <w:pStyle w:val="EPName"/>
            </w:pPr>
            <w:r>
              <w:t>Európsky parlament</w:t>
            </w:r>
          </w:p>
          <w:p w:rsidR="00CA2FB9" w:rsidRPr="00FD759A" w:rsidRDefault="004B5BAF" w:rsidP="004B5BA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CA2FB9" w:rsidRPr="00FD759A" w:rsidRDefault="0040653F" w:rsidP="004D5831">
            <w:pPr>
              <w:pStyle w:val="EPLogo"/>
            </w:pPr>
            <w:r>
              <w:rPr>
                <w:lang w:val="en-GB" w:eastAsia="en-GB" w:bidi="ar-SA"/>
              </w:rPr>
              <w:drawing>
                <wp:inline distT="0" distB="0" distL="0" distR="0">
                  <wp:extent cx="1162050" cy="641350"/>
                  <wp:effectExtent l="0" t="0" r="0" b="635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919" w:rsidRPr="00FD759A" w:rsidRDefault="00FF0919" w:rsidP="00FF0919">
      <w:pPr>
        <w:pStyle w:val="LineTop"/>
      </w:pPr>
    </w:p>
    <w:p w:rsidR="00FF0919" w:rsidRPr="00FD759A" w:rsidRDefault="0041709F" w:rsidP="00FF0919">
      <w:pPr>
        <w:pStyle w:val="ZSessionDoc"/>
      </w:pPr>
      <w:r>
        <w:t>Dokument na schôdzu</w:t>
      </w:r>
    </w:p>
    <w:p w:rsidR="00752855" w:rsidRPr="00FD759A" w:rsidRDefault="00752855" w:rsidP="00752855">
      <w:pPr>
        <w:pStyle w:val="LineBottom"/>
      </w:pPr>
    </w:p>
    <w:p w:rsidR="009D33CF" w:rsidRPr="00FD759A" w:rsidRDefault="00335275" w:rsidP="00D57C45">
      <w:pPr>
        <w:pStyle w:val="RefDocRC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RepeatBlock-NoDocSe</w:t>
      </w:r>
      <w:proofErr w:type="spellEnd"/>
      <w:r>
        <w:rPr>
          <w:rStyle w:val="HideTWBExt"/>
          <w:b w:val="0"/>
          <w:noProof w:val="0"/>
        </w:rPr>
        <w:t>&gt;</w:t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</w:t>
      </w:r>
      <w:r>
        <w:t>B8-1261/2016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 } </w:t>
      </w:r>
    </w:p>
    <w:p w:rsidR="004B5BAF" w:rsidRPr="00FD759A" w:rsidRDefault="004B5BAF" w:rsidP="004B5BAF">
      <w:pPr>
        <w:pStyle w:val="RefDocRC"/>
      </w:pP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</w:t>
      </w:r>
      <w:r>
        <w:t>B8-1264/2016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 } </w:t>
      </w:r>
    </w:p>
    <w:p w:rsidR="004B5BAF" w:rsidRPr="00FD759A" w:rsidRDefault="004B5BAF" w:rsidP="004B5BAF">
      <w:pPr>
        <w:pStyle w:val="RefDocRC"/>
      </w:pP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</w:t>
      </w:r>
      <w:r>
        <w:t>B8-1267/2016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 } </w:t>
      </w:r>
    </w:p>
    <w:p w:rsidR="004B5BAF" w:rsidRPr="00FD759A" w:rsidRDefault="004B5BAF" w:rsidP="004B5BAF">
      <w:pPr>
        <w:pStyle w:val="RefDocRC"/>
      </w:pP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</w:t>
      </w:r>
      <w:r>
        <w:t>B8-1270/2016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 } </w:t>
      </w:r>
    </w:p>
    <w:p w:rsidR="009D33CF" w:rsidRPr="00FD759A" w:rsidRDefault="009D33CF" w:rsidP="00D57C45">
      <w:pPr>
        <w:pStyle w:val="RefDocRC"/>
      </w:pP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</w:t>
      </w:r>
      <w:r>
        <w:t>B8-1273/2016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NoDocSe</w:t>
      </w:r>
      <w:proofErr w:type="spellEnd"/>
      <w:r>
        <w:rPr>
          <w:rStyle w:val="HideTWBExt"/>
          <w:b w:val="0"/>
          <w:noProof w:val="0"/>
        </w:rPr>
        <w:t>&gt;&lt;/</w:t>
      </w:r>
      <w:proofErr w:type="spellStart"/>
      <w:r>
        <w:rPr>
          <w:rStyle w:val="HideTWBExt"/>
          <w:b w:val="0"/>
          <w:noProof w:val="0"/>
        </w:rPr>
        <w:t>RepeatBlock-NoDocSe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 } RC1</w:t>
      </w:r>
    </w:p>
    <w:p w:rsidR="004F500E" w:rsidRPr="00FD759A" w:rsidRDefault="004F500E" w:rsidP="00250797">
      <w:pPr>
        <w:widowControl/>
        <w:tabs>
          <w:tab w:val="left" w:pos="-1071"/>
          <w:tab w:val="left" w:pos="-873"/>
          <w:tab w:val="left" w:pos="-453"/>
          <w:tab w:val="left" w:pos="7059"/>
          <w:tab w:val="left" w:pos="8763"/>
          <w:tab w:val="left" w:pos="9044"/>
        </w:tabs>
        <w:jc w:val="both"/>
      </w:pPr>
    </w:p>
    <w:p w:rsidR="004F500E" w:rsidRPr="00FD759A" w:rsidRDefault="004F500E" w:rsidP="00F849BF">
      <w:pPr>
        <w:pStyle w:val="DateRC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Date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</w:rPr>
        <w:t>{23/11/2016}</w:t>
      </w:r>
      <w:r>
        <w:t>23.11.2016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Date</w:t>
      </w:r>
      <w:proofErr w:type="spellEnd"/>
      <w:r>
        <w:rPr>
          <w:rStyle w:val="HideTWBExt"/>
          <w:noProof w:val="0"/>
        </w:rPr>
        <w:t>&gt;</w:t>
      </w:r>
    </w:p>
    <w:p w:rsidR="009D33CF" w:rsidRPr="00FD759A" w:rsidRDefault="009D33CF">
      <w:pPr>
        <w:pStyle w:val="TypeDocRC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SPOLOČNÝ NÁVRH UZNESENIA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</w:p>
    <w:p w:rsidR="009D33CF" w:rsidRPr="00FD759A" w:rsidRDefault="009D33CF">
      <w:pPr>
        <w:pStyle w:val="Cover12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TitreRecueil</w:t>
      </w:r>
      <w:proofErr w:type="spellEnd"/>
      <w:r>
        <w:rPr>
          <w:rStyle w:val="HideTWBExt"/>
          <w:noProof w:val="0"/>
        </w:rPr>
        <w:t>&gt;</w:t>
      </w:r>
      <w:r>
        <w:t>predložený v súlade s článkom 135 ods. 5 a článkom 123 ods. 4 rokovacieho poriadku,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TitreRecueil</w:t>
      </w:r>
      <w:proofErr w:type="spellEnd"/>
      <w:r>
        <w:rPr>
          <w:rStyle w:val="HideTWBExt"/>
          <w:noProof w:val="0"/>
        </w:rPr>
        <w:t>&gt;</w:t>
      </w:r>
    </w:p>
    <w:p w:rsidR="00752855" w:rsidRPr="00FD759A" w:rsidRDefault="0041709F" w:rsidP="00177088">
      <w:pPr>
        <w:pStyle w:val="CoverNormal"/>
      </w:pPr>
      <w:r>
        <w:t>ktorý nahrádza návrhy uznesenia skupín:</w:t>
      </w:r>
    </w:p>
    <w:p w:rsidR="00752855" w:rsidRPr="0040653F" w:rsidRDefault="004B5BAF" w:rsidP="00177088">
      <w:pPr>
        <w:pStyle w:val="CoverNormal"/>
      </w:pPr>
      <w:proofErr w:type="spellStart"/>
      <w:r>
        <w:t>Verts</w:t>
      </w:r>
      <w:proofErr w:type="spellEnd"/>
      <w:r>
        <w:t>/ALE (B8-1261/2016)</w:t>
      </w:r>
    </w:p>
    <w:p w:rsidR="004B5BAF" w:rsidRPr="0040653F" w:rsidRDefault="004B5BAF" w:rsidP="004B5BAF">
      <w:pPr>
        <w:pStyle w:val="CoverNormal"/>
      </w:pPr>
      <w:r>
        <w:t>ECR (B8-1264/2016)</w:t>
      </w:r>
    </w:p>
    <w:p w:rsidR="004B5BAF" w:rsidRPr="00FD759A" w:rsidRDefault="004B5BAF" w:rsidP="004B5BAF">
      <w:pPr>
        <w:pStyle w:val="CoverNormal"/>
      </w:pPr>
      <w:r>
        <w:t>PPE (B8-1267/2016)</w:t>
      </w:r>
    </w:p>
    <w:p w:rsidR="004B5BAF" w:rsidRPr="00FD759A" w:rsidRDefault="004B5BAF" w:rsidP="004B5BAF">
      <w:pPr>
        <w:pStyle w:val="CoverNormal"/>
      </w:pPr>
      <w:r>
        <w:t>S&amp;D (B8-1270/2016)</w:t>
      </w:r>
    </w:p>
    <w:p w:rsidR="00752855" w:rsidRPr="00FD759A" w:rsidRDefault="004B5BAF" w:rsidP="00177088">
      <w:pPr>
        <w:pStyle w:val="Cover12"/>
      </w:pPr>
      <w:r>
        <w:t>ALDE (B8-1273/2016)</w:t>
      </w:r>
    </w:p>
    <w:p w:rsidR="00AB70B2" w:rsidRPr="00FD759A" w:rsidRDefault="00AB70B2" w:rsidP="00AB70B2">
      <w:pPr>
        <w:pStyle w:val="CoverNormal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 xml:space="preserve">o prípade </w:t>
      </w:r>
      <w:proofErr w:type="spellStart"/>
      <w:r>
        <w:t>Ildara</w:t>
      </w:r>
      <w:proofErr w:type="spellEnd"/>
      <w:r>
        <w:t xml:space="preserve"> </w:t>
      </w:r>
      <w:proofErr w:type="spellStart"/>
      <w:r>
        <w:t>Dadina</w:t>
      </w:r>
      <w:proofErr w:type="spellEnd"/>
      <w:r>
        <w:t xml:space="preserve">, väzňa svedomia v Rusku 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AB70B2" w:rsidRPr="00FD759A" w:rsidRDefault="00AB70B2" w:rsidP="00AB70B2">
      <w:pPr>
        <w:pStyle w:val="Cover24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  <w:r>
        <w:t>(2016/2992(RSP))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</w:p>
    <w:p w:rsidR="00EC024A" w:rsidRPr="00FD759A" w:rsidRDefault="004E13DA" w:rsidP="00177088">
      <w:pPr>
        <w:pStyle w:val="Cover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</w:t>
      </w:r>
      <w:proofErr w:type="spellEnd"/>
      <w:r>
        <w:rPr>
          <w:rStyle w:val="HideTWBExt"/>
          <w:b w:val="0"/>
          <w:noProof w:val="0"/>
        </w:rPr>
        <w:t>-By&gt;&lt;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, </w:t>
      </w:r>
      <w:proofErr w:type="spellStart"/>
      <w:r>
        <w:t>Elmar</w:t>
      </w:r>
      <w:proofErr w:type="spellEnd"/>
      <w:r>
        <w:t xml:space="preserve"> Brok, Jaromír </w:t>
      </w:r>
      <w:proofErr w:type="spellStart"/>
      <w:r>
        <w:lastRenderedPageBreak/>
        <w:t>Štětina</w:t>
      </w:r>
      <w:proofErr w:type="spellEnd"/>
      <w:r>
        <w:t xml:space="preserve">, Roberta </w:t>
      </w:r>
      <w:proofErr w:type="spellStart"/>
      <w:r>
        <w:t>Metsola</w:t>
      </w:r>
      <w:proofErr w:type="spellEnd"/>
      <w:r>
        <w:t xml:space="preserve">, Andrey </w:t>
      </w:r>
      <w:proofErr w:type="spellStart"/>
      <w:r>
        <w:t>Kovatchev</w:t>
      </w:r>
      <w:proofErr w:type="spellEnd"/>
      <w:r>
        <w:t xml:space="preserve">, Eva </w:t>
      </w:r>
      <w:proofErr w:type="spellStart"/>
      <w:r>
        <w:t>Paunova</w:t>
      </w:r>
      <w:proofErr w:type="spellEnd"/>
      <w:r>
        <w:t xml:space="preserve">, </w:t>
      </w:r>
      <w:proofErr w:type="spellStart"/>
      <w:r>
        <w:t>Jarosław</w:t>
      </w:r>
      <w:proofErr w:type="spellEnd"/>
      <w:r>
        <w:t xml:space="preserve"> </w:t>
      </w:r>
      <w:proofErr w:type="spellStart"/>
      <w:r>
        <w:t>Wałęsa</w:t>
      </w:r>
      <w:proofErr w:type="spellEnd"/>
      <w:r>
        <w:t xml:space="preserve">, </w:t>
      </w:r>
      <w:proofErr w:type="spellStart"/>
      <w:r>
        <w:t>Tunne</w:t>
      </w:r>
      <w:proofErr w:type="spellEnd"/>
      <w:r>
        <w:t xml:space="preserve"> </w:t>
      </w:r>
      <w:proofErr w:type="spellStart"/>
      <w:r>
        <w:t>Kelam</w:t>
      </w:r>
      <w:proofErr w:type="spellEnd"/>
      <w:r>
        <w:t>, Tomáš </w:t>
      </w:r>
      <w:proofErr w:type="spellStart"/>
      <w:r>
        <w:t>Zdechovský</w:t>
      </w:r>
      <w:proofErr w:type="spellEnd"/>
      <w:r>
        <w:t xml:space="preserve">, </w:t>
      </w:r>
      <w:proofErr w:type="spellStart"/>
      <w:r>
        <w:t>Luděk</w:t>
      </w:r>
      <w:proofErr w:type="spellEnd"/>
      <w:r>
        <w:t xml:space="preserve"> </w:t>
      </w:r>
      <w:proofErr w:type="spellStart"/>
      <w:r>
        <w:t>Niedermayer</w:t>
      </w:r>
      <w:proofErr w:type="spellEnd"/>
      <w:r>
        <w:t xml:space="preserve">, </w:t>
      </w:r>
      <w:proofErr w:type="spellStart"/>
      <w:r>
        <w:t>Lefteris</w:t>
      </w:r>
      <w:proofErr w:type="spellEnd"/>
      <w:r>
        <w:t xml:space="preserve"> </w:t>
      </w:r>
      <w:proofErr w:type="spellStart"/>
      <w:r>
        <w:t>Christoforou</w:t>
      </w:r>
      <w:proofErr w:type="spellEnd"/>
      <w:r>
        <w:t xml:space="preserve">, </w:t>
      </w:r>
      <w:proofErr w:type="spellStart"/>
      <w:r>
        <w:t>József</w:t>
      </w:r>
      <w:proofErr w:type="spellEnd"/>
      <w:r>
        <w:t xml:space="preserve"> Nagy, </w:t>
      </w:r>
      <w:proofErr w:type="spellStart"/>
      <w:r>
        <w:t>Marijana</w:t>
      </w:r>
      <w:proofErr w:type="spellEnd"/>
      <w:r>
        <w:t xml:space="preserve"> </w:t>
      </w:r>
      <w:proofErr w:type="spellStart"/>
      <w:r>
        <w:t>Petir</w:t>
      </w:r>
      <w:proofErr w:type="spellEnd"/>
      <w:r>
        <w:t xml:space="preserve">, 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Rolin</w:t>
      </w:r>
      <w:proofErr w:type="spellEnd"/>
      <w:r>
        <w:t xml:space="preserve">, Milan Zver, Pavel Svoboda, Patricija </w:t>
      </w:r>
      <w:proofErr w:type="spellStart"/>
      <w:r>
        <w:t>Šulin</w:t>
      </w:r>
      <w:proofErr w:type="spellEnd"/>
      <w:r>
        <w:t xml:space="preserve">, </w:t>
      </w:r>
      <w:proofErr w:type="spellStart"/>
      <w:r>
        <w:t>Dubravka</w:t>
      </w:r>
      <w:proofErr w:type="spellEnd"/>
      <w:r>
        <w:t xml:space="preserve"> </w:t>
      </w:r>
      <w:proofErr w:type="spellStart"/>
      <w:r>
        <w:t>Šuica</w:t>
      </w:r>
      <w:proofErr w:type="spellEnd"/>
      <w:r>
        <w:t xml:space="preserve">, Michaela </w:t>
      </w:r>
      <w:proofErr w:type="spellStart"/>
      <w:r>
        <w:t>Šojdrová</w:t>
      </w:r>
      <w:proofErr w:type="spellEnd"/>
      <w:r>
        <w:t xml:space="preserve">,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Tőkés</w:t>
      </w:r>
      <w:proofErr w:type="spellEnd"/>
      <w:r>
        <w:t xml:space="preserve">, </w:t>
      </w:r>
      <w:proofErr w:type="spellStart"/>
      <w:r>
        <w:t>Bogdan</w:t>
      </w:r>
      <w:proofErr w:type="spellEnd"/>
      <w:r>
        <w:t xml:space="preserve"> </w:t>
      </w:r>
      <w:proofErr w:type="spellStart"/>
      <w:r>
        <w:t>Brunon</w:t>
      </w:r>
      <w:proofErr w:type="spellEnd"/>
      <w:r>
        <w:t xml:space="preserve"> </w:t>
      </w:r>
      <w:proofErr w:type="spellStart"/>
      <w:r>
        <w:t>Wenta</w:t>
      </w:r>
      <w:proofErr w:type="spellEnd"/>
      <w:r>
        <w:t xml:space="preserve">,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Liucija</w:t>
      </w:r>
      <w:proofErr w:type="spellEnd"/>
      <w:r>
        <w:t xml:space="preserve"> </w:t>
      </w:r>
      <w:proofErr w:type="spellStart"/>
      <w:r>
        <w:t>Andrikienė</w:t>
      </w:r>
      <w:proofErr w:type="spellEnd"/>
      <w:r>
        <w:t xml:space="preserve">, Eduard </w:t>
      </w:r>
      <w:proofErr w:type="spellStart"/>
      <w:r>
        <w:t>Kukan</w:t>
      </w:r>
      <w:proofErr w:type="spellEnd"/>
      <w:r>
        <w:t xml:space="preserve">, Stanislav </w:t>
      </w:r>
      <w:proofErr w:type="spellStart"/>
      <w:r>
        <w:t>Polčák</w:t>
      </w:r>
      <w:proofErr w:type="spellEnd"/>
      <w:r>
        <w:t xml:space="preserve">, Adam </w:t>
      </w:r>
      <w:proofErr w:type="spellStart"/>
      <w:r>
        <w:t>Szejnfeld</w:t>
      </w:r>
      <w:proofErr w:type="spellEnd"/>
      <w:r>
        <w:t xml:space="preserve">, </w:t>
      </w:r>
      <w:proofErr w:type="spellStart"/>
      <w:r>
        <w:t>Tadeusz</w:t>
      </w:r>
      <w:proofErr w:type="spellEnd"/>
      <w:r>
        <w:t xml:space="preserve"> </w:t>
      </w:r>
      <w:proofErr w:type="spellStart"/>
      <w:r>
        <w:t>Zwiefka</w:t>
      </w:r>
      <w:proofErr w:type="spellEnd"/>
      <w:r>
        <w:t xml:space="preserve">, Csaba </w:t>
      </w:r>
      <w:proofErr w:type="spellStart"/>
      <w:r>
        <w:t>Sógor</w:t>
      </w:r>
      <w:proofErr w:type="spellEnd"/>
      <w:r>
        <w:t xml:space="preserve">, Anna Maria </w:t>
      </w:r>
      <w:proofErr w:type="spellStart"/>
      <w:r>
        <w:t>Corazza</w:t>
      </w:r>
      <w:proofErr w:type="spellEnd"/>
      <w:r>
        <w:t xml:space="preserve"> </w:t>
      </w:r>
      <w:proofErr w:type="spellStart"/>
      <w:r>
        <w:t>Bildt</w:t>
      </w:r>
      <w:proofErr w:type="spellEnd"/>
      <w:r>
        <w:t xml:space="preserve">, </w:t>
      </w:r>
      <w:proofErr w:type="spellStart"/>
      <w:r>
        <w:t>Therese</w:t>
      </w:r>
      <w:proofErr w:type="spellEnd"/>
      <w:r>
        <w:t xml:space="preserve"> </w:t>
      </w:r>
      <w:proofErr w:type="spellStart"/>
      <w:r>
        <w:t>Comodini</w:t>
      </w:r>
      <w:proofErr w:type="spellEnd"/>
      <w:r>
        <w:t xml:space="preserve"> </w:t>
      </w:r>
      <w:proofErr w:type="spellStart"/>
      <w:r>
        <w:t>Cachia</w:t>
      </w:r>
      <w:proofErr w:type="spellEnd"/>
      <w:r>
        <w:t xml:space="preserve">, Ivan </w:t>
      </w:r>
      <w:proofErr w:type="spellStart"/>
      <w:r>
        <w:t>Štefanec</w:t>
      </w:r>
      <w:proofErr w:type="spellEnd"/>
      <w:r>
        <w:t xml:space="preserve">, David </w:t>
      </w:r>
      <w:proofErr w:type="spellStart"/>
      <w:r>
        <w:t>McAllister</w:t>
      </w:r>
      <w:proofErr w:type="spellEnd"/>
      <w:r>
        <w:t xml:space="preserve">, </w:t>
      </w:r>
      <w:proofErr w:type="spellStart"/>
      <w:r>
        <w:t>Elżbieta</w:t>
      </w:r>
      <w:proofErr w:type="spellEnd"/>
      <w:r>
        <w:t xml:space="preserve">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Łukacijewska</w:t>
      </w:r>
      <w:proofErr w:type="spellEnd"/>
      <w:r>
        <w:t xml:space="preserve">, </w:t>
      </w:r>
      <w:proofErr w:type="spellStart"/>
      <w:r>
        <w:t>Bogdan</w:t>
      </w:r>
      <w:proofErr w:type="spellEnd"/>
      <w:r>
        <w:t xml:space="preserve"> </w:t>
      </w:r>
      <w:proofErr w:type="spellStart"/>
      <w:r>
        <w:t>Andrzej</w:t>
      </w:r>
      <w:proofErr w:type="spellEnd"/>
      <w:r>
        <w:t xml:space="preserve"> </w:t>
      </w:r>
      <w:proofErr w:type="spellStart"/>
      <w:r>
        <w:t>Zdrojewski</w:t>
      </w:r>
      <w:proofErr w:type="spellEnd"/>
      <w:r>
        <w:t xml:space="preserve">, </w:t>
      </w:r>
      <w:proofErr w:type="spellStart"/>
      <w:r>
        <w:t>Ramona</w:t>
      </w:r>
      <w:proofErr w:type="spellEnd"/>
      <w:r>
        <w:t xml:space="preserve"> </w:t>
      </w:r>
      <w:proofErr w:type="spellStart"/>
      <w:r>
        <w:t>Nicole</w:t>
      </w:r>
      <w:proofErr w:type="spellEnd"/>
      <w:r>
        <w:t xml:space="preserve"> </w:t>
      </w:r>
      <w:proofErr w:type="spellStart"/>
      <w:r>
        <w:t>Mănescu</w:t>
      </w:r>
      <w:proofErr w:type="spellEnd"/>
      <w:r>
        <w:t xml:space="preserve">, </w:t>
      </w:r>
      <w:proofErr w:type="spellStart"/>
      <w:r>
        <w:t>Inese</w:t>
      </w:r>
      <w:proofErr w:type="spellEnd"/>
      <w:r>
        <w:t xml:space="preserve"> </w:t>
      </w:r>
      <w:proofErr w:type="spellStart"/>
      <w:r>
        <w:t>Vaidere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</w:p>
    <w:p w:rsidR="009D33CF" w:rsidRPr="00FD759A" w:rsidRDefault="009D33CF" w:rsidP="00177088">
      <w:pPr>
        <w:pStyle w:val="CoverNormal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</w:rPr>
        <w:t>{PPE}</w:t>
      </w:r>
      <w:r>
        <w:t>v mene skupiny PPE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</w:t>
      </w:r>
    </w:p>
    <w:p w:rsidR="004B5BAF" w:rsidRPr="00FD759A" w:rsidRDefault="004B5BAF" w:rsidP="004B5BAF">
      <w:pPr>
        <w:pStyle w:val="Cover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Elena </w:t>
      </w:r>
      <w:proofErr w:type="spellStart"/>
      <w:r>
        <w:t>Valenciano</w:t>
      </w:r>
      <w:proofErr w:type="spellEnd"/>
      <w:r>
        <w:t xml:space="preserve">, Pier Antonio </w:t>
      </w:r>
      <w:proofErr w:type="spellStart"/>
      <w:r>
        <w:t>Panzeri</w:t>
      </w:r>
      <w:proofErr w:type="spellEnd"/>
      <w:r>
        <w:t xml:space="preserve">, </w:t>
      </w:r>
      <w:proofErr w:type="spellStart"/>
      <w:r>
        <w:t>Josef</w:t>
      </w:r>
      <w:proofErr w:type="spellEnd"/>
      <w:r>
        <w:t xml:space="preserve"> </w:t>
      </w:r>
      <w:proofErr w:type="spellStart"/>
      <w:r>
        <w:t>Weidenholzer</w:t>
      </w:r>
      <w:proofErr w:type="spellEnd"/>
      <w:r>
        <w:t xml:space="preserve">, </w:t>
      </w:r>
      <w:proofErr w:type="spellStart"/>
      <w:r>
        <w:t>Victor</w:t>
      </w:r>
      <w:proofErr w:type="spellEnd"/>
      <w:r>
        <w:t> </w:t>
      </w:r>
      <w:proofErr w:type="spellStart"/>
      <w:r>
        <w:t>Boştinaru</w:t>
      </w:r>
      <w:proofErr w:type="spellEnd"/>
      <w:r>
        <w:t xml:space="preserve">,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Eugenia</w:t>
      </w:r>
      <w:proofErr w:type="spellEnd"/>
      <w:r>
        <w:t xml:space="preserve"> </w:t>
      </w:r>
      <w:proofErr w:type="spellStart"/>
      <w:r>
        <w:t>Aguilera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,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Andrieu</w:t>
      </w:r>
      <w:proofErr w:type="spellEnd"/>
      <w:r>
        <w:t>, Maria </w:t>
      </w:r>
      <w:proofErr w:type="spellStart"/>
      <w:r>
        <w:t>Arena</w:t>
      </w:r>
      <w:proofErr w:type="spellEnd"/>
      <w:r>
        <w:t xml:space="preserve">, Francisco </w:t>
      </w:r>
      <w:proofErr w:type="spellStart"/>
      <w:r>
        <w:t>Assis</w:t>
      </w:r>
      <w:proofErr w:type="spellEnd"/>
      <w:r>
        <w:t xml:space="preserve">, </w:t>
      </w:r>
      <w:proofErr w:type="spellStart"/>
      <w:r>
        <w:t>Zigmantas</w:t>
      </w:r>
      <w:proofErr w:type="spellEnd"/>
      <w:r>
        <w:t xml:space="preserve"> </w:t>
      </w:r>
      <w:proofErr w:type="spellStart"/>
      <w:r>
        <w:t>Balčytis</w:t>
      </w:r>
      <w:proofErr w:type="spellEnd"/>
      <w:r>
        <w:t xml:space="preserve">, </w:t>
      </w:r>
      <w:proofErr w:type="spellStart"/>
      <w:r>
        <w:t>Hugues</w:t>
      </w:r>
      <w:proofErr w:type="spellEnd"/>
      <w:r>
        <w:t xml:space="preserve"> </w:t>
      </w:r>
      <w:proofErr w:type="spellStart"/>
      <w:r>
        <w:t>Bayet</w:t>
      </w:r>
      <w:proofErr w:type="spellEnd"/>
      <w:r>
        <w:t xml:space="preserve">, </w:t>
      </w:r>
      <w:proofErr w:type="spellStart"/>
      <w:r>
        <w:t>Brando</w:t>
      </w:r>
      <w:proofErr w:type="spellEnd"/>
      <w:r>
        <w:t> </w:t>
      </w:r>
      <w:proofErr w:type="spellStart"/>
      <w:r>
        <w:t>Benifei</w:t>
      </w:r>
      <w:proofErr w:type="spellEnd"/>
      <w:r>
        <w:t xml:space="preserve">, José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López</w:t>
      </w:r>
      <w:proofErr w:type="spellEnd"/>
      <w:r>
        <w:t xml:space="preserve">, </w:t>
      </w:r>
      <w:proofErr w:type="spellStart"/>
      <w:r>
        <w:t>Vilija</w:t>
      </w:r>
      <w:proofErr w:type="spellEnd"/>
      <w:r>
        <w:t xml:space="preserve"> </w:t>
      </w:r>
      <w:proofErr w:type="spellStart"/>
      <w:r>
        <w:t>Blinkevičiūtė</w:t>
      </w:r>
      <w:proofErr w:type="spellEnd"/>
      <w:r>
        <w:t xml:space="preserve">,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Borzan</w:t>
      </w:r>
      <w:proofErr w:type="spellEnd"/>
      <w:r>
        <w:t xml:space="preserve">, </w:t>
      </w:r>
      <w:proofErr w:type="spellStart"/>
      <w:r>
        <w:t>Soledad</w:t>
      </w:r>
      <w:proofErr w:type="spellEnd"/>
      <w:r>
        <w:t xml:space="preserve"> </w:t>
      </w:r>
      <w:proofErr w:type="spellStart"/>
      <w:r>
        <w:t>Cabezón</w:t>
      </w:r>
      <w:proofErr w:type="spellEnd"/>
      <w:r>
        <w:t xml:space="preserve"> Ruiz, </w:t>
      </w:r>
      <w:proofErr w:type="spellStart"/>
      <w:r>
        <w:t>Nicola</w:t>
      </w:r>
      <w:proofErr w:type="spellEnd"/>
      <w:r>
        <w:t xml:space="preserve"> </w:t>
      </w:r>
      <w:proofErr w:type="spellStart"/>
      <w:r>
        <w:t>Caputo</w:t>
      </w:r>
      <w:proofErr w:type="spellEnd"/>
      <w:r>
        <w:t xml:space="preserve">, </w:t>
      </w:r>
      <w:proofErr w:type="spellStart"/>
      <w:r>
        <w:t>Nicola</w:t>
      </w:r>
      <w:proofErr w:type="spellEnd"/>
      <w:r>
        <w:t xml:space="preserve"> </w:t>
      </w:r>
      <w:proofErr w:type="spellStart"/>
      <w:r>
        <w:t>Danti</w:t>
      </w:r>
      <w:proofErr w:type="spellEnd"/>
      <w:r>
        <w:t xml:space="preserve">, </w:t>
      </w:r>
      <w:proofErr w:type="spellStart"/>
      <w:r>
        <w:t>Isabella</w:t>
      </w:r>
      <w:proofErr w:type="spellEnd"/>
      <w:r>
        <w:t xml:space="preserve"> De Monte, </w:t>
      </w:r>
      <w:proofErr w:type="spellStart"/>
      <w:r>
        <w:t>Doru-Claudian</w:t>
      </w:r>
      <w:proofErr w:type="spellEnd"/>
      <w:r>
        <w:t xml:space="preserve"> </w:t>
      </w:r>
      <w:proofErr w:type="spellStart"/>
      <w:r>
        <w:t>Frunzulică</w:t>
      </w:r>
      <w:proofErr w:type="spellEnd"/>
      <w:r>
        <w:t xml:space="preserve">, Elena </w:t>
      </w:r>
      <w:proofErr w:type="spellStart"/>
      <w:r>
        <w:t>Gentile</w:t>
      </w:r>
      <w:proofErr w:type="spellEnd"/>
      <w:r>
        <w:t xml:space="preserve">, </w:t>
      </w:r>
      <w:proofErr w:type="spellStart"/>
      <w:r>
        <w:t>Lidia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</w:t>
      </w:r>
      <w:proofErr w:type="spellStart"/>
      <w:r>
        <w:t>Geringer</w:t>
      </w:r>
      <w:proofErr w:type="spellEnd"/>
      <w:r>
        <w:t xml:space="preserve"> de </w:t>
      </w:r>
      <w:proofErr w:type="spellStart"/>
      <w:r>
        <w:t>Oedenberg</w:t>
      </w:r>
      <w:proofErr w:type="spellEnd"/>
      <w:r>
        <w:t xml:space="preserve">, Sylvie </w:t>
      </w:r>
      <w:proofErr w:type="spellStart"/>
      <w:r>
        <w:t>Guillaume</w:t>
      </w:r>
      <w:proofErr w:type="spellEnd"/>
      <w:r>
        <w:t xml:space="preserve">, </w:t>
      </w:r>
      <w:proofErr w:type="spellStart"/>
      <w:r>
        <w:t>Sergio</w:t>
      </w:r>
      <w:proofErr w:type="spellEnd"/>
      <w:r>
        <w:t xml:space="preserve"> </w:t>
      </w:r>
      <w:proofErr w:type="spellStart"/>
      <w:r>
        <w:t>Gutiérrez</w:t>
      </w:r>
      <w:proofErr w:type="spellEnd"/>
      <w:r>
        <w:t xml:space="preserve"> </w:t>
      </w:r>
      <w:proofErr w:type="spellStart"/>
      <w:r>
        <w:t>Prieto</w:t>
      </w:r>
      <w:proofErr w:type="spellEnd"/>
      <w:r>
        <w:t xml:space="preserve">, </w:t>
      </w:r>
      <w:proofErr w:type="spellStart"/>
      <w:r>
        <w:t>Cécile</w:t>
      </w:r>
      <w:proofErr w:type="spellEnd"/>
      <w:r>
        <w:t xml:space="preserve"> </w:t>
      </w:r>
      <w:proofErr w:type="spellStart"/>
      <w:r>
        <w:t>Kashetu</w:t>
      </w:r>
      <w:proofErr w:type="spellEnd"/>
      <w:r>
        <w:t xml:space="preserve"> </w:t>
      </w:r>
      <w:proofErr w:type="spellStart"/>
      <w:r>
        <w:t>Kyenge</w:t>
      </w:r>
      <w:proofErr w:type="spellEnd"/>
      <w:r>
        <w:t xml:space="preserve">, </w:t>
      </w:r>
      <w:proofErr w:type="spellStart"/>
      <w:r>
        <w:t>Krystyna</w:t>
      </w:r>
      <w:proofErr w:type="spellEnd"/>
      <w:r>
        <w:t xml:space="preserve"> </w:t>
      </w:r>
      <w:proofErr w:type="spellStart"/>
      <w:r>
        <w:t>Łybacka</w:t>
      </w:r>
      <w:proofErr w:type="spellEnd"/>
      <w:r>
        <w:t xml:space="preserve">, Vladimír </w:t>
      </w:r>
      <w:proofErr w:type="spellStart"/>
      <w:r>
        <w:t>Maňka</w:t>
      </w:r>
      <w:proofErr w:type="spellEnd"/>
      <w:r>
        <w:t xml:space="preserve">,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Mavrides</w:t>
      </w:r>
      <w:proofErr w:type="spellEnd"/>
      <w:r>
        <w:t xml:space="preserve">, </w:t>
      </w:r>
      <w:proofErr w:type="spellStart"/>
      <w:r>
        <w:t>Sorin</w:t>
      </w:r>
      <w:proofErr w:type="spellEnd"/>
      <w:r>
        <w:t> </w:t>
      </w:r>
      <w:proofErr w:type="spellStart"/>
      <w:r>
        <w:t>Moisă</w:t>
      </w:r>
      <w:proofErr w:type="spellEnd"/>
      <w:r>
        <w:t xml:space="preserve">, </w:t>
      </w:r>
      <w:proofErr w:type="spellStart"/>
      <w:r>
        <w:t>Alessia</w:t>
      </w:r>
      <w:proofErr w:type="spellEnd"/>
      <w:r>
        <w:t xml:space="preserve"> Maria </w:t>
      </w:r>
      <w:proofErr w:type="spellStart"/>
      <w:r>
        <w:t>Mosca</w:t>
      </w:r>
      <w:proofErr w:type="spellEnd"/>
      <w:r>
        <w:t xml:space="preserve">,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Negrescu</w:t>
      </w:r>
      <w:proofErr w:type="spellEnd"/>
      <w:r>
        <w:t xml:space="preserve">, </w:t>
      </w:r>
      <w:proofErr w:type="spellStart"/>
      <w:r>
        <w:t>Demetris</w:t>
      </w:r>
      <w:proofErr w:type="spellEnd"/>
      <w:r>
        <w:t xml:space="preserve"> </w:t>
      </w:r>
      <w:proofErr w:type="spellStart"/>
      <w:r>
        <w:t>Papadakis</w:t>
      </w:r>
      <w:proofErr w:type="spellEnd"/>
      <w:r>
        <w:t xml:space="preserve">, </w:t>
      </w:r>
      <w:proofErr w:type="spellStart"/>
      <w:r>
        <w:t>Pina</w:t>
      </w:r>
      <w:proofErr w:type="spellEnd"/>
      <w:r>
        <w:t xml:space="preserve"> </w:t>
      </w:r>
      <w:proofErr w:type="spellStart"/>
      <w:r>
        <w:t>Picierno</w:t>
      </w:r>
      <w:proofErr w:type="spellEnd"/>
      <w:r>
        <w:t xml:space="preserve">, </w:t>
      </w:r>
      <w:proofErr w:type="spellStart"/>
      <w:r>
        <w:t>Tonino</w:t>
      </w:r>
      <w:proofErr w:type="spellEnd"/>
      <w:r>
        <w:t xml:space="preserve"> </w:t>
      </w:r>
      <w:proofErr w:type="spellStart"/>
      <w:r>
        <w:t>Picula</w:t>
      </w:r>
      <w:proofErr w:type="spellEnd"/>
      <w:r>
        <w:t xml:space="preserve">, Kati </w:t>
      </w:r>
      <w:proofErr w:type="spellStart"/>
      <w:r>
        <w:t>Piri</w:t>
      </w:r>
      <w:proofErr w:type="spellEnd"/>
      <w:r>
        <w:t xml:space="preserve">, Miroslav </w:t>
      </w:r>
      <w:proofErr w:type="spellStart"/>
      <w:r>
        <w:t>Poche</w:t>
      </w:r>
      <w:proofErr w:type="spellEnd"/>
      <w:r>
        <w:t xml:space="preserve">, </w:t>
      </w:r>
      <w:proofErr w:type="spellStart"/>
      <w:r>
        <w:t>Liliana</w:t>
      </w:r>
      <w:proofErr w:type="spellEnd"/>
      <w:r>
        <w:t xml:space="preserve"> Rodrigues, Tibor </w:t>
      </w:r>
      <w:proofErr w:type="spellStart"/>
      <w:r>
        <w:t>Szanyi</w:t>
      </w:r>
      <w:proofErr w:type="spellEnd"/>
      <w:r>
        <w:t xml:space="preserve">,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Tarabella</w:t>
      </w:r>
      <w:proofErr w:type="spellEnd"/>
      <w:r>
        <w:t xml:space="preserve">, 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Damiano</w:t>
      </w:r>
      <w:proofErr w:type="spellEnd"/>
      <w:r>
        <w:t> </w:t>
      </w:r>
      <w:proofErr w:type="spellStart"/>
      <w:r>
        <w:t>Zoffoli</w:t>
      </w:r>
      <w:proofErr w:type="spellEnd"/>
      <w:r>
        <w:t xml:space="preserve">, Carlos </w:t>
      </w:r>
      <w:proofErr w:type="spellStart"/>
      <w:r>
        <w:t>Zorrinho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</w:p>
    <w:p w:rsidR="004B5BAF" w:rsidRPr="00FD759A" w:rsidRDefault="004B5BAF" w:rsidP="004B5BAF">
      <w:pPr>
        <w:pStyle w:val="CoverNormal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</w:rPr>
        <w:t>{S&amp;D}</w:t>
      </w:r>
      <w:r>
        <w:t>v mene skupiny S&amp;D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</w:t>
      </w:r>
    </w:p>
    <w:p w:rsidR="004B5BAF" w:rsidRPr="00FD759A" w:rsidRDefault="004B5BAF" w:rsidP="004B5BAF">
      <w:pPr>
        <w:pStyle w:val="Cover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Charles </w:t>
      </w:r>
      <w:proofErr w:type="spellStart"/>
      <w:r>
        <w:t>Tannock</w:t>
      </w:r>
      <w:proofErr w:type="spellEnd"/>
      <w:r>
        <w:t xml:space="preserve">,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Demesmaeker</w:t>
      </w:r>
      <w:proofErr w:type="spellEnd"/>
      <w:r>
        <w:t xml:space="preserve">, </w:t>
      </w:r>
      <w:proofErr w:type="spellStart"/>
      <w:r>
        <w:t>Geoffrey</w:t>
      </w:r>
      <w:proofErr w:type="spellEnd"/>
      <w:r>
        <w:t xml:space="preserve"> Van </w:t>
      </w:r>
      <w:proofErr w:type="spellStart"/>
      <w:r>
        <w:t>Orden</w:t>
      </w:r>
      <w:proofErr w:type="spellEnd"/>
      <w:r>
        <w:t xml:space="preserve">, </w:t>
      </w:r>
      <w:proofErr w:type="spellStart"/>
      <w:r>
        <w:t>Ryszard</w:t>
      </w:r>
      <w:proofErr w:type="spellEnd"/>
      <w:r>
        <w:t> </w:t>
      </w:r>
      <w:proofErr w:type="spellStart"/>
      <w:r>
        <w:t>Antoni</w:t>
      </w:r>
      <w:proofErr w:type="spellEnd"/>
      <w:r>
        <w:t xml:space="preserve"> </w:t>
      </w:r>
      <w:proofErr w:type="spellStart"/>
      <w:r>
        <w:t>Legutko</w:t>
      </w:r>
      <w:proofErr w:type="spellEnd"/>
      <w:r>
        <w:t xml:space="preserve">, </w:t>
      </w:r>
      <w:proofErr w:type="spellStart"/>
      <w:r>
        <w:t>Ryszard</w:t>
      </w:r>
      <w:proofErr w:type="spellEnd"/>
      <w:r>
        <w:t xml:space="preserve"> </w:t>
      </w:r>
      <w:proofErr w:type="spellStart"/>
      <w:r>
        <w:t>Czarnecki</w:t>
      </w:r>
      <w:proofErr w:type="spellEnd"/>
      <w:r>
        <w:t xml:space="preserve">, </w:t>
      </w:r>
      <w:proofErr w:type="spellStart"/>
      <w:r>
        <w:t>Tomasz</w:t>
      </w:r>
      <w:proofErr w:type="spellEnd"/>
      <w:r>
        <w:t xml:space="preserve"> </w:t>
      </w:r>
      <w:proofErr w:type="spellStart"/>
      <w:r>
        <w:t>Piotr</w:t>
      </w:r>
      <w:proofErr w:type="spellEnd"/>
      <w:r>
        <w:t xml:space="preserve"> </w:t>
      </w:r>
      <w:proofErr w:type="spellStart"/>
      <w:r>
        <w:t>Poręba</w:t>
      </w:r>
      <w:proofErr w:type="spellEnd"/>
      <w:r>
        <w:t>, Karol </w:t>
      </w:r>
      <w:proofErr w:type="spellStart"/>
      <w:r>
        <w:t>Karski</w:t>
      </w:r>
      <w:proofErr w:type="spellEnd"/>
      <w:r>
        <w:t xml:space="preserve">, Anna </w:t>
      </w:r>
      <w:proofErr w:type="spellStart"/>
      <w:r>
        <w:t>Elżbieta</w:t>
      </w:r>
      <w:proofErr w:type="spellEnd"/>
      <w:r>
        <w:t xml:space="preserve"> </w:t>
      </w:r>
      <w:proofErr w:type="spellStart"/>
      <w:r>
        <w:t>Fotyga</w:t>
      </w:r>
      <w:proofErr w:type="spellEnd"/>
      <w:r>
        <w:t xml:space="preserve">, Angel </w:t>
      </w:r>
      <w:proofErr w:type="spellStart"/>
      <w:r>
        <w:t>Dzhambazki</w:t>
      </w:r>
      <w:proofErr w:type="spellEnd"/>
      <w:r>
        <w:t>, Monica </w:t>
      </w:r>
      <w:proofErr w:type="spellStart"/>
      <w:r>
        <w:t>Macovei</w:t>
      </w:r>
      <w:proofErr w:type="spellEnd"/>
      <w:r>
        <w:t xml:space="preserve">,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Fitto</w:t>
      </w:r>
      <w:proofErr w:type="spellEnd"/>
      <w:r>
        <w:t xml:space="preserve">, Jana </w:t>
      </w:r>
      <w:proofErr w:type="spellStart"/>
      <w:r>
        <w:t>Žitňanská</w:t>
      </w:r>
      <w:proofErr w:type="spellEnd"/>
      <w:r>
        <w:t xml:space="preserve">, Ruža </w:t>
      </w:r>
      <w:proofErr w:type="spellStart"/>
      <w:r>
        <w:t>Tomašić</w:t>
      </w:r>
      <w:proofErr w:type="spellEnd"/>
      <w:r>
        <w:t xml:space="preserve">, </w:t>
      </w:r>
      <w:proofErr w:type="spellStart"/>
      <w:r>
        <w:t>Zdzisław</w:t>
      </w:r>
      <w:proofErr w:type="spellEnd"/>
      <w:r>
        <w:t> </w:t>
      </w:r>
      <w:proofErr w:type="spellStart"/>
      <w:r>
        <w:t>Krasnodębski</w:t>
      </w:r>
      <w:proofErr w:type="spellEnd"/>
      <w:r>
        <w:t xml:space="preserve">, </w:t>
      </w:r>
      <w:proofErr w:type="spellStart"/>
      <w:r>
        <w:t>Arne</w:t>
      </w:r>
      <w:proofErr w:type="spellEnd"/>
      <w:r>
        <w:t xml:space="preserve"> </w:t>
      </w:r>
      <w:proofErr w:type="spellStart"/>
      <w:r>
        <w:t>Gericke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</w:p>
    <w:p w:rsidR="004B5BAF" w:rsidRPr="00FD759A" w:rsidRDefault="004B5BAF" w:rsidP="004B5BAF">
      <w:pPr>
        <w:pStyle w:val="CoverNormal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</w:rPr>
        <w:t>{ECR}</w:t>
      </w:r>
      <w:r>
        <w:t>v mene skupiny ECR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</w:t>
      </w:r>
    </w:p>
    <w:p w:rsidR="004B5BAF" w:rsidRPr="00FD759A" w:rsidRDefault="004B5BAF" w:rsidP="004B5BAF">
      <w:pPr>
        <w:pStyle w:val="Cover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Cornelis</w:t>
      </w:r>
      <w:proofErr w:type="spellEnd"/>
      <w:r>
        <w:t xml:space="preserve"> van </w:t>
      </w:r>
      <w:proofErr w:type="spellStart"/>
      <w:r>
        <w:t>Baalen</w:t>
      </w:r>
      <w:proofErr w:type="spellEnd"/>
      <w:r>
        <w:t xml:space="preserve">, </w:t>
      </w:r>
      <w:proofErr w:type="spellStart"/>
      <w:r>
        <w:t>Ramon</w:t>
      </w:r>
      <w:proofErr w:type="spellEnd"/>
      <w:r>
        <w:t xml:space="preserve"> </w:t>
      </w:r>
      <w:proofErr w:type="spellStart"/>
      <w:r>
        <w:t>Tremosa</w:t>
      </w:r>
      <w:proofErr w:type="spellEnd"/>
      <w:r>
        <w:t xml:space="preserve"> i </w:t>
      </w:r>
      <w:proofErr w:type="spellStart"/>
      <w:r>
        <w:t>Balcells</w:t>
      </w:r>
      <w:proofErr w:type="spellEnd"/>
      <w:r>
        <w:t xml:space="preserve">, </w:t>
      </w:r>
      <w:proofErr w:type="spellStart"/>
      <w:r>
        <w:t>Izaskun</w:t>
      </w:r>
      <w:proofErr w:type="spellEnd"/>
      <w:r>
        <w:t xml:space="preserve"> Bilbao </w:t>
      </w:r>
      <w:proofErr w:type="spellStart"/>
      <w:r>
        <w:t>Barandica</w:t>
      </w:r>
      <w:proofErr w:type="spellEnd"/>
      <w:r>
        <w:t xml:space="preserve">, </w:t>
      </w:r>
      <w:proofErr w:type="spellStart"/>
      <w:r>
        <w:t>Ilhan</w:t>
      </w:r>
      <w:proofErr w:type="spellEnd"/>
      <w:r>
        <w:t xml:space="preserve"> </w:t>
      </w:r>
      <w:proofErr w:type="spellStart"/>
      <w:r>
        <w:t>Kyuchyuk</w:t>
      </w:r>
      <w:proofErr w:type="spellEnd"/>
      <w:r>
        <w:t xml:space="preserve">, Pavel </w:t>
      </w:r>
      <w:proofErr w:type="spellStart"/>
      <w:r>
        <w:t>Telička</w:t>
      </w:r>
      <w:proofErr w:type="spellEnd"/>
      <w:r>
        <w:t xml:space="preserve">, </w:t>
      </w:r>
      <w:proofErr w:type="spellStart"/>
      <w:r>
        <w:t>Marietje</w:t>
      </w:r>
      <w:proofErr w:type="spellEnd"/>
      <w:r>
        <w:t xml:space="preserve"> </w:t>
      </w:r>
      <w:proofErr w:type="spellStart"/>
      <w:r>
        <w:t>Schaake</w:t>
      </w:r>
      <w:proofErr w:type="spellEnd"/>
      <w:r>
        <w:t xml:space="preserve">, </w:t>
      </w:r>
      <w:proofErr w:type="spellStart"/>
      <w:r>
        <w:t>Beatriz</w:t>
      </w:r>
      <w:proofErr w:type="spellEnd"/>
      <w:r>
        <w:t> </w:t>
      </w:r>
      <w:proofErr w:type="spellStart"/>
      <w:r>
        <w:t>Becerra</w:t>
      </w:r>
      <w:proofErr w:type="spellEnd"/>
      <w:r>
        <w:t xml:space="preserve"> </w:t>
      </w:r>
      <w:proofErr w:type="spellStart"/>
      <w:r>
        <w:t>Basterrechea</w:t>
      </w:r>
      <w:proofErr w:type="spellEnd"/>
      <w:r>
        <w:t xml:space="preserve">, </w:t>
      </w:r>
      <w:proofErr w:type="spellStart"/>
      <w:r>
        <w:t>Petras</w:t>
      </w:r>
      <w:proofErr w:type="spellEnd"/>
      <w:r>
        <w:t xml:space="preserve"> </w:t>
      </w:r>
      <w:proofErr w:type="spellStart"/>
      <w:r>
        <w:t>Auštrevičius</w:t>
      </w:r>
      <w:proofErr w:type="spellEnd"/>
      <w:r>
        <w:t xml:space="preserve">, Dita </w:t>
      </w:r>
      <w:proofErr w:type="spellStart"/>
      <w:r>
        <w:t>Charanzová</w:t>
      </w:r>
      <w:proofErr w:type="spellEnd"/>
      <w:r>
        <w:t xml:space="preserve">, </w:t>
      </w:r>
      <w:proofErr w:type="spellStart"/>
      <w:r>
        <w:t>Fredrick</w:t>
      </w:r>
      <w:proofErr w:type="spellEnd"/>
      <w:r>
        <w:t xml:space="preserve"> </w:t>
      </w:r>
      <w:proofErr w:type="spellStart"/>
      <w:r>
        <w:t>Federley</w:t>
      </w:r>
      <w:proofErr w:type="spellEnd"/>
      <w:r>
        <w:t xml:space="preserve">, </w:t>
      </w:r>
      <w:proofErr w:type="spellStart"/>
      <w:r>
        <w:t>Marielle</w:t>
      </w:r>
      <w:proofErr w:type="spellEnd"/>
      <w:r>
        <w:t xml:space="preserve"> de </w:t>
      </w:r>
      <w:proofErr w:type="spellStart"/>
      <w:r>
        <w:t>Sarnez</w:t>
      </w:r>
      <w:proofErr w:type="spellEnd"/>
      <w:r>
        <w:t xml:space="preserve">, </w:t>
      </w:r>
      <w:proofErr w:type="spellStart"/>
      <w:r>
        <w:t>Gérard</w:t>
      </w:r>
      <w:proofErr w:type="spellEnd"/>
      <w:r>
        <w:t xml:space="preserve"> </w:t>
      </w:r>
      <w:proofErr w:type="spellStart"/>
      <w:r>
        <w:t>Deprez</w:t>
      </w:r>
      <w:proofErr w:type="spellEnd"/>
      <w:r>
        <w:t>, Martina </w:t>
      </w:r>
      <w:proofErr w:type="spellStart"/>
      <w:r>
        <w:t>Dlabajová</w:t>
      </w:r>
      <w:proofErr w:type="spellEnd"/>
      <w:r>
        <w:t xml:space="preserve">, José </w:t>
      </w:r>
      <w:proofErr w:type="spellStart"/>
      <w:r>
        <w:t>Inácio</w:t>
      </w:r>
      <w:proofErr w:type="spellEnd"/>
      <w:r>
        <w:t xml:space="preserve"> </w:t>
      </w:r>
      <w:proofErr w:type="spellStart"/>
      <w:r>
        <w:t>Faria</w:t>
      </w:r>
      <w:proofErr w:type="spellEnd"/>
      <w:r>
        <w:t xml:space="preserve">,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Teresa</w:t>
      </w:r>
      <w:proofErr w:type="spellEnd"/>
      <w:r>
        <w:t xml:space="preserve"> </w:t>
      </w:r>
      <w:proofErr w:type="spellStart"/>
      <w:r>
        <w:t>Giménez</w:t>
      </w:r>
      <w:proofErr w:type="spellEnd"/>
      <w:r>
        <w:t xml:space="preserve"> </w:t>
      </w:r>
      <w:proofErr w:type="spellStart"/>
      <w:r>
        <w:t>Barbat</w:t>
      </w:r>
      <w:proofErr w:type="spellEnd"/>
      <w:r>
        <w:t xml:space="preserve">, </w:t>
      </w:r>
      <w:proofErr w:type="spellStart"/>
      <w:r>
        <w:t>Nathalie</w:t>
      </w:r>
      <w:proofErr w:type="spellEnd"/>
      <w:r>
        <w:t xml:space="preserve"> </w:t>
      </w:r>
      <w:proofErr w:type="spellStart"/>
      <w:r>
        <w:t>Griesbeck</w:t>
      </w:r>
      <w:proofErr w:type="spellEnd"/>
      <w:r>
        <w:t xml:space="preserve">, Marian </w:t>
      </w:r>
      <w:proofErr w:type="spellStart"/>
      <w:r>
        <w:t>Harkin</w:t>
      </w:r>
      <w:proofErr w:type="spellEnd"/>
      <w:r>
        <w:t xml:space="preserve">, Ivan </w:t>
      </w:r>
      <w:proofErr w:type="spellStart"/>
      <w:r>
        <w:t>Jakovčić</w:t>
      </w:r>
      <w:proofErr w:type="spellEnd"/>
      <w:r>
        <w:t xml:space="preserve">, </w:t>
      </w:r>
      <w:proofErr w:type="spellStart"/>
      <w:r>
        <w:t>Petr</w:t>
      </w:r>
      <w:proofErr w:type="spellEnd"/>
      <w:r>
        <w:t xml:space="preserve"> Ježek, Louis </w:t>
      </w:r>
      <w:proofErr w:type="spellStart"/>
      <w:r>
        <w:t>Michel</w:t>
      </w:r>
      <w:proofErr w:type="spellEnd"/>
      <w:r>
        <w:t xml:space="preserve">, </w:t>
      </w:r>
      <w:proofErr w:type="spellStart"/>
      <w:r>
        <w:t>Urmas</w:t>
      </w:r>
      <w:proofErr w:type="spellEnd"/>
      <w:r>
        <w:t xml:space="preserve"> </w:t>
      </w:r>
      <w:proofErr w:type="spellStart"/>
      <w:r>
        <w:t>Paet</w:t>
      </w:r>
      <w:proofErr w:type="spellEnd"/>
      <w:r>
        <w:t xml:space="preserve">, </w:t>
      </w:r>
      <w:proofErr w:type="spellStart"/>
      <w:r>
        <w:t>Maite</w:t>
      </w:r>
      <w:proofErr w:type="spellEnd"/>
      <w:r>
        <w:t xml:space="preserve"> </w:t>
      </w:r>
      <w:proofErr w:type="spellStart"/>
      <w:r>
        <w:t>Pagazaurtundúa</w:t>
      </w:r>
      <w:proofErr w:type="spellEnd"/>
      <w:r>
        <w:t xml:space="preserve"> Ruiz, </w:t>
      </w:r>
      <w:proofErr w:type="spellStart"/>
      <w:r>
        <w:t>Carolina</w:t>
      </w:r>
      <w:proofErr w:type="spellEnd"/>
      <w:r>
        <w:t xml:space="preserve"> </w:t>
      </w:r>
      <w:proofErr w:type="spellStart"/>
      <w:r>
        <w:t>Punset</w:t>
      </w:r>
      <w:proofErr w:type="spellEnd"/>
      <w:r>
        <w:t xml:space="preserve">, </w:t>
      </w:r>
      <w:proofErr w:type="spellStart"/>
      <w:r>
        <w:t>Frédérique</w:t>
      </w:r>
      <w:proofErr w:type="spellEnd"/>
      <w:r>
        <w:t xml:space="preserve"> </w:t>
      </w:r>
      <w:proofErr w:type="spellStart"/>
      <w:r>
        <w:t>Ries</w:t>
      </w:r>
      <w:proofErr w:type="spellEnd"/>
      <w:r>
        <w:t xml:space="preserve">, </w:t>
      </w:r>
      <w:proofErr w:type="spellStart"/>
      <w:r>
        <w:t>Jasenko</w:t>
      </w:r>
      <w:proofErr w:type="spellEnd"/>
      <w:r>
        <w:t xml:space="preserve"> </w:t>
      </w:r>
      <w:proofErr w:type="spellStart"/>
      <w:r>
        <w:t>Selimovic</w:t>
      </w:r>
      <w:proofErr w:type="spellEnd"/>
      <w:r>
        <w:t xml:space="preserve">, </w:t>
      </w:r>
      <w:proofErr w:type="spellStart"/>
      <w:r>
        <w:t>Hannu</w:t>
      </w:r>
      <w:proofErr w:type="spellEnd"/>
      <w:r>
        <w:t xml:space="preserve"> </w:t>
      </w:r>
      <w:proofErr w:type="spellStart"/>
      <w:r>
        <w:t>Takkula</w:t>
      </w:r>
      <w:proofErr w:type="spellEnd"/>
      <w:r>
        <w:t xml:space="preserve">, Hilde </w:t>
      </w:r>
      <w:proofErr w:type="spellStart"/>
      <w:r>
        <w:t>Vautmans</w:t>
      </w:r>
      <w:proofErr w:type="spellEnd"/>
      <w:r>
        <w:t xml:space="preserve">, </w:t>
      </w:r>
      <w:proofErr w:type="spellStart"/>
      <w:r>
        <w:t>Paavo</w:t>
      </w:r>
      <w:proofErr w:type="spellEnd"/>
      <w:r>
        <w:t xml:space="preserve"> </w:t>
      </w:r>
      <w:proofErr w:type="spellStart"/>
      <w:r>
        <w:t>Väyrynen</w:t>
      </w:r>
      <w:proofErr w:type="spellEnd"/>
      <w:r>
        <w:t xml:space="preserve">, </w:t>
      </w:r>
      <w:proofErr w:type="spellStart"/>
      <w:r>
        <w:t>Cecilia</w:t>
      </w:r>
      <w:proofErr w:type="spellEnd"/>
      <w:r>
        <w:t xml:space="preserve"> </w:t>
      </w:r>
      <w:proofErr w:type="spellStart"/>
      <w:r>
        <w:t>Wikström</w:t>
      </w:r>
      <w:proofErr w:type="spellEnd"/>
      <w:r>
        <w:t xml:space="preserve">, </w:t>
      </w:r>
      <w:proofErr w:type="spellStart"/>
      <w:r>
        <w:t>Valentinas</w:t>
      </w:r>
      <w:proofErr w:type="spellEnd"/>
      <w:r>
        <w:t xml:space="preserve"> </w:t>
      </w:r>
      <w:proofErr w:type="spellStart"/>
      <w:r>
        <w:t>Mazuronis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</w:p>
    <w:p w:rsidR="004B5BAF" w:rsidRPr="00FD759A" w:rsidRDefault="004B5BAF" w:rsidP="004B5BAF">
      <w:pPr>
        <w:pStyle w:val="CoverNormal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</w:rPr>
        <w:t>{ALDE}</w:t>
      </w:r>
      <w:r>
        <w:t>v mene skupiny ALDE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</w:t>
      </w:r>
    </w:p>
    <w:p w:rsidR="00EC024A" w:rsidRPr="00FD759A" w:rsidRDefault="009D33CF" w:rsidP="00177088">
      <w:pPr>
        <w:pStyle w:val="Cover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Heidi</w:t>
      </w:r>
      <w:proofErr w:type="spellEnd"/>
      <w:r>
        <w:t xml:space="preserve"> </w:t>
      </w:r>
      <w:proofErr w:type="spellStart"/>
      <w:r>
        <w:t>Hautala</w:t>
      </w:r>
      <w:proofErr w:type="spellEnd"/>
      <w:r>
        <w:t xml:space="preserve">, </w:t>
      </w:r>
      <w:proofErr w:type="spellStart"/>
      <w:r>
        <w:t>Rebecca</w:t>
      </w:r>
      <w:proofErr w:type="spellEnd"/>
      <w:r>
        <w:t xml:space="preserve"> </w:t>
      </w:r>
      <w:proofErr w:type="spellStart"/>
      <w:r>
        <w:t>Harms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Depute</w:t>
      </w:r>
      <w:proofErr w:type="spellEnd"/>
      <w:r>
        <w:rPr>
          <w:rStyle w:val="HideTWBExt"/>
          <w:b w:val="0"/>
          <w:noProof w:val="0"/>
        </w:rPr>
        <w:t>&gt;</w:t>
      </w:r>
    </w:p>
    <w:p w:rsidR="009D33CF" w:rsidRPr="00FD759A" w:rsidRDefault="009D33CF" w:rsidP="00177088">
      <w:pPr>
        <w:pStyle w:val="Cover12"/>
        <w:rPr>
          <w:rStyle w:val="CoverNormalChar"/>
        </w:rPr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</w:rPr>
        <w:t>{VERT}</w:t>
      </w:r>
      <w:r>
        <w:t xml:space="preserve">v mene skupiny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Commission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</w:t>
      </w:r>
      <w:proofErr w:type="spellEnd"/>
      <w:r>
        <w:rPr>
          <w:rStyle w:val="HideTWBExt"/>
          <w:noProof w:val="0"/>
        </w:rPr>
        <w:t>-By&gt;</w:t>
      </w:r>
    </w:p>
    <w:p w:rsidR="00AB70B2" w:rsidRPr="00FD759A" w:rsidRDefault="009D33CF" w:rsidP="00AB70B2">
      <w:pPr>
        <w:pStyle w:val="NormalBold"/>
      </w:pPr>
      <w:r>
        <w:br w:type="page"/>
      </w:r>
      <w:r>
        <w:lastRenderedPageBreak/>
        <w:t xml:space="preserve">Uznesenie Európskeho parlamentu o prípade </w:t>
      </w:r>
      <w:proofErr w:type="spellStart"/>
      <w:r>
        <w:t>Ildara</w:t>
      </w:r>
      <w:proofErr w:type="spellEnd"/>
      <w:r>
        <w:t xml:space="preserve"> </w:t>
      </w:r>
      <w:proofErr w:type="spellStart"/>
      <w:r>
        <w:t>Dadina</w:t>
      </w:r>
      <w:proofErr w:type="spellEnd"/>
      <w:r>
        <w:t xml:space="preserve">, väzňa svedomia v Rusku </w:t>
      </w:r>
    </w:p>
    <w:p w:rsidR="00AB70B2" w:rsidRPr="00FD759A" w:rsidRDefault="0041709F" w:rsidP="00AB70B2">
      <w:pPr>
        <w:pStyle w:val="Normal24Bold"/>
      </w:pPr>
      <w:r>
        <w:t>(2016/2992(RSP))</w:t>
      </w:r>
    </w:p>
    <w:p w:rsidR="009D33CF" w:rsidRPr="00FD759A" w:rsidRDefault="0041709F" w:rsidP="0082552A">
      <w:pPr>
        <w:pStyle w:val="Normal12"/>
      </w:pPr>
      <w:r>
        <w:rPr>
          <w:i/>
        </w:rPr>
        <w:t>Európsky parlament</w:t>
      </w:r>
      <w:r>
        <w:t>,</w:t>
      </w:r>
    </w:p>
    <w:p w:rsidR="00A9214B" w:rsidRPr="00FD759A" w:rsidRDefault="00A9214B" w:rsidP="00A9214B">
      <w:pPr>
        <w:pStyle w:val="Hanging12"/>
      </w:pPr>
      <w:r>
        <w:t>–</w:t>
      </w:r>
      <w:r>
        <w:tab/>
        <w:t xml:space="preserve">so zreteľom na svoje predchádzajúce správy a uznesenia o Rusku, najmä na svoje uznesenia z 23. októbra 2012 o zavedení spoločných vízových obmedzení pre ruských úradníkov zapojených do prípadu Sergeja </w:t>
      </w:r>
      <w:proofErr w:type="spellStart"/>
      <w:r>
        <w:t>Magnitského</w:t>
      </w:r>
      <w:proofErr w:type="spellEnd"/>
      <w:r>
        <w:rPr>
          <w:rStyle w:val="FootnoteReference"/>
        </w:rPr>
        <w:footnoteReference w:id="1"/>
      </w:r>
      <w:r>
        <w:t>, z 13. júna 2013 o právnom štáte v Rusku</w:t>
      </w:r>
      <w:r>
        <w:rPr>
          <w:rStyle w:val="FootnoteReference"/>
        </w:rPr>
        <w:footnoteReference w:id="2"/>
      </w:r>
      <w:r>
        <w:t xml:space="preserve"> a z 13. marca 2014 o Rusku: odsúdenie protestujúcich účastníkov udalostí na námestí </w:t>
      </w:r>
      <w:proofErr w:type="spellStart"/>
      <w:r>
        <w:t>Bolotnaja</w:t>
      </w:r>
      <w:proofErr w:type="spellEnd"/>
      <w:r>
        <w:rPr>
          <w:rStyle w:val="FootnoteReference"/>
        </w:rPr>
        <w:footnoteReference w:id="3"/>
      </w:r>
      <w:r>
        <w:t xml:space="preserve">; na svoje odporúčanie Rade z 2. apríla 2014 o zavedení spoločných vízových obmedzení pre ruských úradníkov zapojených do prípadu Sergeja </w:t>
      </w:r>
      <w:proofErr w:type="spellStart"/>
      <w:r>
        <w:t>Magnitského</w:t>
      </w:r>
      <w:proofErr w:type="spellEnd"/>
      <w:r>
        <w:rPr>
          <w:rStyle w:val="FootnoteReference"/>
        </w:rPr>
        <w:footnoteReference w:id="4"/>
      </w:r>
      <w:r>
        <w:t xml:space="preserve">; a na svoje uznesenia z 23. októbra 2014 o zatvorení mimovládnej organizácie </w:t>
      </w:r>
      <w:proofErr w:type="spellStart"/>
      <w:r>
        <w:t>Memorial</w:t>
      </w:r>
      <w:proofErr w:type="spellEnd"/>
      <w:r>
        <w:t xml:space="preserve"> (víťaza </w:t>
      </w:r>
      <w:proofErr w:type="spellStart"/>
      <w:r>
        <w:t>Sacharovovej</w:t>
      </w:r>
      <w:proofErr w:type="spellEnd"/>
      <w:r>
        <w:t xml:space="preserve"> ceny za rok 2009) v Rusku</w:t>
      </w:r>
      <w:r>
        <w:rPr>
          <w:rStyle w:val="FootnoteReference"/>
        </w:rPr>
        <w:footnoteReference w:id="5"/>
      </w:r>
      <w:r>
        <w:t>, z 12. marca 2015 o vražde ruského opozičného lídra Borisa Nemcova a o stave demokracie v Rusku</w:t>
      </w:r>
      <w:r>
        <w:rPr>
          <w:rStyle w:val="FootnoteReference"/>
        </w:rPr>
        <w:footnoteReference w:id="6"/>
      </w:r>
      <w:r>
        <w:t>, z 10. júna 2015 o stave vzťahov medzi EÚ a Ruskom</w:t>
      </w:r>
      <w:r>
        <w:rPr>
          <w:rStyle w:val="FootnoteReference"/>
        </w:rPr>
        <w:footnoteReference w:id="7"/>
      </w:r>
      <w:r>
        <w:t xml:space="preserve"> a z 10. septembra 201</w:t>
      </w:r>
      <w:r w:rsidR="00050D7C">
        <w:t>5</w:t>
      </w:r>
      <w:bookmarkStart w:id="0" w:name="_GoBack"/>
      <w:bookmarkEnd w:id="0"/>
      <w:r>
        <w:t xml:space="preserve"> o Rusku, najmä o prípadoch </w:t>
      </w:r>
      <w:proofErr w:type="spellStart"/>
      <w:r>
        <w:t>Estona</w:t>
      </w:r>
      <w:proofErr w:type="spellEnd"/>
      <w:r>
        <w:t xml:space="preserve"> </w:t>
      </w:r>
      <w:proofErr w:type="spellStart"/>
      <w:r>
        <w:t>Kohvera</w:t>
      </w:r>
      <w:proofErr w:type="spellEnd"/>
      <w:r>
        <w:t xml:space="preserve">, Olega </w:t>
      </w:r>
      <w:proofErr w:type="spellStart"/>
      <w:r>
        <w:t>Sencova</w:t>
      </w:r>
      <w:proofErr w:type="spellEnd"/>
      <w:r>
        <w:t xml:space="preserve"> a Alexandra </w:t>
      </w:r>
      <w:proofErr w:type="spellStart"/>
      <w:r>
        <w:t>Kolčenka</w:t>
      </w:r>
      <w:proofErr w:type="spellEnd"/>
      <w:r>
        <w:rPr>
          <w:rStyle w:val="FootnoteReference"/>
        </w:rPr>
        <w:footnoteReference w:id="8"/>
      </w:r>
      <w:r>
        <w:t>,</w:t>
      </w:r>
    </w:p>
    <w:p w:rsidR="00A9214B" w:rsidRPr="00FD759A" w:rsidRDefault="00A9214B" w:rsidP="00A9214B">
      <w:pPr>
        <w:pStyle w:val="Hanging12"/>
      </w:pPr>
      <w:r>
        <w:t>–</w:t>
      </w:r>
      <w:r>
        <w:tab/>
        <w:t>so zreteľom na výsledky samitu EÚ a Ruska z 3. a zo 4. júna 2013 a konzultácií o ľudských právach z 19. mája 2013,</w:t>
      </w:r>
    </w:p>
    <w:p w:rsidR="00A9214B" w:rsidRPr="00FD759A" w:rsidRDefault="00A9214B" w:rsidP="00A9214B">
      <w:pPr>
        <w:pStyle w:val="Hanging12"/>
      </w:pPr>
      <w:r>
        <w:t>–</w:t>
      </w:r>
      <w:r>
        <w:tab/>
        <w:t>so zreteľom na ruskú ústavu, najmä na jej článok 29, ktorý sa týka ochrany slobody prejavu, a článok 31, v ktorom sa stanovuje právo na pokojné zhromažďovanie,</w:t>
      </w:r>
    </w:p>
    <w:p w:rsidR="00A9214B" w:rsidRPr="00FD759A" w:rsidRDefault="00A9214B" w:rsidP="00A9214B">
      <w:pPr>
        <w:pStyle w:val="Hanging12"/>
      </w:pPr>
      <w:r>
        <w:t>–</w:t>
      </w:r>
      <w:r>
        <w:tab/>
        <w:t xml:space="preserve">so zreteľom na </w:t>
      </w:r>
      <w:bookmarkStart w:id="1" w:name="DocEPTmp"/>
      <w:bookmarkEnd w:id="1"/>
      <w:r>
        <w:t>článok 135 ods. 5 a článok 123 ods. 4</w:t>
      </w:r>
      <w:bookmarkStart w:id="2" w:name="DocEPTmp2"/>
      <w:bookmarkEnd w:id="2"/>
      <w:r>
        <w:t xml:space="preserve"> rokovacieho poriadku,</w:t>
      </w:r>
    </w:p>
    <w:p w:rsidR="00A9214B" w:rsidRPr="00FD759A" w:rsidRDefault="00A9214B" w:rsidP="00A9214B">
      <w:pPr>
        <w:pStyle w:val="Hanging12"/>
      </w:pPr>
      <w:r>
        <w:t>A.</w:t>
      </w:r>
      <w:r>
        <w:tab/>
        <w:t xml:space="preserve">keďže ruský opozičný aktivista </w:t>
      </w:r>
      <w:proofErr w:type="spellStart"/>
      <w:r>
        <w:t>Ildar</w:t>
      </w:r>
      <w:proofErr w:type="spellEnd"/>
      <w:r>
        <w:t xml:space="preserve"> </w:t>
      </w:r>
      <w:proofErr w:type="spellStart"/>
      <w:r>
        <w:t>Dadin</w:t>
      </w:r>
      <w:proofErr w:type="spellEnd"/>
      <w:r>
        <w:t>, ktorý bol začiatkom decembra 2015 odsúdený na tri roky odňatia slobody za organizovanie niekoľkých pokojných protestov a zhromaždení zameraných proti vojne, je prvou osobou v Rusku odsúdenou podľa prísneho zákona o verejnom zhromažďovaní, ktorý bol prijatý v roku 2014;</w:t>
      </w:r>
    </w:p>
    <w:p w:rsidR="00A9214B" w:rsidRPr="00FD759A" w:rsidRDefault="00A9214B" w:rsidP="00A9214B">
      <w:pPr>
        <w:pStyle w:val="Hanging12"/>
      </w:pPr>
      <w:r>
        <w:t>B.</w:t>
      </w:r>
      <w:r>
        <w:tab/>
        <w:t xml:space="preserve">keďže napriek tomu, že prokuratúra odporučila odňatie slobody na dva roky, </w:t>
      </w:r>
      <w:proofErr w:type="spellStart"/>
      <w:r>
        <w:t>Ildar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bol odsúdený na tri roky; keďže v odvolacom konaní sa trest znížil na dva a pol roka;</w:t>
      </w:r>
    </w:p>
    <w:p w:rsidR="00A9214B" w:rsidRPr="00FD759A" w:rsidRDefault="00A9214B" w:rsidP="00A9214B">
      <w:pPr>
        <w:pStyle w:val="Hanging12"/>
      </w:pPr>
      <w:r>
        <w:t>C.</w:t>
      </w:r>
      <w:r>
        <w:tab/>
        <w:t xml:space="preserve">keďže pán </w:t>
      </w:r>
      <w:proofErr w:type="spellStart"/>
      <w:r>
        <w:t>Dadin</w:t>
      </w:r>
      <w:proofErr w:type="spellEnd"/>
      <w:r>
        <w:t xml:space="preserve"> bol počas svojho aktuálneho pobytu vo väzení v trestaneckej kolónii číslo 7 v Karélii údajne vystavený opakovaným prípadom mučenia, bitia, neľudského </w:t>
      </w:r>
      <w:r>
        <w:lastRenderedPageBreak/>
        <w:t>zaobchádzania a vyhrážania sa zabitím zo strany ruských orgánov;</w:t>
      </w:r>
    </w:p>
    <w:p w:rsidR="00A9214B" w:rsidRPr="00FD759A" w:rsidRDefault="00A9214B" w:rsidP="00A9214B">
      <w:pPr>
        <w:pStyle w:val="Hanging12"/>
      </w:pPr>
      <w:r>
        <w:t>D.</w:t>
      </w:r>
      <w:r>
        <w:tab/>
        <w:t xml:space="preserve">keďže Európsky súd pre ľudské práva (ESĽP) schválil žiadosť advokáta pána </w:t>
      </w:r>
      <w:proofErr w:type="spellStart"/>
      <w:r>
        <w:t>Dadina</w:t>
      </w:r>
      <w:proofErr w:type="spellEnd"/>
      <w:r>
        <w:t xml:space="preserve"> a nariadil Ruskej federácii, aby zabezpečila účinné vyšetrovanie, preložila pána </w:t>
      </w:r>
      <w:proofErr w:type="spellStart"/>
      <w:r>
        <w:t>Dadina</w:t>
      </w:r>
      <w:proofErr w:type="spellEnd"/>
      <w:r>
        <w:t xml:space="preserve"> do iného väzenia a umožnila mu komunikovať so svojím právnym zástupcom;</w:t>
      </w:r>
    </w:p>
    <w:p w:rsidR="00A9214B" w:rsidRPr="00FD759A" w:rsidRDefault="00A9214B" w:rsidP="00A9214B">
      <w:pPr>
        <w:pStyle w:val="Hanging12"/>
      </w:pPr>
      <w:r>
        <w:t>E.</w:t>
      </w:r>
      <w:r>
        <w:tab/>
        <w:t xml:space="preserve">keďže prípad </w:t>
      </w:r>
      <w:proofErr w:type="spellStart"/>
      <w:r>
        <w:t>Ildara</w:t>
      </w:r>
      <w:proofErr w:type="spellEnd"/>
      <w:r>
        <w:t xml:space="preserve"> </w:t>
      </w:r>
      <w:proofErr w:type="spellStart"/>
      <w:r>
        <w:t>Dadina</w:t>
      </w:r>
      <w:proofErr w:type="spellEnd"/>
      <w:r>
        <w:t xml:space="preserve"> nie je ojedinelý a dôveryhodné správy o ľudských právach poukazujú na systematické využívanie mučenia a zlého a neľudského zaobchádzania v ruskom trestnom systéme; keďže tí, ktorí vykonávajú mučenie a týranie osôb vo väzniciach alebo v trestných a väzenských zariadeniach alebo sú zaň zodpovední, často zostávajú nepotrestaní;</w:t>
      </w:r>
    </w:p>
    <w:p w:rsidR="00A9214B" w:rsidRPr="00FD759A" w:rsidRDefault="00A9214B" w:rsidP="00A9214B">
      <w:pPr>
        <w:pStyle w:val="Hanging12"/>
      </w:pPr>
      <w:r>
        <w:t>F.</w:t>
      </w:r>
      <w:r>
        <w:tab/>
        <w:t xml:space="preserve">keďže generálny tajomník Rady Európy </w:t>
      </w:r>
      <w:proofErr w:type="spellStart"/>
      <w:r>
        <w:t>Thorbjørn</w:t>
      </w:r>
      <w:proofErr w:type="spellEnd"/>
      <w:r>
        <w:t xml:space="preserve"> </w:t>
      </w:r>
      <w:proofErr w:type="spellStart"/>
      <w:r>
        <w:t>Jagland</w:t>
      </w:r>
      <w:proofErr w:type="spellEnd"/>
      <w:r>
        <w:t xml:space="preserve"> 3. novembra 2016 informoval ministra spravodlivosti Ruskej federácie Alexandra </w:t>
      </w:r>
      <w:proofErr w:type="spellStart"/>
      <w:r>
        <w:t>Konovalova</w:t>
      </w:r>
      <w:proofErr w:type="spellEnd"/>
      <w:r>
        <w:t xml:space="preserve"> o svojich obavách z údajného zlého zaobchádzania s pánom </w:t>
      </w:r>
      <w:proofErr w:type="spellStart"/>
      <w:r>
        <w:t>Dadinom</w:t>
      </w:r>
      <w:proofErr w:type="spellEnd"/>
      <w:r>
        <w:t>;</w:t>
      </w:r>
    </w:p>
    <w:p w:rsidR="00A9214B" w:rsidRPr="00FD759A" w:rsidRDefault="00A9214B" w:rsidP="00A9214B">
      <w:pPr>
        <w:pStyle w:val="Hanging12"/>
      </w:pPr>
      <w:r>
        <w:t>G.</w:t>
      </w:r>
      <w:r>
        <w:tab/>
        <w:t xml:space="preserve">keďže počet politických väzňov v Rusku sa v posledných rokoch výrazne zvýšil a podľa strediska pre ľudské práva </w:t>
      </w:r>
      <w:proofErr w:type="spellStart"/>
      <w:r>
        <w:t>Memorial</w:t>
      </w:r>
      <w:proofErr w:type="spellEnd"/>
      <w:r>
        <w:t xml:space="preserve"> je ich v súčasnosti 102, medzi nimi Alexander </w:t>
      </w:r>
      <w:proofErr w:type="spellStart"/>
      <w:r>
        <w:t>Kostenko</w:t>
      </w:r>
      <w:proofErr w:type="spellEnd"/>
      <w:r>
        <w:t xml:space="preserve"> </w:t>
      </w:r>
      <w:proofErr w:type="spellStart"/>
      <w:r>
        <w:t>Fedorovič</w:t>
      </w:r>
      <w:proofErr w:type="spellEnd"/>
      <w:r>
        <w:t xml:space="preserve">, Ivan </w:t>
      </w:r>
      <w:proofErr w:type="spellStart"/>
      <w:r>
        <w:t>Nepomnjaščich</w:t>
      </w:r>
      <w:proofErr w:type="spellEnd"/>
      <w:r>
        <w:t xml:space="preserve">, Dmitrij </w:t>
      </w:r>
      <w:proofErr w:type="spellStart"/>
      <w:r>
        <w:t>Bučenkov</w:t>
      </w:r>
      <w:proofErr w:type="spellEnd"/>
      <w:r>
        <w:t xml:space="preserve">, </w:t>
      </w:r>
      <w:proofErr w:type="spellStart"/>
      <w:r>
        <w:t>Vladimir</w:t>
      </w:r>
      <w:proofErr w:type="spellEnd"/>
      <w:r>
        <w:t xml:space="preserve"> </w:t>
      </w:r>
      <w:proofErr w:type="spellStart"/>
      <w:r>
        <w:t>Jonov</w:t>
      </w:r>
      <w:proofErr w:type="spellEnd"/>
      <w:r>
        <w:t xml:space="preserve">, </w:t>
      </w:r>
      <w:proofErr w:type="spellStart"/>
      <w:r>
        <w:t>Maxim</w:t>
      </w:r>
      <w:proofErr w:type="spellEnd"/>
      <w:r>
        <w:t xml:space="preserve"> </w:t>
      </w:r>
      <w:proofErr w:type="spellStart"/>
      <w:r>
        <w:t>Panfilov</w:t>
      </w:r>
      <w:proofErr w:type="spellEnd"/>
      <w:r>
        <w:t xml:space="preserve"> a ďalší; keďže je známe, že Rusko v roku 2015 porušilo Európsky dohovor o ľudských právach v 109 prípadoch, t. j. viac ako ktorákoľvek iná krajina;</w:t>
      </w:r>
    </w:p>
    <w:p w:rsidR="00A9214B" w:rsidRPr="00FD759A" w:rsidRDefault="00A9214B" w:rsidP="00A9214B">
      <w:pPr>
        <w:pStyle w:val="Hanging12"/>
      </w:pPr>
      <w:r>
        <w:t>H.</w:t>
      </w:r>
      <w:r>
        <w:tab/>
        <w:t>keďže v roku 2015 sa zaznamenalo 197 prípadov úmrtí v policajnej väzbe vrátane 109 prípadov v dôsledku „náhleho zhoršenia zdravotného stavu“ a 62 samovrážd, čo naznačuje rozšírené zneužívanie, mučenie a zlé zaobchádzanie so zadržiavanými osobami vo väzenskom systéme Ruskej federácie;</w:t>
      </w:r>
    </w:p>
    <w:p w:rsidR="00A9214B" w:rsidRPr="00FD759A" w:rsidRDefault="00A9214B" w:rsidP="00A9214B">
      <w:pPr>
        <w:pStyle w:val="Hanging12"/>
      </w:pPr>
      <w:r>
        <w:t>I.</w:t>
      </w:r>
      <w:r>
        <w:tab/>
        <w:t xml:space="preserve">keďže moskovský súd 26. októbra 2016 uložil pokutu vo výške 300 000 rubľov analytickému centru </w:t>
      </w:r>
      <w:proofErr w:type="spellStart"/>
      <w:r>
        <w:t>Jurija</w:t>
      </w:r>
      <w:proofErr w:type="spellEnd"/>
      <w:r>
        <w:t xml:space="preserve"> </w:t>
      </w:r>
      <w:proofErr w:type="spellStart"/>
      <w:r>
        <w:t>Levadu</w:t>
      </w:r>
      <w:proofErr w:type="spellEnd"/>
      <w:r>
        <w:t xml:space="preserve"> (centrum </w:t>
      </w:r>
      <w:proofErr w:type="spellStart"/>
      <w:r>
        <w:t>Levada</w:t>
      </w:r>
      <w:proofErr w:type="spellEnd"/>
      <w:r>
        <w:t>), jednej z troch hlavných organizácií, ktoré skúmajú verejnú mienku v Rusku, pretože sa nezaregistrovalo ako „zahraničný agent“;</w:t>
      </w:r>
    </w:p>
    <w:p w:rsidR="00A9214B" w:rsidRPr="00FD759A" w:rsidRDefault="00A9214B" w:rsidP="00A9214B">
      <w:pPr>
        <w:pStyle w:val="Hanging12"/>
      </w:pPr>
      <w:r>
        <w:t>J.</w:t>
      </w:r>
      <w:r>
        <w:tab/>
        <w:t>keďže prezident Putin nedávno podpísal príkaz, na základe ktorého Rusko odstupuje od Rímskeho štatútu Medzinárodného trestného súdu (MTS); keďže ruské ministerstvo zahraničných vecí opísalo vo svojom vyhlásení prácu MTS ako „neefektívnu a jednostrannú“ a vyjadrilo obavy z jeho vyšetrovania udalostí v Južnom Osetsku z augusta 2008; keďže prokurátori MTS uverejnili na webovej stránke súdu správu, podľa ktorej „súčasťou ruskej okupácie bolo prenasledovanie a zastrašovanie krymských Tatárov“;</w:t>
      </w:r>
    </w:p>
    <w:p w:rsidR="00A9214B" w:rsidRPr="00FD759A" w:rsidRDefault="00A9214B" w:rsidP="00A9214B">
      <w:pPr>
        <w:pStyle w:val="Hanging12"/>
      </w:pPr>
      <w:r>
        <w:t>K.</w:t>
      </w:r>
      <w:r>
        <w:tab/>
        <w:t>keďže Rada OSN pre ľudské práva v októbri 2016 rozhodla Rusko opätovne nezvoliť za člena, po tom, čo viac ako 80 organizácií za ľudské práva a organizácií medzinárodnej pomoci podpísalo list, v ktorom naliehavo vyzýva členov OSN, aby blokovali zvolenie Ruska do tohto orgánu;</w:t>
      </w:r>
    </w:p>
    <w:p w:rsidR="00A9214B" w:rsidRPr="00FD759A" w:rsidRDefault="00A9214B" w:rsidP="00A9214B">
      <w:pPr>
        <w:pStyle w:val="Hanging12"/>
      </w:pPr>
      <w:r>
        <w:t>1.</w:t>
      </w:r>
      <w:r>
        <w:tab/>
        <w:t xml:space="preserve">žiada okamžité a bezpodmienečné prepustenie </w:t>
      </w:r>
      <w:proofErr w:type="spellStart"/>
      <w:r>
        <w:t>Ildara</w:t>
      </w:r>
      <w:proofErr w:type="spellEnd"/>
      <w:r>
        <w:t xml:space="preserve"> </w:t>
      </w:r>
      <w:proofErr w:type="spellStart"/>
      <w:r>
        <w:t>Dadina</w:t>
      </w:r>
      <w:proofErr w:type="spellEnd"/>
      <w:r>
        <w:t xml:space="preserve"> a všetkých, ktorí sú zadržiavaní na základe nesprávnych alebo nepodložených obvinení alebo za uplatňovanie svojho práva na slobodu prejavu a zhromažďovania;</w:t>
      </w:r>
    </w:p>
    <w:p w:rsidR="00A9214B" w:rsidRPr="00FD759A" w:rsidRDefault="00A9214B" w:rsidP="00A9214B">
      <w:pPr>
        <w:pStyle w:val="Hanging12"/>
      </w:pPr>
      <w:r>
        <w:t>2.</w:t>
      </w:r>
      <w:r>
        <w:tab/>
        <w:t>je hlboko znepokojený tým, že trestný zákonník Ruskej federácie bol zmenený článkom, v ktorom sú stanovené nové obmedzenia týkajúce sa verejného zhromažďovania a podľa ktorého sa takéto zhromaždenia považujú za trestný čin;</w:t>
      </w:r>
    </w:p>
    <w:p w:rsidR="00A9214B" w:rsidRPr="00FD759A" w:rsidRDefault="00A9214B" w:rsidP="00A9214B">
      <w:pPr>
        <w:pStyle w:val="Hanging12"/>
      </w:pPr>
      <w:r>
        <w:t>3.</w:t>
      </w:r>
      <w:r>
        <w:tab/>
        <w:t xml:space="preserve">naliehavo vyzýva ruské orgány, aby dôkladne a transparentne vyšetrili tvrdenia </w:t>
      </w:r>
      <w:proofErr w:type="spellStart"/>
      <w:r>
        <w:t>Ildara</w:t>
      </w:r>
      <w:proofErr w:type="spellEnd"/>
      <w:r>
        <w:t xml:space="preserve"> </w:t>
      </w:r>
      <w:proofErr w:type="spellStart"/>
      <w:r>
        <w:t>Dadina</w:t>
      </w:r>
      <w:proofErr w:type="spellEnd"/>
      <w:r>
        <w:t xml:space="preserve"> týkajúce sa údajného mučenia a zlého zaobchádzania, a to za účasti nezávislých odborníkov z oblasti ľudských práv; žiada nezávislé vyšetrovanie obvinení z mučenia, zneužívania a ponižujúceho a neľudského zaobchádzania zo strany štátnych úradníkov v ruských zariadeniach zadržiavania, pracovných táboroch a väzniciach;</w:t>
      </w:r>
    </w:p>
    <w:p w:rsidR="00A9214B" w:rsidRPr="00FD759A" w:rsidRDefault="00A9214B" w:rsidP="00A9214B">
      <w:pPr>
        <w:pStyle w:val="Hanging12"/>
      </w:pPr>
      <w:r>
        <w:t>4.</w:t>
      </w:r>
      <w:r>
        <w:tab/>
        <w:t>vyzýva Ruskú federáciu, aby v tejto súvislosti vykonala dôkladnú revíziu svojho väzenského systému na účely uskutočnenia dôkladnej reformy systému a aby v plnej miere vykonávala normy dohodnuté v rámci príslušných medzinárodných dohovorov;</w:t>
      </w:r>
    </w:p>
    <w:p w:rsidR="00A9214B" w:rsidRPr="00FD759A" w:rsidRDefault="00A9214B" w:rsidP="00A9214B">
      <w:pPr>
        <w:pStyle w:val="Hanging12"/>
      </w:pPr>
      <w:r>
        <w:t>5.</w:t>
      </w:r>
      <w:r>
        <w:tab/>
        <w:t>vyjadruje solidaritu s tými, ktorí boli zatknutí v Rusku a na dočasne okupovaných územiach Ukrajiny vrátane krymských Tatárov na základe nepravdivých a nepodložených obvinení, a vyzýva na ich okamžité prepustenie;</w:t>
      </w:r>
    </w:p>
    <w:p w:rsidR="00A9214B" w:rsidRPr="00FD759A" w:rsidRDefault="00A9214B" w:rsidP="00A9214B">
      <w:pPr>
        <w:pStyle w:val="Hanging12"/>
      </w:pPr>
      <w:r>
        <w:t>6.</w:t>
      </w:r>
      <w:r>
        <w:tab/>
        <w:t>pripomína Rusku, že je dôležité, aby v plne miere dodržiavalo svoje medzinárodné právne záväzky ako člen Rady Európy a Organizácie pre bezpečnosť a spoluprácu v Európe, ako aj základné ľudské práva a zásady právneho štátu zakotvené v rôznych medzinárodných zmluvách a dohodách, ktoré Rusko podpísalo a ktorých je zmluvnou stranou; zdôrazňuje, že Ruskú federáciu možno považovať za spoľahlivého partnera v oblasti medzinárodnej spolupráce, iba ak si bude plniť svoje povinnosti vyplývajúce z medzinárodného práva; v tejto súvislosti vyjadruje znepokojenie nad prezidentskou vyhláškou, na základe ktorej Rusko odstupuje od Rímskeho štatútu Medzinárodného trestného súdu;</w:t>
      </w:r>
    </w:p>
    <w:p w:rsidR="00A9214B" w:rsidRPr="00FD759A" w:rsidRDefault="00A9214B" w:rsidP="00A9214B">
      <w:pPr>
        <w:pStyle w:val="Hanging12"/>
      </w:pPr>
      <w:r>
        <w:t>7.</w:t>
      </w:r>
      <w:r>
        <w:tab/>
        <w:t xml:space="preserve">vyzýva vládu Ruska, aby prijala konkrétne a okamžité kroky na vykonanie všetkých rozsudkov Európskeho súdu pre ľudské práva proti Rusku; v tejto súvislosti vyjadruje poľutovanie nad skutočnosťou, že Ruská federácia v nových právnych predpisoch prijatých v decembri 2015 splnomocnila svoj ústavný súd zrušiť rozsudky Európskeho súdu pre ľudské práva; </w:t>
      </w:r>
    </w:p>
    <w:p w:rsidR="00A9214B" w:rsidRPr="00FD759A" w:rsidRDefault="00A9214B" w:rsidP="00A9214B">
      <w:pPr>
        <w:pStyle w:val="Hanging12"/>
      </w:pPr>
      <w:r>
        <w:t>8.</w:t>
      </w:r>
      <w:r>
        <w:tab/>
        <w:t xml:space="preserve">naliehavo vyzýva Radu, aby vypracovala jednotnú politiku voči Rusku, ktorá by zaviazala 28 členských štátov EÚ a jej inštitúcie k silnému spoločnému odkazu o úlohe ľudských práv vo vzťahu medzi EÚ a Ruskom a dodržiavaní medzinárodného práva; vyzýva PK/VP, aby spolu s ESVČ a Komisiou vypracovala rozsiahlu a konkrétnu stratégiu na podporu ruskej občianskej spoločnosti a organizácií, pričom by sa využil európsky nástroj pre demokraciu a ľudské práva; </w:t>
      </w:r>
    </w:p>
    <w:p w:rsidR="00A9214B" w:rsidRPr="00FD759A" w:rsidRDefault="00A9214B" w:rsidP="00A9214B">
      <w:pPr>
        <w:pStyle w:val="Hanging12"/>
      </w:pPr>
      <w:r>
        <w:t>9.</w:t>
      </w:r>
      <w:r>
        <w:tab/>
        <w:t xml:space="preserve">vyzýva Radu, aby prijala rad cielených sankcií na trestanie tých, ktorí sú zodpovední za zlé zaobchádzanie s </w:t>
      </w:r>
      <w:proofErr w:type="spellStart"/>
      <w:r>
        <w:t>Ildarom</w:t>
      </w:r>
      <w:proofErr w:type="spellEnd"/>
      <w:r>
        <w:t xml:space="preserve"> </w:t>
      </w:r>
      <w:proofErr w:type="spellStart"/>
      <w:r>
        <w:t>Dadinom</w:t>
      </w:r>
      <w:proofErr w:type="spellEnd"/>
      <w:r>
        <w:t xml:space="preserve"> a inými aktivistami za ľudské práva;</w:t>
      </w:r>
    </w:p>
    <w:p w:rsidR="009D33CF" w:rsidRPr="00FD759A" w:rsidRDefault="00A9214B" w:rsidP="00A9214B">
      <w:pPr>
        <w:pStyle w:val="Hanging12"/>
      </w:pPr>
      <w:r>
        <w:t>10.</w:t>
      </w:r>
      <w:r>
        <w:tab/>
        <w:t xml:space="preserve">poveruje svojho predsedu, aby postúpil toto uznesenie ESVČ, podpredsedníčke Komisie/vysokej predstaviteľke Únie pre zahraničné veci a bezpečnostnú politiku, Rade, Komisii, Rade Európy, Organizácii pre bezpečnosť a spoluprácu v Európe a prezidentovi, vláde a parlamentu Ruskej federácie. </w:t>
      </w:r>
    </w:p>
    <w:p w:rsidR="009D33CF" w:rsidRPr="00FD759A" w:rsidRDefault="009D33CF">
      <w:pPr>
        <w:pStyle w:val="Hanging12"/>
      </w:pPr>
    </w:p>
    <w:sectPr w:rsidR="009D33CF" w:rsidRPr="00FD759A" w:rsidSect="0067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9F" w:rsidRPr="0041709F" w:rsidRDefault="0041709F">
      <w:r w:rsidRPr="0041709F">
        <w:separator/>
      </w:r>
    </w:p>
  </w:endnote>
  <w:endnote w:type="continuationSeparator" w:id="0">
    <w:p w:rsidR="0041709F" w:rsidRPr="0041709F" w:rsidRDefault="0041709F">
      <w:r w:rsidRPr="004170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C6" w:rsidRDefault="006015C6" w:rsidP="006015C6">
    <w:pPr>
      <w:pStyle w:val="Footer"/>
    </w:pPr>
    <w:r w:rsidRPr="006015C6">
      <w:rPr>
        <w:rStyle w:val="HideTWBExt"/>
      </w:rPr>
      <w:t>&lt;PathFdR&gt;</w:t>
    </w:r>
    <w:r>
      <w:t>RC\1110590SK.docx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PathFdR</w:t>
    </w:r>
    <w:proofErr w:type="spellEnd"/>
    <w:r w:rsidRPr="006015C6">
      <w:rPr>
        <w:rStyle w:val="HideTWBExt"/>
      </w:rPr>
      <w:t>&gt;</w:t>
    </w: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593.695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593.698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593.701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593.704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593.707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 RC1</w:t>
    </w:r>
  </w:p>
  <w:p w:rsidR="00626D73" w:rsidRPr="0041709F" w:rsidRDefault="006015C6" w:rsidP="006015C6">
    <w:pPr>
      <w:pStyle w:val="Footer2"/>
    </w:pPr>
    <w: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C6" w:rsidRDefault="006015C6" w:rsidP="006015C6">
    <w:pPr>
      <w:pStyle w:val="Footer"/>
    </w:pPr>
    <w:r w:rsidRPr="006015C6">
      <w:rPr>
        <w:rStyle w:val="HideTWBExt"/>
      </w:rPr>
      <w:t>&lt;PathFdR&gt;</w:t>
    </w:r>
    <w:r>
      <w:t>RC\1110590SK.docx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PathFdR</w:t>
    </w:r>
    <w:proofErr w:type="spellEnd"/>
    <w:r w:rsidRPr="006015C6">
      <w:rPr>
        <w:rStyle w:val="HideTWBExt"/>
      </w:rPr>
      <w:t>&gt;</w:t>
    </w: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593.695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593.698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593.701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593.704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593.707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 RC1</w:t>
    </w:r>
  </w:p>
  <w:p w:rsidR="00626D73" w:rsidRPr="0041709F" w:rsidRDefault="006015C6" w:rsidP="006015C6">
    <w:pPr>
      <w:pStyle w:val="Footer2"/>
    </w:pPr>
    <w:r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C6" w:rsidRDefault="006015C6" w:rsidP="006015C6">
    <w:pPr>
      <w:pStyle w:val="Footer"/>
    </w:pPr>
    <w:r w:rsidRPr="006015C6">
      <w:rPr>
        <w:rStyle w:val="HideTWBExt"/>
      </w:rPr>
      <w:t>&lt;PathFdR&gt;</w:t>
    </w:r>
    <w:r>
      <w:t>RC\1110590SK.docx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PathFdR</w:t>
    </w:r>
    <w:proofErr w:type="spellEnd"/>
    <w:r w:rsidRPr="006015C6">
      <w:rPr>
        <w:rStyle w:val="HideTWBExt"/>
      </w:rPr>
      <w:t>&gt;</w:t>
    </w: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593.695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593.698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593.701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593.704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</w:t>
    </w:r>
  </w:p>
  <w:p w:rsidR="006015C6" w:rsidRDefault="006015C6" w:rsidP="006015C6">
    <w:pPr>
      <w:pStyle w:val="Footer"/>
    </w:pPr>
    <w:r>
      <w:tab/>
      <w:t>PE</w:t>
    </w:r>
    <w:r w:rsidRPr="006015C6">
      <w:rPr>
        <w:rStyle w:val="HideTWBExt"/>
      </w:rPr>
      <w:t>&lt;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</w:t>
    </w:r>
    <w:r>
      <w:t>593.707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NoPE</w:t>
    </w:r>
    <w:proofErr w:type="spellEnd"/>
    <w:r w:rsidRPr="006015C6">
      <w:rPr>
        <w:rStyle w:val="HideTWBExt"/>
      </w:rPr>
      <w:t>&gt;&lt;Version&gt;</w:t>
    </w:r>
    <w:r>
      <w:t>v01-00</w:t>
    </w:r>
    <w:r w:rsidRPr="006015C6">
      <w:rPr>
        <w:rStyle w:val="HideTWBExt"/>
      </w:rPr>
      <w:t>&lt;/</w:t>
    </w:r>
    <w:proofErr w:type="spellStart"/>
    <w:r w:rsidRPr="006015C6">
      <w:rPr>
        <w:rStyle w:val="HideTWBExt"/>
      </w:rPr>
      <w:t>Version</w:t>
    </w:r>
    <w:proofErr w:type="spellEnd"/>
    <w:r w:rsidRPr="006015C6">
      <w:rPr>
        <w:rStyle w:val="HideTWBExt"/>
      </w:rPr>
      <w:t>&gt;</w:t>
    </w:r>
    <w:r>
      <w:t xml:space="preserve"> } RC1</w:t>
    </w:r>
  </w:p>
  <w:p w:rsidR="00626D73" w:rsidRPr="0041709F" w:rsidRDefault="006015C6" w:rsidP="006015C6">
    <w:pPr>
      <w:pStyle w:val="Footer2"/>
      <w:tabs>
        <w:tab w:val="center" w:pos="4535"/>
      </w:tabs>
    </w:pPr>
    <w:r>
      <w:t>SK</w:t>
    </w:r>
    <w:r>
      <w:tab/>
    </w:r>
    <w:r w:rsidRPr="006015C6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9F" w:rsidRPr="0041709F" w:rsidRDefault="0041709F">
      <w:r w:rsidRPr="0041709F">
        <w:separator/>
      </w:r>
    </w:p>
  </w:footnote>
  <w:footnote w:type="continuationSeparator" w:id="0">
    <w:p w:rsidR="0041709F" w:rsidRPr="0041709F" w:rsidRDefault="0041709F">
      <w:r w:rsidRPr="0041709F">
        <w:continuationSeparator/>
      </w:r>
    </w:p>
  </w:footnote>
  <w:footnote w:id="1">
    <w:p w:rsidR="00A9214B" w:rsidRDefault="00A9214B" w:rsidP="00A9214B">
      <w:pPr>
        <w:pStyle w:val="FootnoteText"/>
      </w:pPr>
      <w:r>
        <w:rPr>
          <w:rStyle w:val="FootnoteReference"/>
        </w:rPr>
        <w:footnoteRef/>
      </w:r>
      <w:r>
        <w:t xml:space="preserve"> Ú. v. EÚ C 68E, 7.3.2014, s. 13.</w:t>
      </w:r>
    </w:p>
  </w:footnote>
  <w:footnote w:id="2">
    <w:p w:rsidR="00A9214B" w:rsidRDefault="00A9214B" w:rsidP="00A92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Ú. v. EÚ C 65, 19.2.2016, s. 150.</w:t>
      </w:r>
    </w:p>
  </w:footnote>
  <w:footnote w:id="3">
    <w:p w:rsidR="00A9214B" w:rsidRDefault="00A9214B" w:rsidP="00A92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Prijaté texty, P7_TA(2014)0253.</w:t>
      </w:r>
    </w:p>
  </w:footnote>
  <w:footnote w:id="4">
    <w:p w:rsidR="00A9214B" w:rsidRDefault="00A9214B" w:rsidP="00A92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Prijaté texty, P7_TA(2014)0258.</w:t>
      </w:r>
    </w:p>
  </w:footnote>
  <w:footnote w:id="5">
    <w:p w:rsidR="00A9214B" w:rsidRDefault="00A9214B" w:rsidP="00A92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Prijaté texty, P8_TA(2014)0039.</w:t>
      </w:r>
    </w:p>
  </w:footnote>
  <w:footnote w:id="6">
    <w:p w:rsidR="00A9214B" w:rsidRDefault="00A9214B" w:rsidP="00A92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Prijaté texty, P8_TA(2015)0074.</w:t>
      </w:r>
    </w:p>
  </w:footnote>
  <w:footnote w:id="7">
    <w:p w:rsidR="00A9214B" w:rsidRDefault="00A9214B" w:rsidP="00A92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Prijaté texty, P8_TA(2015)0225.</w:t>
      </w:r>
    </w:p>
  </w:footnote>
  <w:footnote w:id="8">
    <w:p w:rsidR="00A9214B" w:rsidRDefault="00A9214B" w:rsidP="00A92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Prijaté texty, P8_TA(2015)0314.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38" w:rsidRDefault="001C5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38" w:rsidRDefault="001C5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38" w:rsidRDefault="001C5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LastEditedSection" w:val=" 1"/>
    <w:docVar w:name="NVAR1" w:val="4"/>
    <w:docVar w:name="NVAR2" w:val="4"/>
    <w:docVar w:name="RULEMNU" w:val=" 4"/>
    <w:docVar w:name="strDocTypeID" w:val="RC"/>
    <w:docVar w:name="strSubDir" w:val="1110"/>
    <w:docVar w:name="TXTLANGUE" w:val="SK"/>
    <w:docVar w:name="TXTLANGUEMIN" w:val="sk"/>
    <w:docVar w:name="TXTNRB1" w:val="1261/2016"/>
    <w:docVar w:name="TXTNRB2" w:val="1264/2016"/>
    <w:docVar w:name="TXTNRB3" w:val="1267/2016"/>
    <w:docVar w:name="TXTNRB4" w:val="1270/2016"/>
    <w:docVar w:name="TXTNRB5" w:val="1273/2016"/>
    <w:docVar w:name="TXTNRPE1" w:val="593.695"/>
    <w:docVar w:name="TXTNRPE2" w:val="593.698"/>
    <w:docVar w:name="TXTNRPE3" w:val="593.701"/>
    <w:docVar w:name="TXTNRPE4" w:val="593.704"/>
    <w:docVar w:name="TXTNRPE5" w:val="593.707"/>
    <w:docVar w:name="TXTNRRSP" w:val="2016/2992"/>
    <w:docVar w:name="TXTPEorAP" w:val="PE"/>
    <w:docVar w:name="TXTROUTE" w:val="RC\1110590SK.docx"/>
    <w:docVar w:name="TXTTITLE" w:val="the case of Ildar Dadin, prisoner of conscience in Russia 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41709F"/>
    <w:rsid w:val="00005903"/>
    <w:rsid w:val="0001465F"/>
    <w:rsid w:val="00050D7C"/>
    <w:rsid w:val="0008467F"/>
    <w:rsid w:val="000C633C"/>
    <w:rsid w:val="000F62E9"/>
    <w:rsid w:val="00177088"/>
    <w:rsid w:val="001816C4"/>
    <w:rsid w:val="00184B3E"/>
    <w:rsid w:val="001C5B38"/>
    <w:rsid w:val="002439D4"/>
    <w:rsid w:val="00250797"/>
    <w:rsid w:val="002C4BC5"/>
    <w:rsid w:val="002E2D08"/>
    <w:rsid w:val="00335275"/>
    <w:rsid w:val="003441B1"/>
    <w:rsid w:val="003957F5"/>
    <w:rsid w:val="003B03C1"/>
    <w:rsid w:val="0040653F"/>
    <w:rsid w:val="0041709F"/>
    <w:rsid w:val="00494C12"/>
    <w:rsid w:val="004B5BAF"/>
    <w:rsid w:val="004D5831"/>
    <w:rsid w:val="004E13DA"/>
    <w:rsid w:val="004F500E"/>
    <w:rsid w:val="00503B5F"/>
    <w:rsid w:val="005A22FF"/>
    <w:rsid w:val="005B55C9"/>
    <w:rsid w:val="006015C6"/>
    <w:rsid w:val="00626D73"/>
    <w:rsid w:val="00676484"/>
    <w:rsid w:val="00710FF5"/>
    <w:rsid w:val="00752855"/>
    <w:rsid w:val="007C394B"/>
    <w:rsid w:val="00811C12"/>
    <w:rsid w:val="0082552A"/>
    <w:rsid w:val="008F24E7"/>
    <w:rsid w:val="00905E62"/>
    <w:rsid w:val="009219DC"/>
    <w:rsid w:val="00967F3D"/>
    <w:rsid w:val="009D33CF"/>
    <w:rsid w:val="00A30C33"/>
    <w:rsid w:val="00A72F04"/>
    <w:rsid w:val="00A9214B"/>
    <w:rsid w:val="00AB70B2"/>
    <w:rsid w:val="00B47668"/>
    <w:rsid w:val="00B602BC"/>
    <w:rsid w:val="00CA2FB9"/>
    <w:rsid w:val="00CB6B3F"/>
    <w:rsid w:val="00D57C45"/>
    <w:rsid w:val="00EC024A"/>
    <w:rsid w:val="00F23F9D"/>
    <w:rsid w:val="00F849BF"/>
    <w:rsid w:val="00F92249"/>
    <w:rsid w:val="00FD759A"/>
    <w:rsid w:val="00FE4A5F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FC33-911F-4279-A884-D27479E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left" w:pos="6661"/>
      </w:tabs>
      <w:spacing w:before="0" w:after="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link w:val="CoverNormalChar"/>
    <w:pPr>
      <w:ind w:left="1418"/>
    </w:pPr>
  </w:style>
  <w:style w:type="character" w:customStyle="1" w:styleId="CoverNormalChar">
    <w:name w:val="CoverNormal Char"/>
    <w:link w:val="CoverNormal"/>
    <w:rsid w:val="002439D4"/>
    <w:rPr>
      <w:sz w:val="24"/>
      <w:lang w:val="sk-SK" w:eastAsia="sk-SK" w:bidi="sk-SK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RC">
    <w:name w:val="TypeDocRC"/>
    <w:basedOn w:val="Normal24"/>
    <w:rsid w:val="00F92249"/>
    <w:pPr>
      <w:spacing w:before="360" w:after="36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fDocRC">
    <w:name w:val="RefDocRC"/>
    <w:basedOn w:val="Normal"/>
    <w:next w:val="Normal"/>
    <w:rsid w:val="00D57C45"/>
    <w:pPr>
      <w:widowControl/>
      <w:tabs>
        <w:tab w:val="left" w:pos="-1071"/>
        <w:tab w:val="left" w:pos="-873"/>
        <w:tab w:val="left" w:pos="-453"/>
        <w:tab w:val="left" w:pos="6804"/>
        <w:tab w:val="left" w:pos="8763"/>
        <w:tab w:val="left" w:pos="9046"/>
      </w:tabs>
      <w:jc w:val="both"/>
    </w:pPr>
    <w:rPr>
      <w:b/>
    </w:rPr>
  </w:style>
  <w:style w:type="table" w:styleId="TableGrid">
    <w:name w:val="Table Grid"/>
    <w:basedOn w:val="TableNormal"/>
    <w:rsid w:val="0075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75285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75285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52855"/>
    <w:pPr>
      <w:pBdr>
        <w:bottom w:val="single" w:sz="4" w:space="1" w:color="auto"/>
      </w:pBdr>
      <w:spacing w:after="480"/>
      <w:jc w:val="center"/>
    </w:pPr>
    <w:rPr>
      <w:rFonts w:ascii="Arial" w:hAnsi="Arial"/>
      <w:sz w:val="16"/>
      <w:szCs w:val="16"/>
    </w:rPr>
  </w:style>
  <w:style w:type="paragraph" w:customStyle="1" w:styleId="CoverBold">
    <w:name w:val="CoverBold"/>
    <w:basedOn w:val="CoverNormal"/>
    <w:rsid w:val="00177088"/>
    <w:rPr>
      <w:b/>
    </w:rPr>
  </w:style>
  <w:style w:type="paragraph" w:customStyle="1" w:styleId="Normal36">
    <w:name w:val="Normal36"/>
    <w:basedOn w:val="Normal"/>
    <w:rsid w:val="0082552A"/>
    <w:pPr>
      <w:spacing w:after="720"/>
    </w:pPr>
  </w:style>
  <w:style w:type="paragraph" w:customStyle="1" w:styleId="Normal24Bold">
    <w:name w:val="Normal24Bold"/>
    <w:basedOn w:val="Normal"/>
    <w:rsid w:val="00AB70B2"/>
    <w:pPr>
      <w:spacing w:after="480"/>
    </w:pPr>
    <w:rPr>
      <w:b/>
    </w:rPr>
  </w:style>
  <w:style w:type="paragraph" w:customStyle="1" w:styleId="EPName">
    <w:name w:val="EPName"/>
    <w:basedOn w:val="Normal"/>
    <w:link w:val="EPNameChar"/>
    <w:rsid w:val="00CA2FB9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CA2FB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A2FB9"/>
    <w:pPr>
      <w:jc w:val="right"/>
    </w:pPr>
  </w:style>
  <w:style w:type="paragraph" w:customStyle="1" w:styleId="DateRC">
    <w:name w:val="DateRC"/>
    <w:basedOn w:val="Normal"/>
    <w:qFormat/>
    <w:rsid w:val="00F849BF"/>
  </w:style>
  <w:style w:type="paragraph" w:styleId="FootnoteText">
    <w:name w:val="footnote text"/>
    <w:basedOn w:val="Normal"/>
    <w:link w:val="FootnoteTextChar"/>
    <w:rsid w:val="00A921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9214B"/>
  </w:style>
  <w:style w:type="character" w:styleId="FootnoteReference">
    <w:name w:val="footnote reference"/>
    <w:basedOn w:val="DefaultParagraphFont"/>
    <w:rsid w:val="00A9214B"/>
    <w:rPr>
      <w:vertAlign w:val="superscript"/>
    </w:rPr>
  </w:style>
  <w:style w:type="paragraph" w:styleId="BalloonText">
    <w:name w:val="Balloon Text"/>
    <w:basedOn w:val="Normal"/>
    <w:link w:val="BalloonTextChar"/>
    <w:rsid w:val="00A92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214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FooterMultPE">
    <w:name w:val="FooterMultPE"/>
    <w:basedOn w:val="EPName"/>
    <w:link w:val="FooterMultPEChar"/>
    <w:rsid w:val="006015C6"/>
  </w:style>
  <w:style w:type="character" w:customStyle="1" w:styleId="EPNameChar">
    <w:name w:val="EPName Char"/>
    <w:basedOn w:val="DefaultParagraphFont"/>
    <w:link w:val="EPName"/>
    <w:rsid w:val="006015C6"/>
    <w:rPr>
      <w:rFonts w:ascii="Arial Narrow" w:hAnsi="Arial Narrow" w:cs="Arial"/>
      <w:b/>
      <w:color w:val="000000"/>
      <w:sz w:val="32"/>
      <w:szCs w:val="22"/>
    </w:rPr>
  </w:style>
  <w:style w:type="character" w:customStyle="1" w:styleId="FooterMultPEChar">
    <w:name w:val="FooterMultPE Char"/>
    <w:basedOn w:val="EPNameChar"/>
    <w:link w:val="FooterMultPE"/>
    <w:rsid w:val="006015C6"/>
    <w:rPr>
      <w:rFonts w:ascii="Arial Narrow" w:hAnsi="Arial Narrow" w:cs="Arial"/>
      <w:b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1D017C07.dotm</Template>
  <TotalTime>0</TotalTime>
  <Pages>6</Pages>
  <Words>1523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</vt:lpstr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</dc:title>
  <dc:subject/>
  <dc:creator>CHASE Kathleen</dc:creator>
  <cp:keywords/>
  <dc:description/>
  <cp:lastModifiedBy>PETROVA Daniela</cp:lastModifiedBy>
  <cp:revision>2</cp:revision>
  <cp:lastPrinted>2004-12-08T14:10:00Z</cp:lastPrinted>
  <dcterms:created xsi:type="dcterms:W3CDTF">2016-11-23T20:20:00Z</dcterms:created>
  <dcterms:modified xsi:type="dcterms:W3CDTF">2016-11-23T20:20:00Z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1110590</vt:lpwstr>
  </property>
  <property fmtid="{D5CDD505-2E9C-101B-9397-08002B2CF9AE}" pid="5" name="&lt;Type&gt;">
    <vt:lpwstr>RC</vt:lpwstr>
  </property>
  <property fmtid="{D5CDD505-2E9C-101B-9397-08002B2CF9AE}" pid="6" name="&lt;ModelCod&gt;">
    <vt:lpwstr>\\eiciLUXpr1\pdocep$\DocEP\DOCS\General\RC\RC.dot(17/02/2016 10:46:24)</vt:lpwstr>
  </property>
  <property fmtid="{D5CDD505-2E9C-101B-9397-08002B2CF9AE}" pid="7" name="&lt;ModelTra&gt;">
    <vt:lpwstr>\\eiciLUXpr1\pdocep$\DocEP\TRANSFIL\EN\RC.EN(21/09/2015 06:36:33)</vt:lpwstr>
  </property>
  <property fmtid="{D5CDD505-2E9C-101B-9397-08002B2CF9AE}" pid="8" name="&lt;Model&gt;">
    <vt:lpwstr>RC</vt:lpwstr>
  </property>
  <property fmtid="{D5CDD505-2E9C-101B-9397-08002B2CF9AE}" pid="9" name="FooterPath">
    <vt:lpwstr>RC\1110590SK.docx</vt:lpwstr>
  </property>
  <property fmtid="{D5CDD505-2E9C-101B-9397-08002B2CF9AE}" pid="10" name="Bookout">
    <vt:lpwstr>OK - 2016/11/23 21:20</vt:lpwstr>
  </property>
  <property fmtid="{D5CDD505-2E9C-101B-9397-08002B2CF9AE}" pid="11" name="SubscribeElise">
    <vt:lpwstr/>
  </property>
  <property fmtid="{D5CDD505-2E9C-101B-9397-08002B2CF9AE}" pid="12" name="SDLStudio">
    <vt:lpwstr>YES</vt:lpwstr>
  </property>
  <property fmtid="{D5CDD505-2E9C-101B-9397-08002B2CF9AE}" pid="13" name="&lt;Extension&gt;">
    <vt:lpwstr>SK</vt:lpwstr>
  </property>
</Properties>
</file>