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64FF" w:rsidRPr="00325EB1" w:rsidTr="00EB1022">
        <w:trPr>
          <w:trHeight w:hRule="exact" w:val="1418"/>
        </w:trPr>
        <w:tc>
          <w:tcPr>
            <w:tcW w:w="6804" w:type="dxa"/>
            <w:shd w:val="clear" w:color="auto" w:fill="auto"/>
            <w:vAlign w:val="center"/>
          </w:tcPr>
          <w:p w:rsidR="004864FF" w:rsidRPr="00325EB1" w:rsidRDefault="00B24B4D" w:rsidP="00EB1022">
            <w:pPr>
              <w:pStyle w:val="EPName"/>
              <w:rPr>
                <w:lang w:val="en-GB"/>
              </w:rPr>
            </w:pPr>
            <w:r w:rsidRPr="00325EB1">
              <w:rPr>
                <w:lang w:val="en-GB"/>
              </w:rPr>
              <w:t>European Parliament</w:t>
            </w:r>
          </w:p>
          <w:p w:rsidR="004864FF" w:rsidRPr="00325EB1" w:rsidRDefault="00963D51" w:rsidP="00963D51">
            <w:pPr>
              <w:pStyle w:val="EPTerm"/>
              <w:rPr>
                <w:rStyle w:val="HideTWBExt"/>
                <w:noProof w:val="0"/>
                <w:vanish w:val="0"/>
                <w:color w:val="auto"/>
                <w:lang w:val="en-GB"/>
              </w:rPr>
            </w:pPr>
            <w:r w:rsidRPr="00325EB1">
              <w:rPr>
                <w:lang w:val="en-GB"/>
              </w:rPr>
              <w:t>2014-2019</w:t>
            </w:r>
          </w:p>
        </w:tc>
        <w:tc>
          <w:tcPr>
            <w:tcW w:w="2268" w:type="dxa"/>
            <w:shd w:val="clear" w:color="auto" w:fill="auto"/>
          </w:tcPr>
          <w:p w:rsidR="004864FF" w:rsidRPr="00325EB1" w:rsidRDefault="00877EDE" w:rsidP="00EB1022">
            <w:pPr>
              <w:pStyle w:val="EPLogo"/>
            </w:pPr>
            <w:r w:rsidRPr="00325E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7" o:title="EP logo RGB_Mute"/>
                </v:shape>
              </w:pict>
            </w:r>
          </w:p>
        </w:tc>
      </w:tr>
    </w:tbl>
    <w:p w:rsidR="00C71A3C" w:rsidRPr="00325EB1" w:rsidRDefault="00C71A3C" w:rsidP="00C71A3C">
      <w:pPr>
        <w:pStyle w:val="LineTop"/>
        <w:rPr>
          <w:lang w:val="en-GB"/>
        </w:rPr>
      </w:pPr>
    </w:p>
    <w:p w:rsidR="00C71A3C" w:rsidRPr="00325EB1" w:rsidRDefault="00C71A3C" w:rsidP="00C71A3C">
      <w:pPr>
        <w:pStyle w:val="ZCommittee"/>
        <w:rPr>
          <w:lang w:val="en-GB"/>
        </w:rPr>
      </w:pPr>
      <w:r w:rsidRPr="00325EB1">
        <w:rPr>
          <w:rStyle w:val="HideTWBExt"/>
          <w:noProof w:val="0"/>
          <w:lang w:val="en-GB"/>
        </w:rPr>
        <w:t>&lt;</w:t>
      </w:r>
      <w:r w:rsidRPr="00325EB1">
        <w:rPr>
          <w:rStyle w:val="HideTWBExt"/>
          <w:i w:val="0"/>
          <w:noProof w:val="0"/>
          <w:lang w:val="en-GB"/>
        </w:rPr>
        <w:t>Commission</w:t>
      </w:r>
      <w:r w:rsidRPr="00325EB1">
        <w:rPr>
          <w:rStyle w:val="HideTWBExt"/>
          <w:noProof w:val="0"/>
          <w:lang w:val="en-GB"/>
        </w:rPr>
        <w:t>&gt;</w:t>
      </w:r>
      <w:r w:rsidR="00963D51" w:rsidRPr="00325EB1">
        <w:rPr>
          <w:rStyle w:val="HideTWBInt"/>
          <w:lang w:val="en-GB"/>
        </w:rPr>
        <w:t>{REGI}</w:t>
      </w:r>
      <w:r w:rsidR="00963D51" w:rsidRPr="00325EB1">
        <w:rPr>
          <w:lang w:val="en-GB"/>
        </w:rPr>
        <w:t>Committee on Regional Development</w:t>
      </w:r>
      <w:r w:rsidRPr="00325EB1">
        <w:rPr>
          <w:rStyle w:val="HideTWBExt"/>
          <w:noProof w:val="0"/>
          <w:lang w:val="en-GB"/>
        </w:rPr>
        <w:t>&lt;/</w:t>
      </w:r>
      <w:r w:rsidRPr="00325EB1">
        <w:rPr>
          <w:rStyle w:val="HideTWBExt"/>
          <w:i w:val="0"/>
          <w:noProof w:val="0"/>
          <w:lang w:val="en-GB"/>
        </w:rPr>
        <w:t>Commission</w:t>
      </w:r>
      <w:r w:rsidRPr="00325EB1">
        <w:rPr>
          <w:rStyle w:val="HideTWBExt"/>
          <w:noProof w:val="0"/>
          <w:lang w:val="en-GB"/>
        </w:rPr>
        <w:t>&gt;</w:t>
      </w:r>
    </w:p>
    <w:p w:rsidR="00C71A3C" w:rsidRPr="00325EB1" w:rsidRDefault="00C71A3C" w:rsidP="00C71A3C">
      <w:pPr>
        <w:pStyle w:val="LineBottom"/>
      </w:pPr>
    </w:p>
    <w:p w:rsidR="00ED0821" w:rsidRPr="00325EB1" w:rsidRDefault="00ED0821">
      <w:pPr>
        <w:pStyle w:val="RefProc"/>
      </w:pPr>
      <w:r w:rsidRPr="00325EB1">
        <w:rPr>
          <w:rStyle w:val="HideTWBExt"/>
          <w:b w:val="0"/>
          <w:noProof w:val="0"/>
        </w:rPr>
        <w:t>&lt;</w:t>
      </w:r>
      <w:r w:rsidRPr="00325EB1">
        <w:rPr>
          <w:rStyle w:val="HideTWBExt"/>
          <w:b w:val="0"/>
          <w:caps w:val="0"/>
          <w:noProof w:val="0"/>
        </w:rPr>
        <w:t>RefProc</w:t>
      </w:r>
      <w:r w:rsidRPr="00325EB1">
        <w:rPr>
          <w:rStyle w:val="HideTWBExt"/>
          <w:b w:val="0"/>
          <w:noProof w:val="0"/>
        </w:rPr>
        <w:t>&gt;</w:t>
      </w:r>
      <w:r w:rsidR="00963D51" w:rsidRPr="00325EB1">
        <w:t>2017/0336</w:t>
      </w:r>
      <w:r w:rsidRPr="00325EB1">
        <w:rPr>
          <w:rStyle w:val="HideTWBExt"/>
          <w:b w:val="0"/>
          <w:noProof w:val="0"/>
        </w:rPr>
        <w:t>&lt;/</w:t>
      </w:r>
      <w:r w:rsidRPr="00325EB1">
        <w:rPr>
          <w:rStyle w:val="HideTWBExt"/>
          <w:b w:val="0"/>
          <w:caps w:val="0"/>
          <w:noProof w:val="0"/>
        </w:rPr>
        <w:t>RefProc</w:t>
      </w:r>
      <w:r w:rsidRPr="00325EB1">
        <w:rPr>
          <w:rStyle w:val="HideTWBExt"/>
          <w:b w:val="0"/>
          <w:noProof w:val="0"/>
        </w:rPr>
        <w:t>&gt;&lt;</w:t>
      </w:r>
      <w:r w:rsidRPr="00325EB1">
        <w:rPr>
          <w:rStyle w:val="HideTWBExt"/>
          <w:b w:val="0"/>
          <w:caps w:val="0"/>
          <w:noProof w:val="0"/>
        </w:rPr>
        <w:t>RefTypeProc</w:t>
      </w:r>
      <w:r w:rsidRPr="00325EB1">
        <w:rPr>
          <w:rStyle w:val="HideTWBExt"/>
          <w:b w:val="0"/>
          <w:noProof w:val="0"/>
        </w:rPr>
        <w:t>&gt;</w:t>
      </w:r>
      <w:r w:rsidRPr="00325EB1">
        <w:t>(COD)</w:t>
      </w:r>
      <w:r w:rsidRPr="00325EB1">
        <w:rPr>
          <w:rStyle w:val="HideTWBExt"/>
          <w:b w:val="0"/>
          <w:noProof w:val="0"/>
        </w:rPr>
        <w:t>&lt;/</w:t>
      </w:r>
      <w:r w:rsidRPr="00325EB1">
        <w:rPr>
          <w:rStyle w:val="HideTWBExt"/>
          <w:b w:val="0"/>
          <w:caps w:val="0"/>
          <w:noProof w:val="0"/>
        </w:rPr>
        <w:t>RefTypeProc</w:t>
      </w:r>
      <w:r w:rsidRPr="00325EB1">
        <w:rPr>
          <w:rStyle w:val="HideTWBExt"/>
          <w:b w:val="0"/>
          <w:noProof w:val="0"/>
        </w:rPr>
        <w:t>&gt;</w:t>
      </w:r>
    </w:p>
    <w:p w:rsidR="00ED0821" w:rsidRPr="00325EB1" w:rsidRDefault="00ED0821">
      <w:pPr>
        <w:pStyle w:val="ZDate"/>
        <w:rPr>
          <w:lang w:val="fr-FR"/>
        </w:rPr>
      </w:pPr>
      <w:r w:rsidRPr="00325EB1">
        <w:rPr>
          <w:rStyle w:val="HideTWBExt"/>
          <w:noProof w:val="0"/>
          <w:lang w:val="fr-FR"/>
        </w:rPr>
        <w:t>&lt;Date&gt;</w:t>
      </w:r>
      <w:r w:rsidR="00981701" w:rsidRPr="00325EB1">
        <w:rPr>
          <w:rStyle w:val="HideTWBInt"/>
          <w:lang w:val="fr-FR"/>
        </w:rPr>
        <w:t>{26</w:t>
      </w:r>
      <w:r w:rsidR="00963D51" w:rsidRPr="00325EB1">
        <w:rPr>
          <w:rStyle w:val="HideTWBInt"/>
          <w:lang w:val="fr-FR"/>
        </w:rPr>
        <w:t>/06/2018}</w:t>
      </w:r>
      <w:r w:rsidR="00963D51" w:rsidRPr="00325EB1">
        <w:rPr>
          <w:lang w:val="fr-FR"/>
        </w:rPr>
        <w:t>2</w:t>
      </w:r>
      <w:r w:rsidR="00981701" w:rsidRPr="00325EB1">
        <w:rPr>
          <w:lang w:val="fr-FR"/>
        </w:rPr>
        <w:t>6</w:t>
      </w:r>
      <w:r w:rsidR="00963D51" w:rsidRPr="00325EB1">
        <w:rPr>
          <w:lang w:val="fr-FR"/>
        </w:rPr>
        <w:t>.6.2018</w:t>
      </w:r>
      <w:r w:rsidRPr="00325EB1">
        <w:rPr>
          <w:rStyle w:val="HideTWBExt"/>
          <w:noProof w:val="0"/>
          <w:lang w:val="fr-FR"/>
        </w:rPr>
        <w:t>&lt;/Date&gt;</w:t>
      </w:r>
    </w:p>
    <w:p w:rsidR="00ED0821" w:rsidRPr="00325EB1" w:rsidRDefault="00ED0821">
      <w:pPr>
        <w:pStyle w:val="StarsAndIs"/>
        <w:rPr>
          <w:lang w:val="fr-FR"/>
        </w:rPr>
      </w:pPr>
      <w:r w:rsidRPr="00325EB1">
        <w:rPr>
          <w:rStyle w:val="HideTWBExt"/>
          <w:b w:val="0"/>
          <w:noProof w:val="0"/>
          <w:lang w:val="fr-FR"/>
        </w:rPr>
        <w:t>&lt;RefProcLect&gt;</w:t>
      </w:r>
      <w:r w:rsidRPr="00325EB1">
        <w:rPr>
          <w:lang w:val="fr-FR"/>
        </w:rPr>
        <w:t>***I</w:t>
      </w:r>
      <w:r w:rsidRPr="00325EB1">
        <w:rPr>
          <w:rStyle w:val="HideTWBExt"/>
          <w:b w:val="0"/>
          <w:noProof w:val="0"/>
          <w:lang w:val="fr-FR"/>
        </w:rPr>
        <w:t>&lt;/RefProcLect&gt;</w:t>
      </w:r>
    </w:p>
    <w:p w:rsidR="00ED0821" w:rsidRPr="00325EB1" w:rsidRDefault="00ED0821">
      <w:pPr>
        <w:pStyle w:val="TypeDoc"/>
        <w:rPr>
          <w:lang w:val="fr-FR"/>
        </w:rPr>
      </w:pPr>
      <w:r w:rsidRPr="00325EB1">
        <w:rPr>
          <w:rStyle w:val="HideTWBExt"/>
          <w:b w:val="0"/>
          <w:noProof w:val="0"/>
          <w:lang w:val="fr-FR"/>
        </w:rPr>
        <w:t>&lt;TitreType&gt;</w:t>
      </w:r>
      <w:r w:rsidR="00B24B4D" w:rsidRPr="00325EB1">
        <w:rPr>
          <w:lang w:val="fr-FR"/>
        </w:rPr>
        <w:t>DRAFT REPORT</w:t>
      </w:r>
      <w:r w:rsidRPr="00325EB1">
        <w:rPr>
          <w:rStyle w:val="HideTWBExt"/>
          <w:b w:val="0"/>
          <w:noProof w:val="0"/>
          <w:lang w:val="fr-FR"/>
        </w:rPr>
        <w:t>&lt;/TitreType&gt;</w:t>
      </w:r>
    </w:p>
    <w:p w:rsidR="00ED0821" w:rsidRPr="00325EB1" w:rsidRDefault="00ED0821" w:rsidP="00963D51">
      <w:pPr>
        <w:pStyle w:val="CoverNormal"/>
      </w:pPr>
      <w:r w:rsidRPr="00325EB1">
        <w:rPr>
          <w:rStyle w:val="HideTWBExt"/>
          <w:noProof w:val="0"/>
        </w:rPr>
        <w:t>&lt;Titre&gt;</w:t>
      </w:r>
      <w:r w:rsidR="00B24B4D" w:rsidRPr="00325EB1">
        <w:t xml:space="preserve">on the proposal for a </w:t>
      </w:r>
      <w:r w:rsidR="00963D51" w:rsidRPr="00325EB1">
        <w:t>regulation</w:t>
      </w:r>
      <w:r w:rsidR="00B24B4D" w:rsidRPr="00325EB1">
        <w:t xml:space="preserve"> of the European Parliament and of the Council </w:t>
      </w:r>
      <w:r w:rsidR="00963D51" w:rsidRPr="00325EB1">
        <w:t>amending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w:t>
      </w:r>
      <w:bookmarkStart w:id="0" w:name="_GoBack"/>
      <w:bookmarkEnd w:id="0"/>
      <w:r w:rsidR="00963D51" w:rsidRPr="00325EB1">
        <w:t xml:space="preserve"> laying down general provisions on the European Regional Development Fund, the European Social Fund, the Cohesion Fund and the European Maritime and Fisheries Fund and repealing Council Regulation (EC) No 1083/2006 as regards support to structural reforms in Member States</w:t>
      </w:r>
      <w:r w:rsidRPr="00325EB1">
        <w:rPr>
          <w:rStyle w:val="HideTWBExt"/>
          <w:noProof w:val="0"/>
        </w:rPr>
        <w:t>&lt;/Titre&gt;</w:t>
      </w:r>
    </w:p>
    <w:p w:rsidR="00ED0821" w:rsidRPr="00325EB1" w:rsidRDefault="00ED0821">
      <w:pPr>
        <w:pStyle w:val="Cover24"/>
        <w:rPr>
          <w:lang w:val="pt-PT"/>
        </w:rPr>
      </w:pPr>
      <w:r w:rsidRPr="00325EB1">
        <w:rPr>
          <w:rStyle w:val="HideTWBExt"/>
          <w:noProof w:val="0"/>
          <w:lang w:val="pt-PT"/>
        </w:rPr>
        <w:t>&lt;DocRef&gt;</w:t>
      </w:r>
      <w:r w:rsidR="00B24B4D" w:rsidRPr="00325EB1">
        <w:rPr>
          <w:lang w:val="pt-PT"/>
        </w:rPr>
        <w:t>(COM</w:t>
      </w:r>
      <w:r w:rsidR="00963D51" w:rsidRPr="00325EB1">
        <w:rPr>
          <w:lang w:val="pt-PT"/>
        </w:rPr>
        <w:t>(2017)0826</w:t>
      </w:r>
      <w:r w:rsidR="00B24B4D" w:rsidRPr="00325EB1">
        <w:rPr>
          <w:lang w:val="pt-PT"/>
        </w:rPr>
        <w:t xml:space="preserve"> </w:t>
      </w:r>
      <w:r w:rsidR="00963D51" w:rsidRPr="00325EB1">
        <w:rPr>
          <w:lang w:val="pt-PT"/>
        </w:rPr>
        <w:t>–</w:t>
      </w:r>
      <w:r w:rsidR="00B24B4D" w:rsidRPr="00325EB1">
        <w:rPr>
          <w:lang w:val="pt-PT"/>
        </w:rPr>
        <w:t xml:space="preserve"> </w:t>
      </w:r>
      <w:r w:rsidR="00963D51" w:rsidRPr="00325EB1">
        <w:rPr>
          <w:lang w:val="pt-PT"/>
        </w:rPr>
        <w:t>C8</w:t>
      </w:r>
      <w:r w:rsidR="00963D51" w:rsidRPr="00325EB1">
        <w:rPr>
          <w:lang w:val="pt-PT"/>
        </w:rPr>
        <w:noBreakHyphen/>
        <w:t>0432/2017</w:t>
      </w:r>
      <w:r w:rsidR="00B24B4D" w:rsidRPr="00325EB1">
        <w:rPr>
          <w:lang w:val="pt-PT"/>
        </w:rPr>
        <w:t xml:space="preserve"> </w:t>
      </w:r>
      <w:r w:rsidR="00963D51" w:rsidRPr="00325EB1">
        <w:rPr>
          <w:lang w:val="pt-PT"/>
        </w:rPr>
        <w:t>–</w:t>
      </w:r>
      <w:r w:rsidR="00B24B4D" w:rsidRPr="00325EB1">
        <w:rPr>
          <w:lang w:val="pt-PT"/>
        </w:rPr>
        <w:t xml:space="preserve"> </w:t>
      </w:r>
      <w:r w:rsidR="00963D51" w:rsidRPr="00325EB1">
        <w:rPr>
          <w:lang w:val="pt-PT"/>
        </w:rPr>
        <w:t>2017/0336</w:t>
      </w:r>
      <w:r w:rsidR="00B24B4D" w:rsidRPr="00325EB1">
        <w:rPr>
          <w:lang w:val="pt-PT"/>
        </w:rPr>
        <w:t>(COD))</w:t>
      </w:r>
      <w:r w:rsidRPr="00325EB1">
        <w:rPr>
          <w:rStyle w:val="HideTWBExt"/>
          <w:noProof w:val="0"/>
          <w:lang w:val="pt-PT"/>
        </w:rPr>
        <w:t>&lt;/DocRef&gt;</w:t>
      </w:r>
    </w:p>
    <w:p w:rsidR="00ED0821" w:rsidRPr="00325EB1" w:rsidRDefault="00ED0821">
      <w:pPr>
        <w:pStyle w:val="Cover24"/>
      </w:pPr>
      <w:r w:rsidRPr="00325EB1">
        <w:rPr>
          <w:rStyle w:val="HideTWBExt"/>
          <w:noProof w:val="0"/>
        </w:rPr>
        <w:t>&lt;Commission&gt;</w:t>
      </w:r>
      <w:r w:rsidR="00963D51" w:rsidRPr="00325EB1">
        <w:rPr>
          <w:rStyle w:val="HideTWBInt"/>
        </w:rPr>
        <w:t>{REGI}</w:t>
      </w:r>
      <w:r w:rsidR="00963D51" w:rsidRPr="00325EB1">
        <w:t>Committee on Regional Development</w:t>
      </w:r>
      <w:r w:rsidRPr="00325EB1">
        <w:rPr>
          <w:rStyle w:val="HideTWBExt"/>
          <w:noProof w:val="0"/>
        </w:rPr>
        <w:t>&lt;/Commission&gt;</w:t>
      </w:r>
    </w:p>
    <w:p w:rsidR="00ED0821" w:rsidRPr="00325EB1" w:rsidRDefault="00B24B4D">
      <w:pPr>
        <w:pStyle w:val="Cover24"/>
      </w:pPr>
      <w:r w:rsidRPr="00325EB1">
        <w:t>Rapporteur</w:t>
      </w:r>
      <w:r w:rsidR="00981701" w:rsidRPr="00325EB1">
        <w:t>s</w:t>
      </w:r>
      <w:r w:rsidRPr="00325EB1">
        <w:t>:</w:t>
      </w:r>
      <w:r w:rsidR="00ED0821" w:rsidRPr="00325EB1">
        <w:t xml:space="preserve"> </w:t>
      </w:r>
      <w:r w:rsidR="00ED0821" w:rsidRPr="00325EB1">
        <w:rPr>
          <w:rStyle w:val="HideTWBExt"/>
          <w:noProof w:val="0"/>
        </w:rPr>
        <w:t>&lt;Depute&gt;</w:t>
      </w:r>
      <w:r w:rsidR="00963D51" w:rsidRPr="00325EB1">
        <w:t xml:space="preserve"> Lambert van Nistelrooij</w:t>
      </w:r>
      <w:r w:rsidR="007A68D8" w:rsidRPr="00325EB1">
        <w:t xml:space="preserve">, Constanze Krehl </w:t>
      </w:r>
      <w:r w:rsidR="00ED0821" w:rsidRPr="00325EB1">
        <w:rPr>
          <w:rStyle w:val="HideTWBExt"/>
          <w:noProof w:val="0"/>
        </w:rPr>
        <w:t>&lt;/Depute&gt;</w:t>
      </w:r>
    </w:p>
    <w:p w:rsidR="00ED0821" w:rsidRPr="00325EB1" w:rsidRDefault="00ED0821" w:rsidP="004864FF">
      <w:pPr>
        <w:widowControl/>
        <w:tabs>
          <w:tab w:val="center" w:pos="4677"/>
        </w:tabs>
      </w:pPr>
      <w:r w:rsidRPr="00325EB1">
        <w:br w:type="page"/>
      </w:r>
    </w:p>
    <w:p w:rsidR="00963D51" w:rsidRPr="00325EB1" w:rsidRDefault="00DF5BE5">
      <w:r w:rsidRPr="00325EB1">
        <w:fldChar w:fldCharType="begin"/>
      </w:r>
      <w:r w:rsidRPr="00325EB1">
        <w:instrText xml:space="preserve"> TITLE  \* MERGEFORMAT </w:instrText>
      </w:r>
      <w:r w:rsidRPr="00325EB1">
        <w:fldChar w:fldCharType="separate"/>
      </w:r>
      <w:r w:rsidR="002748B0">
        <w:t>PR_COD_1rej</w:t>
      </w:r>
      <w:r w:rsidRPr="00325EB1">
        <w:fldChar w:fldCharType="end"/>
      </w:r>
    </w:p>
    <w:p w:rsidR="00963D51" w:rsidRPr="00325EB1" w:rsidRDefault="00963D51"/>
    <w:p w:rsidR="00963D51" w:rsidRPr="00325EB1" w:rsidRDefault="00963D5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63D51" w:rsidRPr="00325EB1">
        <w:tc>
          <w:tcPr>
            <w:tcW w:w="5811" w:type="dxa"/>
          </w:tcPr>
          <w:p w:rsidR="00963D51" w:rsidRPr="00325EB1" w:rsidRDefault="00963D51">
            <w:pPr>
              <w:pStyle w:val="Lgendetitre"/>
              <w:rPr>
                <w:lang w:val="en-GB"/>
              </w:rPr>
            </w:pPr>
            <w:r w:rsidRPr="00325EB1">
              <w:rPr>
                <w:lang w:val="en-GB"/>
              </w:rPr>
              <w:t>Symbols for procedures</w:t>
            </w:r>
          </w:p>
        </w:tc>
      </w:tr>
      <w:tr w:rsidR="00963D51" w:rsidRPr="00325EB1" w:rsidTr="00C50C36">
        <w:trPr>
          <w:cantSplit/>
          <w:trHeight w:val="1944"/>
        </w:trPr>
        <w:tc>
          <w:tcPr>
            <w:tcW w:w="5811" w:type="dxa"/>
            <w:tcBorders>
              <w:bottom w:val="single" w:sz="4" w:space="0" w:color="auto"/>
            </w:tcBorders>
          </w:tcPr>
          <w:p w:rsidR="00963D51" w:rsidRPr="00325EB1" w:rsidRDefault="00963D51">
            <w:pPr>
              <w:pStyle w:val="Lgendesigne"/>
              <w:rPr>
                <w:lang w:val="en-GB"/>
              </w:rPr>
            </w:pPr>
            <w:r w:rsidRPr="00325EB1">
              <w:rPr>
                <w:lang w:val="en-GB"/>
              </w:rPr>
              <w:tab/>
              <w:t>*</w:t>
            </w:r>
            <w:r w:rsidRPr="00325EB1">
              <w:rPr>
                <w:lang w:val="en-GB"/>
              </w:rPr>
              <w:tab/>
              <w:t>Consultation procedure</w:t>
            </w:r>
          </w:p>
          <w:p w:rsidR="00963D51" w:rsidRPr="00325EB1" w:rsidRDefault="00963D51">
            <w:pPr>
              <w:pStyle w:val="Lgendesigne"/>
              <w:rPr>
                <w:lang w:val="en-GB"/>
              </w:rPr>
            </w:pPr>
            <w:r w:rsidRPr="00325EB1">
              <w:rPr>
                <w:lang w:val="en-GB"/>
              </w:rPr>
              <w:tab/>
              <w:t>***</w:t>
            </w:r>
            <w:r w:rsidRPr="00325EB1">
              <w:rPr>
                <w:lang w:val="en-GB"/>
              </w:rPr>
              <w:tab/>
              <w:t>Consent procedure</w:t>
            </w:r>
          </w:p>
          <w:p w:rsidR="00963D51" w:rsidRPr="00325EB1" w:rsidRDefault="00963D51">
            <w:pPr>
              <w:pStyle w:val="Lgendesigne"/>
              <w:rPr>
                <w:lang w:val="en-GB"/>
              </w:rPr>
            </w:pPr>
            <w:r w:rsidRPr="00325EB1">
              <w:rPr>
                <w:lang w:val="en-GB"/>
              </w:rPr>
              <w:tab/>
              <w:t>***I</w:t>
            </w:r>
            <w:r w:rsidRPr="00325EB1">
              <w:rPr>
                <w:lang w:val="en-GB"/>
              </w:rPr>
              <w:tab/>
              <w:t>Ordinary legislative procedure (first reading)</w:t>
            </w:r>
          </w:p>
          <w:p w:rsidR="00963D51" w:rsidRPr="00325EB1" w:rsidRDefault="00963D51">
            <w:pPr>
              <w:pStyle w:val="Lgendesigne"/>
              <w:rPr>
                <w:lang w:val="en-GB"/>
              </w:rPr>
            </w:pPr>
            <w:r w:rsidRPr="00325EB1">
              <w:rPr>
                <w:lang w:val="en-GB"/>
              </w:rPr>
              <w:tab/>
              <w:t>***II</w:t>
            </w:r>
            <w:r w:rsidRPr="00325EB1">
              <w:rPr>
                <w:lang w:val="en-GB"/>
              </w:rPr>
              <w:tab/>
              <w:t>Ordinary legislative procedure (second reading)</w:t>
            </w:r>
          </w:p>
          <w:p w:rsidR="00963D51" w:rsidRPr="00325EB1" w:rsidRDefault="00963D51">
            <w:pPr>
              <w:pStyle w:val="Lgendesigne"/>
              <w:rPr>
                <w:lang w:val="en-GB"/>
              </w:rPr>
            </w:pPr>
            <w:r w:rsidRPr="00325EB1">
              <w:rPr>
                <w:lang w:val="en-GB"/>
              </w:rPr>
              <w:tab/>
              <w:t>***III</w:t>
            </w:r>
            <w:r w:rsidRPr="00325EB1">
              <w:rPr>
                <w:lang w:val="en-GB"/>
              </w:rPr>
              <w:tab/>
              <w:t>Ordinary legislative procedure (third reading)</w:t>
            </w:r>
          </w:p>
          <w:p w:rsidR="00963D51" w:rsidRPr="00325EB1" w:rsidRDefault="00963D51">
            <w:pPr>
              <w:pStyle w:val="Lgendesigne"/>
              <w:ind w:left="0" w:firstLine="0"/>
              <w:rPr>
                <w:lang w:val="en-GB"/>
              </w:rPr>
            </w:pPr>
          </w:p>
          <w:p w:rsidR="00963D51" w:rsidRPr="00325EB1" w:rsidRDefault="00963D51">
            <w:pPr>
              <w:pStyle w:val="Lgendestandard"/>
              <w:rPr>
                <w:lang w:val="en-GB"/>
              </w:rPr>
            </w:pPr>
            <w:r w:rsidRPr="00325EB1">
              <w:rPr>
                <w:lang w:val="en-GB"/>
              </w:rPr>
              <w:t>(The type of procedure depends on the legal basis proposed by the draft act.)</w:t>
            </w:r>
          </w:p>
          <w:p w:rsidR="00963D51" w:rsidRPr="00325EB1" w:rsidRDefault="00963D51">
            <w:pPr>
              <w:pStyle w:val="Lgendesigne"/>
              <w:ind w:left="0" w:firstLine="0"/>
              <w:rPr>
                <w:lang w:val="en-GB"/>
              </w:rPr>
            </w:pPr>
          </w:p>
        </w:tc>
      </w:tr>
    </w:tbl>
    <w:p w:rsidR="00963D51" w:rsidRPr="00325EB1" w:rsidRDefault="00963D51"/>
    <w:p w:rsidR="00963D51" w:rsidRPr="00325EB1" w:rsidRDefault="00963D51"/>
    <w:p w:rsidR="00963D51" w:rsidRPr="00325EB1" w:rsidRDefault="00963D51"/>
    <w:p w:rsidR="00963D51" w:rsidRPr="00325EB1" w:rsidRDefault="00963D51"/>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63D51" w:rsidRPr="00325EB1">
        <w:tc>
          <w:tcPr>
            <w:tcW w:w="5811" w:type="dxa"/>
          </w:tcPr>
          <w:p w:rsidR="00963D51" w:rsidRPr="00325EB1" w:rsidRDefault="00963D51">
            <w:pPr>
              <w:pStyle w:val="Lgendetitre"/>
              <w:rPr>
                <w:lang w:val="en-GB"/>
              </w:rPr>
            </w:pPr>
            <w:r w:rsidRPr="00325EB1">
              <w:rPr>
                <w:lang w:val="en-GB"/>
              </w:rPr>
              <w:t>Amendments to a draft act</w:t>
            </w:r>
          </w:p>
        </w:tc>
      </w:tr>
      <w:tr w:rsidR="00963D51" w:rsidRPr="00325EB1">
        <w:tc>
          <w:tcPr>
            <w:tcW w:w="5811" w:type="dxa"/>
          </w:tcPr>
          <w:p w:rsidR="00963D51" w:rsidRPr="00325EB1" w:rsidRDefault="00963D51" w:rsidP="00A55AC8">
            <w:pPr>
              <w:pStyle w:val="Lgendestandard"/>
              <w:rPr>
                <w:szCs w:val="24"/>
                <w:lang w:val="en-GB"/>
              </w:rPr>
            </w:pPr>
            <w:r w:rsidRPr="00325EB1">
              <w:rPr>
                <w:b/>
                <w:szCs w:val="24"/>
                <w:lang w:val="en-GB"/>
              </w:rPr>
              <w:t>Amendments by Parliament set out in two columns</w:t>
            </w:r>
          </w:p>
          <w:p w:rsidR="00963D51" w:rsidRPr="00325EB1" w:rsidRDefault="00963D51" w:rsidP="00A55AC8">
            <w:pPr>
              <w:pStyle w:val="Lgendestandard"/>
              <w:rPr>
                <w:szCs w:val="24"/>
                <w:lang w:val="en-GB"/>
              </w:rPr>
            </w:pPr>
          </w:p>
          <w:p w:rsidR="00963D51" w:rsidRPr="00325EB1" w:rsidRDefault="00963D51" w:rsidP="00A55AC8">
            <w:pPr>
              <w:pStyle w:val="Lgendestandard"/>
              <w:rPr>
                <w:szCs w:val="24"/>
                <w:lang w:val="en-GB"/>
              </w:rPr>
            </w:pPr>
            <w:r w:rsidRPr="00325EB1">
              <w:rPr>
                <w:szCs w:val="24"/>
                <w:lang w:val="en-GB"/>
              </w:rPr>
              <w:t xml:space="preserve">Deletions are indicated in </w:t>
            </w:r>
            <w:r w:rsidRPr="00325EB1">
              <w:rPr>
                <w:b/>
                <w:i/>
                <w:szCs w:val="24"/>
                <w:lang w:val="en-GB"/>
              </w:rPr>
              <w:t>bold italics</w:t>
            </w:r>
            <w:r w:rsidRPr="00325EB1">
              <w:rPr>
                <w:szCs w:val="24"/>
                <w:lang w:val="en-GB"/>
              </w:rPr>
              <w:t xml:space="preserve"> in the left-hand column. Replacements are indicated in </w:t>
            </w:r>
            <w:r w:rsidRPr="00325EB1">
              <w:rPr>
                <w:b/>
                <w:i/>
                <w:szCs w:val="24"/>
                <w:lang w:val="en-GB"/>
              </w:rPr>
              <w:t>bold italics</w:t>
            </w:r>
            <w:r w:rsidRPr="00325EB1">
              <w:rPr>
                <w:szCs w:val="24"/>
                <w:lang w:val="en-GB"/>
              </w:rPr>
              <w:t xml:space="preserve"> in both columns. New text is indicated in </w:t>
            </w:r>
            <w:r w:rsidRPr="00325EB1">
              <w:rPr>
                <w:b/>
                <w:i/>
                <w:szCs w:val="24"/>
                <w:lang w:val="en-GB"/>
              </w:rPr>
              <w:t>bold italics</w:t>
            </w:r>
            <w:r w:rsidRPr="00325EB1">
              <w:rPr>
                <w:szCs w:val="24"/>
                <w:lang w:val="en-GB"/>
              </w:rPr>
              <w:t xml:space="preserve"> in the right-hand column.</w:t>
            </w:r>
          </w:p>
          <w:p w:rsidR="00963D51" w:rsidRPr="00325EB1" w:rsidRDefault="00963D51" w:rsidP="00A55AC8">
            <w:pPr>
              <w:pStyle w:val="Lgendestandard"/>
              <w:rPr>
                <w:szCs w:val="24"/>
                <w:lang w:val="en-GB"/>
              </w:rPr>
            </w:pPr>
          </w:p>
          <w:p w:rsidR="00963D51" w:rsidRPr="00325EB1" w:rsidRDefault="00963D51" w:rsidP="00A55AC8">
            <w:pPr>
              <w:pStyle w:val="Lgendestandard"/>
              <w:rPr>
                <w:szCs w:val="24"/>
                <w:lang w:val="en-GB"/>
              </w:rPr>
            </w:pPr>
            <w:r w:rsidRPr="00325EB1">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963D51" w:rsidRPr="00325EB1" w:rsidRDefault="00963D51" w:rsidP="00A55AC8">
            <w:pPr>
              <w:pStyle w:val="Lgendestandard"/>
              <w:rPr>
                <w:szCs w:val="24"/>
                <w:lang w:val="en-GB"/>
              </w:rPr>
            </w:pPr>
          </w:p>
          <w:p w:rsidR="00963D51" w:rsidRPr="00325EB1" w:rsidRDefault="00963D51" w:rsidP="00A55AC8">
            <w:pPr>
              <w:pStyle w:val="Lgendestandard"/>
              <w:rPr>
                <w:b/>
                <w:szCs w:val="24"/>
                <w:lang w:val="en-GB"/>
              </w:rPr>
            </w:pPr>
            <w:r w:rsidRPr="00325EB1">
              <w:rPr>
                <w:b/>
                <w:szCs w:val="24"/>
                <w:lang w:val="en-GB"/>
              </w:rPr>
              <w:t>Amendments by Parliament in the form of a consolidated text</w:t>
            </w:r>
          </w:p>
          <w:p w:rsidR="00963D51" w:rsidRPr="00325EB1" w:rsidRDefault="00963D51" w:rsidP="00A55AC8">
            <w:pPr>
              <w:pStyle w:val="Lgendestandard"/>
              <w:rPr>
                <w:szCs w:val="24"/>
                <w:lang w:val="en-GB"/>
              </w:rPr>
            </w:pPr>
          </w:p>
          <w:p w:rsidR="00963D51" w:rsidRPr="00325EB1" w:rsidRDefault="00963D51" w:rsidP="00A55AC8">
            <w:pPr>
              <w:pStyle w:val="Lgendestandard"/>
              <w:rPr>
                <w:szCs w:val="24"/>
                <w:lang w:val="en-GB"/>
              </w:rPr>
            </w:pPr>
            <w:r w:rsidRPr="00325EB1">
              <w:rPr>
                <w:szCs w:val="24"/>
                <w:lang w:val="en-GB"/>
              </w:rPr>
              <w:t xml:space="preserve">New text is highlighted in </w:t>
            </w:r>
            <w:r w:rsidRPr="00325EB1">
              <w:rPr>
                <w:b/>
                <w:i/>
                <w:szCs w:val="24"/>
                <w:lang w:val="en-GB"/>
              </w:rPr>
              <w:t>bold italics</w:t>
            </w:r>
            <w:r w:rsidRPr="00325EB1">
              <w:rPr>
                <w:szCs w:val="24"/>
                <w:lang w:val="en-GB"/>
              </w:rPr>
              <w:t xml:space="preserve">. Deletions are indicated using either the ▌symbol or strikeout. Replacements are indicated by highlighting the new text in </w:t>
            </w:r>
            <w:r w:rsidRPr="00325EB1">
              <w:rPr>
                <w:b/>
                <w:i/>
                <w:szCs w:val="24"/>
                <w:lang w:val="en-GB"/>
              </w:rPr>
              <w:t>bold italics</w:t>
            </w:r>
            <w:r w:rsidRPr="00325EB1">
              <w:rPr>
                <w:szCs w:val="24"/>
                <w:lang w:val="en-GB"/>
              </w:rPr>
              <w:t xml:space="preserve"> and by deleting or striking out the text that has been replaced. </w:t>
            </w:r>
          </w:p>
          <w:p w:rsidR="00963D51" w:rsidRPr="00325EB1" w:rsidRDefault="00963D51" w:rsidP="00A55AC8">
            <w:pPr>
              <w:pStyle w:val="Lgendestandard"/>
              <w:rPr>
                <w:szCs w:val="24"/>
                <w:lang w:val="en-GB"/>
              </w:rPr>
            </w:pPr>
            <w:r w:rsidRPr="00325EB1">
              <w:rPr>
                <w:szCs w:val="24"/>
                <w:lang w:val="en-GB"/>
              </w:rPr>
              <w:t>By way of exception, purely technical changes made by the drafting departments in preparing the final text are not highlighted.</w:t>
            </w:r>
          </w:p>
          <w:p w:rsidR="00963D51" w:rsidRPr="00325EB1" w:rsidRDefault="00963D51">
            <w:pPr>
              <w:pStyle w:val="Lgendestandard"/>
              <w:rPr>
                <w:lang w:val="en-GB"/>
              </w:rPr>
            </w:pPr>
          </w:p>
        </w:tc>
      </w:tr>
    </w:tbl>
    <w:p w:rsidR="00963D51" w:rsidRPr="00325EB1" w:rsidRDefault="00963D51"/>
    <w:p w:rsidR="00ED0821" w:rsidRPr="00325EB1" w:rsidRDefault="00ED0821" w:rsidP="004864FF">
      <w:pPr>
        <w:widowControl/>
        <w:tabs>
          <w:tab w:val="center" w:pos="4677"/>
        </w:tabs>
      </w:pPr>
    </w:p>
    <w:p w:rsidR="00ED0821" w:rsidRPr="00325EB1" w:rsidRDefault="00ED0821">
      <w:pPr>
        <w:pStyle w:val="TOCHeading"/>
        <w:rPr>
          <w:lang w:val="fr-FR"/>
        </w:rPr>
      </w:pPr>
      <w:r w:rsidRPr="00325EB1">
        <w:rPr>
          <w:lang w:val="fr-FR"/>
        </w:rPr>
        <w:br w:type="page"/>
      </w:r>
      <w:r w:rsidR="00B24B4D" w:rsidRPr="00325EB1">
        <w:rPr>
          <w:lang w:val="fr-FR"/>
        </w:rPr>
        <w:lastRenderedPageBreak/>
        <w:t>CONTENTS</w:t>
      </w:r>
    </w:p>
    <w:p w:rsidR="00ED0821" w:rsidRPr="00325EB1" w:rsidRDefault="00B24B4D">
      <w:pPr>
        <w:pStyle w:val="TOCPage"/>
        <w:rPr>
          <w:lang w:val="fr-FR"/>
        </w:rPr>
      </w:pPr>
      <w:r w:rsidRPr="00325EB1">
        <w:rPr>
          <w:lang w:val="fr-FR"/>
        </w:rPr>
        <w:t>Page</w:t>
      </w:r>
    </w:p>
    <w:p w:rsidR="002748B0" w:rsidRDefault="00ED0821">
      <w:pPr>
        <w:pStyle w:val="TOC1"/>
        <w:tabs>
          <w:tab w:val="right" w:leader="dot" w:pos="9060"/>
        </w:tabs>
        <w:rPr>
          <w:rFonts w:asciiTheme="minorHAnsi" w:eastAsiaTheme="minorEastAsia" w:hAnsiTheme="minorHAnsi" w:cstheme="minorBidi"/>
          <w:noProof/>
          <w:sz w:val="22"/>
          <w:szCs w:val="22"/>
        </w:rPr>
      </w:pPr>
      <w:r w:rsidRPr="00325EB1">
        <w:rPr>
          <w:b/>
        </w:rPr>
        <w:fldChar w:fldCharType="begin"/>
      </w:r>
      <w:r w:rsidRPr="00325EB1">
        <w:rPr>
          <w:b/>
        </w:rPr>
        <w:instrText xml:space="preserve"> TOC \t "PageHeading</w:instrText>
      </w:r>
      <w:r w:rsidR="00C06F3D" w:rsidRPr="00325EB1">
        <w:rPr>
          <w:b/>
        </w:rPr>
        <w:instrText>;</w:instrText>
      </w:r>
      <w:r w:rsidRPr="00325EB1">
        <w:rPr>
          <w:b/>
        </w:rPr>
        <w:instrText xml:space="preserve">1" </w:instrText>
      </w:r>
      <w:r w:rsidRPr="00325EB1">
        <w:rPr>
          <w:b/>
        </w:rPr>
        <w:fldChar w:fldCharType="separate"/>
      </w:r>
      <w:r w:rsidR="002748B0">
        <w:rPr>
          <w:noProof/>
        </w:rPr>
        <w:t>DRAFT EUROPEAN PARLIAMENT LEGISLATIVE RESOLUTION</w:t>
      </w:r>
      <w:r w:rsidR="002748B0">
        <w:rPr>
          <w:noProof/>
        </w:rPr>
        <w:tab/>
      </w:r>
      <w:r w:rsidR="002748B0">
        <w:rPr>
          <w:noProof/>
        </w:rPr>
        <w:fldChar w:fldCharType="begin"/>
      </w:r>
      <w:r w:rsidR="002748B0">
        <w:rPr>
          <w:noProof/>
        </w:rPr>
        <w:instrText xml:space="preserve"> PAGEREF _Toc517801544 \h </w:instrText>
      </w:r>
      <w:r w:rsidR="002748B0">
        <w:rPr>
          <w:noProof/>
        </w:rPr>
      </w:r>
      <w:r w:rsidR="002748B0">
        <w:rPr>
          <w:noProof/>
        </w:rPr>
        <w:fldChar w:fldCharType="separate"/>
      </w:r>
      <w:r w:rsidR="002748B0">
        <w:rPr>
          <w:noProof/>
        </w:rPr>
        <w:t>5</w:t>
      </w:r>
      <w:r w:rsidR="002748B0">
        <w:rPr>
          <w:noProof/>
        </w:rPr>
        <w:fldChar w:fldCharType="end"/>
      </w:r>
    </w:p>
    <w:p w:rsidR="002748B0" w:rsidRDefault="002748B0">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_Toc517801545 \h </w:instrText>
      </w:r>
      <w:r>
        <w:rPr>
          <w:noProof/>
        </w:rPr>
      </w:r>
      <w:r>
        <w:rPr>
          <w:noProof/>
        </w:rPr>
        <w:fldChar w:fldCharType="separate"/>
      </w:r>
      <w:r>
        <w:rPr>
          <w:noProof/>
        </w:rPr>
        <w:t>6</w:t>
      </w:r>
      <w:r>
        <w:rPr>
          <w:noProof/>
        </w:rPr>
        <w:fldChar w:fldCharType="end"/>
      </w:r>
    </w:p>
    <w:p w:rsidR="00ED0821" w:rsidRPr="00325EB1" w:rsidRDefault="00ED0821" w:rsidP="001A06D8">
      <w:r w:rsidRPr="00325EB1">
        <w:fldChar w:fldCharType="end"/>
      </w:r>
    </w:p>
    <w:p w:rsidR="001A06D8" w:rsidRPr="00325EB1" w:rsidRDefault="001A06D8" w:rsidP="001A06D8"/>
    <w:p w:rsidR="001A06D8" w:rsidRPr="00325EB1" w:rsidRDefault="001A06D8">
      <w:pPr>
        <w:pStyle w:val="PageHeading"/>
      </w:pPr>
    </w:p>
    <w:p w:rsidR="00ED0821" w:rsidRPr="00325EB1" w:rsidRDefault="00ED0821">
      <w:pPr>
        <w:pStyle w:val="PageHeading"/>
      </w:pPr>
      <w:r w:rsidRPr="00325EB1">
        <w:br w:type="page"/>
      </w:r>
      <w:r w:rsidRPr="00325EB1">
        <w:lastRenderedPageBreak/>
        <w:br w:type="page"/>
      </w:r>
      <w:bookmarkStart w:id="1" w:name="_Toc517801544"/>
      <w:r w:rsidR="00B24B4D" w:rsidRPr="00325EB1">
        <w:lastRenderedPageBreak/>
        <w:t>DRAFT EUROPEAN PARLIAMENT LEGISLATIVE RESOLUTION</w:t>
      </w:r>
      <w:bookmarkEnd w:id="1"/>
    </w:p>
    <w:p w:rsidR="00ED0821" w:rsidRPr="00325EB1" w:rsidRDefault="00B24B4D">
      <w:pPr>
        <w:pStyle w:val="NormalBold"/>
      </w:pPr>
      <w:r w:rsidRPr="00325EB1">
        <w:t xml:space="preserve">on the proposal for a </w:t>
      </w:r>
      <w:r w:rsidR="00963D51" w:rsidRPr="00325EB1">
        <w:t>regulation</w:t>
      </w:r>
      <w:r w:rsidRPr="00325EB1">
        <w:t xml:space="preserve"> of the European Parliament and of the Council </w:t>
      </w:r>
      <w:r w:rsidR="00963D51" w:rsidRPr="00325EB1">
        <w:t>amending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as regards support to structural reforms in Member States</w:t>
      </w:r>
    </w:p>
    <w:p w:rsidR="00ED0821" w:rsidRPr="00325EB1" w:rsidRDefault="00B24B4D">
      <w:pPr>
        <w:pStyle w:val="Normal12Bold"/>
      </w:pPr>
      <w:r w:rsidRPr="00325EB1">
        <w:t>(COM</w:t>
      </w:r>
      <w:r w:rsidR="00963D51" w:rsidRPr="00325EB1">
        <w:t>(2017)0826</w:t>
      </w:r>
      <w:r w:rsidRPr="00325EB1">
        <w:t xml:space="preserve"> </w:t>
      </w:r>
      <w:r w:rsidR="00963D51" w:rsidRPr="00325EB1">
        <w:t>–</w:t>
      </w:r>
      <w:r w:rsidRPr="00325EB1">
        <w:t xml:space="preserve"> </w:t>
      </w:r>
      <w:r w:rsidR="00963D51" w:rsidRPr="00325EB1">
        <w:t>C8</w:t>
      </w:r>
      <w:r w:rsidR="00963D51" w:rsidRPr="00325EB1">
        <w:noBreakHyphen/>
        <w:t>0432/2017</w:t>
      </w:r>
      <w:r w:rsidRPr="00325EB1">
        <w:t xml:space="preserve"> </w:t>
      </w:r>
      <w:r w:rsidR="00963D51" w:rsidRPr="00325EB1">
        <w:t>–</w:t>
      </w:r>
      <w:r w:rsidRPr="00325EB1">
        <w:t xml:space="preserve"> </w:t>
      </w:r>
      <w:r w:rsidR="00963D51" w:rsidRPr="00325EB1">
        <w:t>2017/0336</w:t>
      </w:r>
      <w:r w:rsidRPr="00325EB1">
        <w:t>(COD))</w:t>
      </w:r>
    </w:p>
    <w:p w:rsidR="00ED0821" w:rsidRPr="00325EB1" w:rsidRDefault="00B24B4D">
      <w:pPr>
        <w:pStyle w:val="Normal12Bold"/>
      </w:pPr>
      <w:r w:rsidRPr="00325EB1">
        <w:t>(Ordinary legislative procedure: first reading)</w:t>
      </w:r>
    </w:p>
    <w:p w:rsidR="00ED0821" w:rsidRPr="00325EB1" w:rsidRDefault="00B24B4D">
      <w:pPr>
        <w:pStyle w:val="Normal12"/>
      </w:pPr>
      <w:r w:rsidRPr="00325EB1">
        <w:rPr>
          <w:i/>
        </w:rPr>
        <w:t>The European Parliament</w:t>
      </w:r>
      <w:r w:rsidRPr="00325EB1">
        <w:t>,</w:t>
      </w:r>
    </w:p>
    <w:p w:rsidR="00ED0821" w:rsidRPr="00325EB1" w:rsidRDefault="00ED0821">
      <w:pPr>
        <w:pStyle w:val="Normal12Hanging"/>
      </w:pPr>
      <w:r w:rsidRPr="00325EB1">
        <w:t>–</w:t>
      </w:r>
      <w:r w:rsidRPr="00325EB1">
        <w:tab/>
      </w:r>
      <w:r w:rsidR="00B24B4D" w:rsidRPr="00325EB1">
        <w:t>having regard to the Commission proposal to Parliament and the Council (COM</w:t>
      </w:r>
      <w:r w:rsidR="00963D51" w:rsidRPr="00325EB1">
        <w:t>(2017)0826</w:t>
      </w:r>
      <w:r w:rsidR="00B24B4D" w:rsidRPr="00325EB1">
        <w:t>),</w:t>
      </w:r>
    </w:p>
    <w:p w:rsidR="00ED0821" w:rsidRPr="00325EB1" w:rsidRDefault="00ED0821">
      <w:pPr>
        <w:pStyle w:val="Normal12Hanging"/>
      </w:pPr>
      <w:r w:rsidRPr="00325EB1">
        <w:t>–</w:t>
      </w:r>
      <w:r w:rsidRPr="00325EB1">
        <w:tab/>
      </w:r>
      <w:r w:rsidR="00B24B4D" w:rsidRPr="00325EB1">
        <w:t>having regard to Article</w:t>
      </w:r>
      <w:r w:rsidR="00963D51" w:rsidRPr="00325EB1">
        <w:t> </w:t>
      </w:r>
      <w:r w:rsidR="00B24B4D" w:rsidRPr="00325EB1">
        <w:t xml:space="preserve">294(2) and </w:t>
      </w:r>
      <w:r w:rsidR="00963D51" w:rsidRPr="00325EB1">
        <w:t>the third paragraph of Article 175 and Article 177</w:t>
      </w:r>
      <w:r w:rsidR="00B24B4D" w:rsidRPr="00325EB1">
        <w:t xml:space="preserve"> of the Treaty on the Functioning of the European Union, pursuant to which the Commission submitted the proposal to Parliament (</w:t>
      </w:r>
      <w:r w:rsidR="00963D51" w:rsidRPr="00325EB1">
        <w:t>C8</w:t>
      </w:r>
      <w:r w:rsidR="00963D51" w:rsidRPr="00325EB1">
        <w:noBreakHyphen/>
        <w:t>0432/2017</w:t>
      </w:r>
      <w:r w:rsidR="00B24B4D" w:rsidRPr="00325EB1">
        <w:t>),</w:t>
      </w:r>
    </w:p>
    <w:p w:rsidR="00C71F7C" w:rsidRPr="00325EB1" w:rsidRDefault="00C71F7C" w:rsidP="00C71F7C">
      <w:pPr>
        <w:pStyle w:val="Normal12Hanging"/>
      </w:pPr>
      <w:r w:rsidRPr="00325EB1">
        <w:t>–</w:t>
      </w:r>
      <w:r w:rsidRPr="00325EB1">
        <w:tab/>
      </w:r>
      <w:r w:rsidR="00B24B4D" w:rsidRPr="00325EB1">
        <w:t>having regard to Article 294(3) of the Treaty on the Functioning of the European Union,</w:t>
      </w:r>
    </w:p>
    <w:p w:rsidR="00963D51" w:rsidRPr="00325EB1" w:rsidRDefault="00963D51">
      <w:pPr>
        <w:pStyle w:val="Normal12Hanging"/>
      </w:pPr>
      <w:r w:rsidRPr="00325EB1">
        <w:t>–</w:t>
      </w:r>
      <w:r w:rsidRPr="00325EB1">
        <w:tab/>
        <w:t>having regard to the opinion of the European Economic and Social Committee of 14 March 2018</w:t>
      </w:r>
      <w:r w:rsidRPr="00325EB1">
        <w:rPr>
          <w:rStyle w:val="FootnoteReference"/>
        </w:rPr>
        <w:footnoteReference w:id="1"/>
      </w:r>
      <w:r w:rsidRPr="00325EB1">
        <w:t>,</w:t>
      </w:r>
    </w:p>
    <w:p w:rsidR="00963D51" w:rsidRPr="00325EB1" w:rsidRDefault="00963D51" w:rsidP="00963D51">
      <w:pPr>
        <w:pStyle w:val="Normal12Hanging"/>
      </w:pPr>
      <w:r w:rsidRPr="00325EB1">
        <w:t>–</w:t>
      </w:r>
      <w:r w:rsidRPr="00325EB1">
        <w:tab/>
        <w:t>after consulting the Committee of the Regions,</w:t>
      </w:r>
    </w:p>
    <w:p w:rsidR="00ED0821" w:rsidRPr="00325EB1" w:rsidRDefault="00ED0821">
      <w:pPr>
        <w:pStyle w:val="Normal12Hanging"/>
      </w:pPr>
      <w:r w:rsidRPr="00325EB1">
        <w:t>–</w:t>
      </w:r>
      <w:r w:rsidRPr="00325EB1">
        <w:tab/>
      </w:r>
      <w:r w:rsidR="00963D51" w:rsidRPr="00325EB1">
        <w:t>having regard to Rule 59 of its Rules of Procedure,</w:t>
      </w:r>
    </w:p>
    <w:p w:rsidR="00ED0821" w:rsidRPr="00325EB1" w:rsidRDefault="00ED0821">
      <w:pPr>
        <w:pStyle w:val="Normal12Hanging"/>
      </w:pPr>
      <w:r w:rsidRPr="00325EB1">
        <w:t>–</w:t>
      </w:r>
      <w:r w:rsidRPr="00325EB1">
        <w:tab/>
      </w:r>
      <w:r w:rsidR="00B24B4D" w:rsidRPr="00325EB1">
        <w:t xml:space="preserve">having regard to the report of the </w:t>
      </w:r>
      <w:r w:rsidR="00963D51" w:rsidRPr="00325EB1">
        <w:t xml:space="preserve">Committee on Regional Development and also </w:t>
      </w:r>
      <w:bookmarkStart w:id="2" w:name="DocEPTmp"/>
      <w:bookmarkEnd w:id="2"/>
      <w:r w:rsidR="00963D51" w:rsidRPr="00325EB1">
        <w:t>the opinions of the Committee on Budgets, the Committee on Economic and Monetary Affairs,</w:t>
      </w:r>
      <w:r w:rsidR="009D4654" w:rsidRPr="00325EB1">
        <w:t xml:space="preserve"> the Committee on Budgetary Control, the Committee on Employment and Social Affairs, </w:t>
      </w:r>
      <w:r w:rsidR="00963D51" w:rsidRPr="00325EB1">
        <w:t xml:space="preserve">the Committee on Environment, Public Health and Food Safety, the Committee on Industry, Research and Energy, the Committee on Agriculture and Rural Development and the Committee on Women’s Rights and Gender Equality </w:t>
      </w:r>
      <w:r w:rsidR="00B24B4D" w:rsidRPr="00325EB1">
        <w:t>(</w:t>
      </w:r>
      <w:r w:rsidR="00963D51" w:rsidRPr="00325EB1">
        <w:t>A8</w:t>
      </w:r>
      <w:r w:rsidR="00963D51" w:rsidRPr="00325EB1">
        <w:noBreakHyphen/>
      </w:r>
      <w:r w:rsidR="00B24B4D" w:rsidRPr="00325EB1">
        <w:t>0000/</w:t>
      </w:r>
      <w:r w:rsidR="00963D51" w:rsidRPr="00325EB1">
        <w:t>2018</w:t>
      </w:r>
      <w:r w:rsidR="00B24B4D" w:rsidRPr="00325EB1">
        <w:t>),</w:t>
      </w:r>
    </w:p>
    <w:p w:rsidR="00ED0821" w:rsidRPr="00325EB1" w:rsidRDefault="00ED0821">
      <w:pPr>
        <w:pStyle w:val="Normal12Hanging"/>
      </w:pPr>
      <w:r w:rsidRPr="00325EB1">
        <w:t>1.</w:t>
      </w:r>
      <w:r w:rsidRPr="00325EB1">
        <w:tab/>
      </w:r>
      <w:r w:rsidR="00B24B4D" w:rsidRPr="00325EB1">
        <w:t>Rejects the Commission proposal;</w:t>
      </w:r>
    </w:p>
    <w:p w:rsidR="00ED0821" w:rsidRPr="00325EB1" w:rsidRDefault="00ED0821">
      <w:pPr>
        <w:pStyle w:val="Normal12Hanging"/>
      </w:pPr>
      <w:r w:rsidRPr="00325EB1">
        <w:t>2.</w:t>
      </w:r>
      <w:r w:rsidRPr="00325EB1">
        <w:tab/>
      </w:r>
      <w:r w:rsidR="00B24B4D" w:rsidRPr="00325EB1">
        <w:t>Calls on the Commission to withdraw its proposa</w:t>
      </w:r>
      <w:r w:rsidR="00963D51" w:rsidRPr="00325EB1">
        <w:t>l</w:t>
      </w:r>
      <w:r w:rsidR="00B24B4D" w:rsidRPr="00325EB1">
        <w:t>;</w:t>
      </w:r>
    </w:p>
    <w:p w:rsidR="00963D51" w:rsidRPr="00325EB1" w:rsidRDefault="00ED0821">
      <w:pPr>
        <w:pStyle w:val="Normal12Hanging"/>
      </w:pPr>
      <w:r w:rsidRPr="00325EB1">
        <w:t>3.</w:t>
      </w:r>
      <w:r w:rsidRPr="00325EB1">
        <w:tab/>
      </w:r>
      <w:r w:rsidR="00B24B4D" w:rsidRPr="00325EB1">
        <w:t>Instructs its President to forward its position to the Council, the Commission and the national parliaments.</w:t>
      </w:r>
    </w:p>
    <w:p w:rsidR="00ED0821" w:rsidRPr="00325EB1" w:rsidRDefault="00963D51" w:rsidP="00963D51">
      <w:pPr>
        <w:pStyle w:val="PageHeading"/>
      </w:pPr>
      <w:r w:rsidRPr="00325EB1">
        <w:br w:type="page"/>
      </w:r>
      <w:bookmarkStart w:id="3" w:name="_Toc517801545"/>
      <w:r w:rsidRPr="00325EB1">
        <w:lastRenderedPageBreak/>
        <w:t>EXPLANATORY STATEMENT</w:t>
      </w:r>
      <w:bookmarkEnd w:id="3"/>
    </w:p>
    <w:p w:rsidR="00963D51" w:rsidRPr="00325EB1" w:rsidRDefault="00963D51" w:rsidP="00963D51"/>
    <w:p w:rsidR="003D60F8" w:rsidRPr="00325EB1" w:rsidRDefault="003D60F8" w:rsidP="003D60F8">
      <w:pPr>
        <w:pStyle w:val="Normal12Hanging"/>
        <w:ind w:left="0" w:firstLine="0"/>
      </w:pPr>
      <w:r w:rsidRPr="00325EB1">
        <w:t>This proposal, adopted by the Commission on 6 December 2017, seeks to amend the Common Provisions Regulation (CPR) in order to allow the performance reserve (6% of the resources allocated to the ERDF, ESF and CF Investment for Jobs and Growth Goal, to the EAFRD and to the EMFF) to be used for structural reforms instead of for the ‘specific priorities’ set out in Partnership Agreements. In particular, the proposal seeks to insert Articles 22(1a), 22(8) and 23a into the CPR, setting out the principles and procedures for using cohesion policy monies for structural reforms. In addition, consequential amendments affect the CPR’s provisions on its objective, definitions and reporting obligations accordingly.</w:t>
      </w:r>
    </w:p>
    <w:p w:rsidR="003D60F8" w:rsidRPr="00325EB1" w:rsidRDefault="003D60F8" w:rsidP="003D60F8">
      <w:pPr>
        <w:pStyle w:val="Normal12Hanging"/>
        <w:ind w:left="0" w:firstLine="0"/>
      </w:pPr>
      <w:r w:rsidRPr="00325EB1">
        <w:t>The co-rapporteurs have given the proposal their fullest consideration, and have come to the conclusion that the proposal should be rejected.</w:t>
      </w:r>
    </w:p>
    <w:p w:rsidR="003D60F8" w:rsidRPr="00325EB1" w:rsidRDefault="003D60F8" w:rsidP="003D60F8">
      <w:pPr>
        <w:pStyle w:val="Normal12Hanging"/>
        <w:ind w:left="0" w:firstLine="0"/>
      </w:pPr>
      <w:r w:rsidRPr="00325EB1">
        <w:t xml:space="preserve">Whilst the European Parliament did not originally support the concept of a performance reserve when the current cohesion package was adopted, the co-rapporteurs consider that it is important that the funds in the performance reserve are spent as originally intended, on cohesion projects, and are not diverted to structural reforms. This does not mean that structural reforms are not important: in other contexts, the Committee on Regional Development has supported an increase to the budget for structural reforms. However, local authorities and stakeholders are in most cases relying on the 6% set aside in the performance reserve in order to fund projects which are </w:t>
      </w:r>
      <w:r w:rsidR="00981701" w:rsidRPr="00325EB1">
        <w:t xml:space="preserve">already </w:t>
      </w:r>
      <w:r w:rsidRPr="00325EB1">
        <w:t>planned up until the end of this programming period.</w:t>
      </w:r>
    </w:p>
    <w:p w:rsidR="003D60F8" w:rsidRPr="00325EB1" w:rsidRDefault="003D60F8" w:rsidP="003D60F8">
      <w:pPr>
        <w:pStyle w:val="Normal12Hanging"/>
        <w:ind w:left="0" w:firstLine="0"/>
      </w:pPr>
      <w:r w:rsidRPr="00325EB1">
        <w:t xml:space="preserve">The Committee on Regional Development has held a number of consultations on this proposal, including exchanges of views in committee with </w:t>
      </w:r>
      <w:r w:rsidR="00981701" w:rsidRPr="00325EB1">
        <w:t xml:space="preserve">Commission Vice-President Dombrovskis, </w:t>
      </w:r>
      <w:r w:rsidRPr="00325EB1">
        <w:t xml:space="preserve">the Commission </w:t>
      </w:r>
      <w:r w:rsidR="00981701" w:rsidRPr="00325EB1">
        <w:t xml:space="preserve">services </w:t>
      </w:r>
      <w:r w:rsidRPr="00325EB1">
        <w:t>(both the Structural Reform Support Service and DG REGIO), the European Economic and Social Committee, the Committee of the Regions, the Council Presidency and the European Court of Auditors. The co-rapporteurs have the overall impression that support for the proposal is very weak across the board, with very few stakeholders supporting the proposed optional diversion of the performance reserve to fund structural reforms.</w:t>
      </w:r>
    </w:p>
    <w:sectPr w:rsidR="003D60F8" w:rsidRPr="00325EB1" w:rsidSect="00325EB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4D" w:rsidRPr="00BA66E2" w:rsidRDefault="00B24B4D">
      <w:r w:rsidRPr="00BA66E2">
        <w:separator/>
      </w:r>
    </w:p>
  </w:endnote>
  <w:endnote w:type="continuationSeparator" w:id="0">
    <w:p w:rsidR="00B24B4D" w:rsidRPr="00BA66E2" w:rsidRDefault="00B24B4D">
      <w:r w:rsidRPr="00BA66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B1" w:rsidRPr="002748B0" w:rsidRDefault="00325EB1" w:rsidP="00325EB1">
    <w:pPr>
      <w:pStyle w:val="Footer"/>
      <w:rPr>
        <w:lang w:val="fr-FR"/>
      </w:rPr>
    </w:pPr>
    <w:r w:rsidRPr="002748B0">
      <w:rPr>
        <w:lang w:val="fr-FR"/>
      </w:rPr>
      <w:t>PE</w:t>
    </w:r>
    <w:r w:rsidRPr="002748B0">
      <w:rPr>
        <w:rStyle w:val="HideTWBExt"/>
        <w:lang w:val="fr-FR"/>
      </w:rPr>
      <w:t>&lt;NoPE&gt;</w:t>
    </w:r>
    <w:r w:rsidRPr="002748B0">
      <w:rPr>
        <w:lang w:val="fr-FR"/>
      </w:rPr>
      <w:t>623.856</w:t>
    </w:r>
    <w:r w:rsidRPr="002748B0">
      <w:rPr>
        <w:rStyle w:val="HideTWBExt"/>
        <w:lang w:val="fr-FR"/>
      </w:rPr>
      <w:t>&lt;/NoPE&gt;&lt;Version&gt;</w:t>
    </w:r>
    <w:r w:rsidRPr="002748B0">
      <w:rPr>
        <w:lang w:val="fr-FR"/>
      </w:rPr>
      <w:t>v02-00</w:t>
    </w:r>
    <w:r w:rsidRPr="002748B0">
      <w:rPr>
        <w:rStyle w:val="HideTWBExt"/>
        <w:lang w:val="fr-FR"/>
      </w:rPr>
      <w:t>&lt;/Version&gt;</w:t>
    </w:r>
    <w:r w:rsidRPr="002748B0">
      <w:rPr>
        <w:lang w:val="fr-FR"/>
      </w:rPr>
      <w:tab/>
    </w:r>
    <w:r>
      <w:fldChar w:fldCharType="begin"/>
    </w:r>
    <w:r w:rsidRPr="002748B0">
      <w:rPr>
        <w:lang w:val="fr-FR"/>
      </w:rPr>
      <w:instrText xml:space="preserve"> PAGE  \* MERGEFORMAT </w:instrText>
    </w:r>
    <w:r>
      <w:fldChar w:fldCharType="separate"/>
    </w:r>
    <w:r w:rsidR="002748B0">
      <w:rPr>
        <w:noProof/>
        <w:lang w:val="fr-FR"/>
      </w:rPr>
      <w:t>2</w:t>
    </w:r>
    <w:r>
      <w:fldChar w:fldCharType="end"/>
    </w:r>
    <w:r w:rsidRPr="002748B0">
      <w:rPr>
        <w:lang w:val="fr-FR"/>
      </w:rPr>
      <w:t>/</w:t>
    </w:r>
    <w:r>
      <w:fldChar w:fldCharType="begin"/>
    </w:r>
    <w:r w:rsidRPr="002748B0">
      <w:rPr>
        <w:lang w:val="fr-FR"/>
      </w:rPr>
      <w:instrText xml:space="preserve"> NUMPAGES  \* MERGEFORMAT </w:instrText>
    </w:r>
    <w:r>
      <w:fldChar w:fldCharType="separate"/>
    </w:r>
    <w:r w:rsidR="002748B0">
      <w:rPr>
        <w:noProof/>
        <w:lang w:val="fr-FR"/>
      </w:rPr>
      <w:t>6</w:t>
    </w:r>
    <w:r>
      <w:fldChar w:fldCharType="end"/>
    </w:r>
    <w:r w:rsidRPr="002748B0">
      <w:rPr>
        <w:lang w:val="fr-FR"/>
      </w:rPr>
      <w:tab/>
    </w:r>
    <w:r w:rsidRPr="002748B0">
      <w:rPr>
        <w:rStyle w:val="HideTWBExt"/>
        <w:lang w:val="fr-FR"/>
      </w:rPr>
      <w:t>&lt;PathFdR&gt;</w:t>
    </w:r>
    <w:r w:rsidRPr="002748B0">
      <w:rPr>
        <w:lang w:val="fr-FR"/>
      </w:rPr>
      <w:t>PR\1157330EN.docx</w:t>
    </w:r>
    <w:r w:rsidRPr="002748B0">
      <w:rPr>
        <w:rStyle w:val="HideTWBExt"/>
        <w:lang w:val="fr-FR"/>
      </w:rPr>
      <w:t>&lt;/PathFdR&gt;</w:t>
    </w:r>
  </w:p>
  <w:p w:rsidR="004D2315" w:rsidRPr="00BA66E2" w:rsidRDefault="00325EB1" w:rsidP="00325EB1">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B1" w:rsidRDefault="00325EB1" w:rsidP="00325EB1">
    <w:pPr>
      <w:pStyle w:val="Footer"/>
    </w:pPr>
    <w:r w:rsidRPr="00325EB1">
      <w:rPr>
        <w:rStyle w:val="HideTWBExt"/>
      </w:rPr>
      <w:t>&lt;PathFdR&gt;</w:t>
    </w:r>
    <w:r>
      <w:t>PR\1157330EN.docx</w:t>
    </w:r>
    <w:r w:rsidRPr="00325EB1">
      <w:rPr>
        <w:rStyle w:val="HideTWBExt"/>
      </w:rPr>
      <w:t>&lt;/PathFdR&gt;</w:t>
    </w:r>
    <w:r>
      <w:tab/>
    </w:r>
    <w:r>
      <w:fldChar w:fldCharType="begin"/>
    </w:r>
    <w:r>
      <w:instrText xml:space="preserve"> PAGE  \* MERGEFORMAT </w:instrText>
    </w:r>
    <w:r>
      <w:fldChar w:fldCharType="separate"/>
    </w:r>
    <w:r w:rsidR="002748B0">
      <w:rPr>
        <w:noProof/>
      </w:rPr>
      <w:t>6</w:t>
    </w:r>
    <w:r>
      <w:fldChar w:fldCharType="end"/>
    </w:r>
    <w:r>
      <w:t>/</w:t>
    </w:r>
    <w:r>
      <w:fldChar w:fldCharType="begin"/>
    </w:r>
    <w:r>
      <w:instrText xml:space="preserve"> NUMPAGES  \* MERGEFORMAT </w:instrText>
    </w:r>
    <w:r>
      <w:fldChar w:fldCharType="separate"/>
    </w:r>
    <w:r w:rsidR="002748B0">
      <w:rPr>
        <w:noProof/>
      </w:rPr>
      <w:t>6</w:t>
    </w:r>
    <w:r>
      <w:fldChar w:fldCharType="end"/>
    </w:r>
    <w:r>
      <w:tab/>
      <w:t>PE</w:t>
    </w:r>
    <w:r w:rsidRPr="00325EB1">
      <w:rPr>
        <w:rStyle w:val="HideTWBExt"/>
      </w:rPr>
      <w:t>&lt;NoPE&gt;</w:t>
    </w:r>
    <w:r>
      <w:t>623.856</w:t>
    </w:r>
    <w:r w:rsidRPr="00325EB1">
      <w:rPr>
        <w:rStyle w:val="HideTWBExt"/>
      </w:rPr>
      <w:t>&lt;/NoPE&gt;&lt;Version&gt;</w:t>
    </w:r>
    <w:r>
      <w:t>v02-00</w:t>
    </w:r>
    <w:r w:rsidRPr="00325EB1">
      <w:rPr>
        <w:rStyle w:val="HideTWBExt"/>
      </w:rPr>
      <w:t>&lt;/Version&gt;</w:t>
    </w:r>
  </w:p>
  <w:p w:rsidR="004D2315" w:rsidRPr="00BA66E2" w:rsidRDefault="00325EB1" w:rsidP="00325EB1">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B1" w:rsidRDefault="00325EB1" w:rsidP="00325EB1">
    <w:pPr>
      <w:pStyle w:val="Footer"/>
    </w:pPr>
    <w:r w:rsidRPr="00325EB1">
      <w:rPr>
        <w:rStyle w:val="HideTWBExt"/>
      </w:rPr>
      <w:t>&lt;PathFdR&gt;</w:t>
    </w:r>
    <w:r>
      <w:t>PR\1157330EN.docx</w:t>
    </w:r>
    <w:r w:rsidRPr="00325EB1">
      <w:rPr>
        <w:rStyle w:val="HideTWBExt"/>
      </w:rPr>
      <w:t>&lt;/PathFdR&gt;</w:t>
    </w:r>
    <w:r>
      <w:tab/>
    </w:r>
    <w:r>
      <w:tab/>
      <w:t>PE</w:t>
    </w:r>
    <w:r w:rsidRPr="00325EB1">
      <w:rPr>
        <w:rStyle w:val="HideTWBExt"/>
      </w:rPr>
      <w:t>&lt;NoPE&gt;</w:t>
    </w:r>
    <w:r>
      <w:t>623.856</w:t>
    </w:r>
    <w:r w:rsidRPr="00325EB1">
      <w:rPr>
        <w:rStyle w:val="HideTWBExt"/>
      </w:rPr>
      <w:t>&lt;/NoPE&gt;&lt;Version&gt;</w:t>
    </w:r>
    <w:r>
      <w:t>v02-00</w:t>
    </w:r>
    <w:r w:rsidRPr="00325EB1">
      <w:rPr>
        <w:rStyle w:val="HideTWBExt"/>
      </w:rPr>
      <w:t>&lt;/Version&gt;</w:t>
    </w:r>
  </w:p>
  <w:p w:rsidR="004D2315" w:rsidRPr="00BA66E2" w:rsidRDefault="00325EB1" w:rsidP="00325EB1">
    <w:pPr>
      <w:pStyle w:val="Footer2"/>
      <w:tabs>
        <w:tab w:val="center" w:pos="4535"/>
        <w:tab w:val="right" w:pos="9921"/>
      </w:tabs>
    </w:pPr>
    <w:r>
      <w:t>EN</w:t>
    </w:r>
    <w:r>
      <w:tab/>
    </w:r>
    <w:r w:rsidRPr="00325EB1">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4D" w:rsidRPr="00BA66E2" w:rsidRDefault="00B24B4D">
      <w:r w:rsidRPr="00BA66E2">
        <w:separator/>
      </w:r>
    </w:p>
  </w:footnote>
  <w:footnote w:type="continuationSeparator" w:id="0">
    <w:p w:rsidR="00B24B4D" w:rsidRPr="00BA66E2" w:rsidRDefault="00B24B4D">
      <w:r w:rsidRPr="00BA66E2">
        <w:continuationSeparator/>
      </w:r>
    </w:p>
  </w:footnote>
  <w:footnote w:id="1">
    <w:p w:rsidR="00963D51" w:rsidRPr="00BA66E2" w:rsidRDefault="00963D51">
      <w:pPr>
        <w:pStyle w:val="FootnoteText"/>
      </w:pPr>
      <w:r w:rsidRPr="00BA66E2">
        <w:rPr>
          <w:rStyle w:val="FootnoteReference"/>
        </w:rPr>
        <w:footnoteRef/>
      </w:r>
      <w:r w:rsidRPr="00BA66E2">
        <w:t xml:space="preserve"> Not yet published in the Official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B0" w:rsidRDefault="00274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B0" w:rsidRDefault="00274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B0" w:rsidRDefault="0027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REGI"/>
    <w:docVar w:name="CopyToNetwork" w:val="-1"/>
    <w:docVar w:name="DOCMNU" w:val=" 1"/>
    <w:docVar w:name="INSTITUTIONSMNU" w:val=" 1"/>
    <w:docVar w:name="JURI1MNU" w:val=" 2"/>
    <w:docVar w:name="JURI2MNU" w:val=" 2"/>
    <w:docVar w:name="LastEditedSection" w:val=" 1"/>
    <w:docVar w:name="PARLIAMENTSMNU" w:val=" 1"/>
    <w:docVar w:name="PARLMNU" w:val=" 1"/>
    <w:docVar w:name="strSubDir" w:val="1157"/>
    <w:docVar w:name="TXTLANGUE" w:val="EN"/>
    <w:docVar w:name="TXTLANGUEMIN" w:val="en"/>
    <w:docVar w:name="TXTNRC" w:val="0432/2017"/>
    <w:docVar w:name="TXTNRCOD" w:val="2017/0336"/>
    <w:docVar w:name="TXTNRCOM" w:val="(2017)0826"/>
    <w:docVar w:name="TXTNRPE" w:val="623.856"/>
    <w:docVar w:name="TXTPEorAP" w:val="PE"/>
    <w:docVar w:name="TXTROUTE" w:val="PR\1157330EN.docx"/>
    <w:docVar w:name="TXTTITLE" w:val="amending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s regards support to structural reforms in Member States"/>
    <w:docVar w:name="TXTVERSION" w:val="02-00"/>
  </w:docVars>
  <w:rsids>
    <w:rsidRoot w:val="00B24B4D"/>
    <w:rsid w:val="00104AEE"/>
    <w:rsid w:val="001907B9"/>
    <w:rsid w:val="001A06D8"/>
    <w:rsid w:val="002748B0"/>
    <w:rsid w:val="002B272A"/>
    <w:rsid w:val="00302A66"/>
    <w:rsid w:val="00325EB1"/>
    <w:rsid w:val="003D60F8"/>
    <w:rsid w:val="00423799"/>
    <w:rsid w:val="004864FF"/>
    <w:rsid w:val="004D2315"/>
    <w:rsid w:val="004D7B3B"/>
    <w:rsid w:val="00526A67"/>
    <w:rsid w:val="00537589"/>
    <w:rsid w:val="00543B7B"/>
    <w:rsid w:val="005B44BF"/>
    <w:rsid w:val="006537C0"/>
    <w:rsid w:val="006A176A"/>
    <w:rsid w:val="00755A10"/>
    <w:rsid w:val="007A68D8"/>
    <w:rsid w:val="007D611D"/>
    <w:rsid w:val="00877EDE"/>
    <w:rsid w:val="00881747"/>
    <w:rsid w:val="008E22DF"/>
    <w:rsid w:val="00963D51"/>
    <w:rsid w:val="00981701"/>
    <w:rsid w:val="009D1B0F"/>
    <w:rsid w:val="009D4654"/>
    <w:rsid w:val="00A43E6A"/>
    <w:rsid w:val="00AD26AD"/>
    <w:rsid w:val="00AF7573"/>
    <w:rsid w:val="00B24B4D"/>
    <w:rsid w:val="00B37926"/>
    <w:rsid w:val="00BA66E2"/>
    <w:rsid w:val="00BB6766"/>
    <w:rsid w:val="00BD28D4"/>
    <w:rsid w:val="00BE4EC7"/>
    <w:rsid w:val="00C06F3D"/>
    <w:rsid w:val="00C54859"/>
    <w:rsid w:val="00C71A3C"/>
    <w:rsid w:val="00C71F7C"/>
    <w:rsid w:val="00C7454F"/>
    <w:rsid w:val="00C82EBC"/>
    <w:rsid w:val="00CC1CD0"/>
    <w:rsid w:val="00CE3112"/>
    <w:rsid w:val="00D97AFD"/>
    <w:rsid w:val="00DC3DED"/>
    <w:rsid w:val="00DF1CF2"/>
    <w:rsid w:val="00DF5BE5"/>
    <w:rsid w:val="00EB1022"/>
    <w:rsid w:val="00ED0609"/>
    <w:rsid w:val="00ED0821"/>
    <w:rsid w:val="00F7466A"/>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BC3EBE"/>
  <w15:chartTrackingRefBased/>
  <w15:docId w15:val="{CFB426F3-B0FA-48F2-85DB-EFDC87E5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86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7466A"/>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lang w:val="fr-FR"/>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864FF"/>
    <w:pPr>
      <w:spacing w:after="80"/>
    </w:pPr>
    <w:rPr>
      <w:rFonts w:ascii="Arial" w:hAnsi="Arial" w:cs="Arial"/>
      <w:sz w:val="20"/>
      <w:szCs w:val="22"/>
      <w:lang w:val="fr-FR"/>
    </w:rPr>
  </w:style>
  <w:style w:type="paragraph" w:customStyle="1" w:styleId="EPLogo">
    <w:name w:val="EPLogo"/>
    <w:basedOn w:val="Normal"/>
    <w:qFormat/>
    <w:rsid w:val="004864FF"/>
    <w:pPr>
      <w:jc w:val="right"/>
    </w:pPr>
  </w:style>
  <w:style w:type="paragraph" w:customStyle="1" w:styleId="Lgendesigne">
    <w:name w:val="Légende signe"/>
    <w:basedOn w:val="Normal"/>
    <w:rsid w:val="00963D51"/>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963D51"/>
    <w:pPr>
      <w:spacing w:before="240" w:after="240"/>
    </w:pPr>
    <w:rPr>
      <w:b/>
      <w:i/>
      <w:snapToGrid w:val="0"/>
      <w:lang w:val="en-US" w:eastAsia="en-US"/>
    </w:rPr>
  </w:style>
  <w:style w:type="paragraph" w:customStyle="1" w:styleId="Lgendestandard">
    <w:name w:val="Légende standard"/>
    <w:basedOn w:val="Lgendesigne"/>
    <w:rsid w:val="00963D51"/>
    <w:pPr>
      <w:ind w:left="0" w:firstLine="0"/>
    </w:pPr>
  </w:style>
  <w:style w:type="paragraph" w:styleId="FootnoteText">
    <w:name w:val="footnote text"/>
    <w:basedOn w:val="Normal"/>
    <w:link w:val="FootnoteTextChar"/>
    <w:rsid w:val="00963D51"/>
    <w:rPr>
      <w:sz w:val="20"/>
    </w:rPr>
  </w:style>
  <w:style w:type="character" w:customStyle="1" w:styleId="FootnoteTextChar">
    <w:name w:val="Footnote Text Char"/>
    <w:basedOn w:val="DefaultParagraphFont"/>
    <w:link w:val="FootnoteText"/>
    <w:rsid w:val="00963D51"/>
  </w:style>
  <w:style w:type="character" w:styleId="FootnoteReference">
    <w:name w:val="footnote reference"/>
    <w:basedOn w:val="DefaultParagraphFont"/>
    <w:rsid w:val="00963D51"/>
    <w:rPr>
      <w:vertAlign w:val="superscript"/>
    </w:rPr>
  </w:style>
  <w:style w:type="paragraph" w:styleId="BalloonText">
    <w:name w:val="Balloon Text"/>
    <w:basedOn w:val="Normal"/>
    <w:link w:val="BalloonTextChar"/>
    <w:rsid w:val="009D4654"/>
    <w:rPr>
      <w:rFonts w:ascii="Segoe UI" w:hAnsi="Segoe UI" w:cs="Segoe UI"/>
      <w:sz w:val="18"/>
      <w:szCs w:val="18"/>
    </w:rPr>
  </w:style>
  <w:style w:type="character" w:customStyle="1" w:styleId="BalloonTextChar">
    <w:name w:val="Balloon Text Char"/>
    <w:basedOn w:val="DefaultParagraphFont"/>
    <w:link w:val="BalloonText"/>
    <w:rsid w:val="009D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6077</Characters>
  <Application>Microsoft Office Word</Application>
  <DocSecurity>0</DocSecurity>
  <Lines>148</Lines>
  <Paragraphs>62</Paragraphs>
  <ScaleCrop>false</ScaleCrop>
  <HeadingPairs>
    <vt:vector size="2" baseType="variant">
      <vt:variant>
        <vt:lpstr>Title</vt:lpstr>
      </vt:variant>
      <vt:variant>
        <vt:i4>1</vt:i4>
      </vt:variant>
    </vt:vector>
  </HeadingPairs>
  <TitlesOfParts>
    <vt:vector size="1" baseType="lpstr">
      <vt:lpstr>PR_COD_1rej</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PR_COD_1rej</dc:title>
  <dc:subject/>
  <dc:creator>KEYS Alexander</dc:creator>
  <cp:keywords/>
  <dc:description/>
  <cp:lastModifiedBy>WEJMELKA Denise</cp:lastModifiedBy>
  <cp:revision>2</cp:revision>
  <cp:lastPrinted>2004-11-04T10:10:00Z</cp:lastPrinted>
  <dcterms:created xsi:type="dcterms:W3CDTF">2018-06-26T16:37:00Z</dcterms:created>
  <dcterms:modified xsi:type="dcterms:W3CDTF">2018-06-26T16:37:00Z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9.3.2 Build [20180601]</vt:lpwstr>
  </property>
  <property fmtid="{D5CDD505-2E9C-101B-9397-08002B2CF9AE}" pid="4" name="LastEdited with">
    <vt:lpwstr>9.3.2 Build [20180601]</vt:lpwstr>
  </property>
  <property fmtid="{D5CDD505-2E9C-101B-9397-08002B2CF9AE}" pid="5" name="&lt;FdR&gt;">
    <vt:lpwstr>1157330</vt:lpwstr>
  </property>
  <property fmtid="{D5CDD505-2E9C-101B-9397-08002B2CF9AE}" pid="6" name="&lt;Type&gt;">
    <vt:lpwstr>PR</vt:lpwstr>
  </property>
  <property fmtid="{D5CDD505-2E9C-101B-9397-08002B2CF9AE}" pid="7" name="&lt;ModelCod&gt;">
    <vt:lpwstr>\\eiciBRUpr1\pdocep$\DocEP\DOCS\General\PR\PR_Leg\COD\COD_1st\PR_COD_1rej.dot(30/06/2017 07:37:06)</vt:lpwstr>
  </property>
  <property fmtid="{D5CDD505-2E9C-101B-9397-08002B2CF9AE}" pid="8" name="&lt;ModelTra&gt;">
    <vt:lpwstr>\\eiciBRUpr1\pdocep$\DocEP\TRANSFIL\EN\PR_COD_1rej.EN(30/06/2017 07:41:17)</vt:lpwstr>
  </property>
  <property fmtid="{D5CDD505-2E9C-101B-9397-08002B2CF9AE}" pid="9" name="&lt;Model&gt;">
    <vt:lpwstr>PR_COD_1rej</vt:lpwstr>
  </property>
  <property fmtid="{D5CDD505-2E9C-101B-9397-08002B2CF9AE}" pid="10" name="FooterPath">
    <vt:lpwstr>PR\1157330EN.docx</vt:lpwstr>
  </property>
  <property fmtid="{D5CDD505-2E9C-101B-9397-08002B2CF9AE}" pid="11" name="PE number">
    <vt:lpwstr>623.856</vt:lpwstr>
  </property>
  <property fmtid="{D5CDD505-2E9C-101B-9397-08002B2CF9AE}" pid="12" name="SendToEpades">
    <vt:lpwstr>OK - 2018/06/26 18:36</vt:lpwstr>
  </property>
  <property fmtid="{D5CDD505-2E9C-101B-9397-08002B2CF9AE}" pid="13" name="SubscribeElise">
    <vt:lpwstr/>
  </property>
</Properties>
</file>