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325956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325956" w:rsidRDefault="00340099" w:rsidP="00481807">
            <w:pPr>
              <w:pStyle w:val="EPName"/>
            </w:pPr>
            <w:r>
              <w:t>Evropský parlament</w:t>
            </w:r>
          </w:p>
          <w:p w:rsidR="00DF0DC8" w:rsidRPr="00325956" w:rsidRDefault="00716CEA" w:rsidP="00716CE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325956" w:rsidRDefault="007B0C9D" w:rsidP="00481807">
            <w:pPr>
              <w:pStyle w:val="EPLogo"/>
            </w:pPr>
            <w:r w:rsidRPr="00325956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325956" w:rsidRDefault="00F64B87" w:rsidP="00F64B87">
      <w:pPr>
        <w:pStyle w:val="LineTop"/>
      </w:pPr>
    </w:p>
    <w:p w:rsidR="00F64B87" w:rsidRPr="00325956" w:rsidRDefault="00F64B87" w:rsidP="00F64B87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Commission&gt;</w:t>
      </w:r>
      <w:r>
        <w:rPr>
          <w:rStyle w:val="HideTWBInt"/>
        </w:rPr>
        <w:t>{SEDE}</w:t>
      </w:r>
      <w:r>
        <w:t>Podvýbor pro bezpečnost a obranu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173AC" w:rsidRPr="00325956" w:rsidRDefault="001173AC" w:rsidP="001173AC">
      <w:pPr>
        <w:pStyle w:val="LineBottom"/>
      </w:pPr>
    </w:p>
    <w:p w:rsidR="00EA74BF" w:rsidRPr="00325956" w:rsidRDefault="00716CEA" w:rsidP="001173AC">
      <w:pPr>
        <w:pStyle w:val="HeadingReferenceOJPV"/>
      </w:pPr>
      <w:r>
        <w:t>SEDE_PV(2019)1121_1</w:t>
      </w:r>
    </w:p>
    <w:p w:rsidR="00EA74BF" w:rsidRPr="00325956" w:rsidRDefault="00340099" w:rsidP="001173AC">
      <w:pPr>
        <w:pStyle w:val="HeadingDocType24a"/>
      </w:pPr>
      <w:r>
        <w:t>ZÁPIS</w:t>
      </w:r>
      <w:bookmarkStart w:id="0" w:name="_GoBack"/>
      <w:bookmarkEnd w:id="0"/>
    </w:p>
    <w:p w:rsidR="00EA74BF" w:rsidRPr="00325956" w:rsidRDefault="00340099" w:rsidP="001173AC">
      <w:pPr>
        <w:pStyle w:val="HeadingCenter12a"/>
      </w:pPr>
      <w:r>
        <w:t>ze schůze konané dne 21. listopadu 2019 od 11:30 do 13:00</w:t>
      </w:r>
    </w:p>
    <w:p w:rsidR="00EA74BF" w:rsidRPr="00325956" w:rsidRDefault="00716CEA" w:rsidP="001173AC">
      <w:pPr>
        <w:pStyle w:val="HeadingCenter12a"/>
      </w:pPr>
      <w:r>
        <w:t>BRUSEL</w:t>
      </w:r>
    </w:p>
    <w:p w:rsidR="00EA74BF" w:rsidRPr="00325956" w:rsidRDefault="00340099" w:rsidP="001173AC">
      <w:pPr>
        <w:pStyle w:val="MeetingIntro"/>
      </w:pPr>
      <w:r>
        <w:t>Schůze byla zahájena ve čtvrtek 21. listopadu 2019 v 11:36 a předsedala jí Nathalie Loiseauová (předsedkyně).</w:t>
      </w:r>
    </w:p>
    <w:p w:rsidR="00716CEA" w:rsidRPr="00325956" w:rsidRDefault="00716CEA" w:rsidP="00716CEA">
      <w:pPr>
        <w:pStyle w:val="PVxHeading"/>
        <w:numPr>
          <w:ilvl w:val="0"/>
          <w:numId w:val="0"/>
        </w:numPr>
        <w:ind w:left="567" w:hanging="567"/>
      </w:pPr>
      <w:r>
        <w:t>1.</w:t>
      </w:r>
      <w:r>
        <w:tab/>
        <w:t>Přijetí pořadu jednání</w:t>
      </w:r>
      <w:r>
        <w:tab/>
      </w:r>
      <w:r>
        <w:rPr>
          <w:b w:val="0"/>
        </w:rPr>
        <w:t>SEDE_OJ(2019)1121_01</w:t>
      </w:r>
    </w:p>
    <w:p w:rsidR="00716CEA" w:rsidRPr="00325956" w:rsidRDefault="00716CEA" w:rsidP="00716CEA">
      <w:pPr>
        <w:pStyle w:val="PVxIndent"/>
      </w:pPr>
      <w:r>
        <w:t>Pořad jednání byl přijat.</w:t>
      </w:r>
    </w:p>
    <w:p w:rsidR="00716CEA" w:rsidRPr="00325956" w:rsidRDefault="00716CEA" w:rsidP="00716CEA">
      <w:pPr>
        <w:pStyle w:val="PVxHeading"/>
        <w:numPr>
          <w:ilvl w:val="0"/>
          <w:numId w:val="0"/>
        </w:numPr>
        <w:ind w:left="567" w:hanging="567"/>
      </w:pPr>
      <w:r>
        <w:t>2.</w:t>
      </w:r>
      <w:r>
        <w:tab/>
        <w:t>Sdělení předsedkyně</w:t>
      </w:r>
    </w:p>
    <w:p w:rsidR="00716CEA" w:rsidRPr="00325956" w:rsidRDefault="00716CEA" w:rsidP="00716CEA">
      <w:pPr>
        <w:pStyle w:val="PVXMainHeadings"/>
        <w:tabs>
          <w:tab w:val="clear" w:pos="720"/>
          <w:tab w:val="clear" w:pos="9072"/>
        </w:tabs>
        <w:ind w:left="0" w:right="-285" w:firstLine="0"/>
        <w:rPr>
          <w:i/>
        </w:rPr>
      </w:pPr>
      <w:r>
        <w:rPr>
          <w:i/>
        </w:rPr>
        <w:t>Společně s Výborem pro zahraniční věci a podvýborem pro lidská práva</w:t>
      </w:r>
    </w:p>
    <w:p w:rsidR="00716CEA" w:rsidRPr="00325956" w:rsidRDefault="00716CEA" w:rsidP="00716CEA">
      <w:pPr>
        <w:pStyle w:val="PVXMainHeadings"/>
        <w:tabs>
          <w:tab w:val="left" w:pos="720"/>
        </w:tabs>
      </w:pPr>
      <w:r>
        <w:t>3.</w:t>
      </w:r>
      <w:r>
        <w:tab/>
        <w:t>Výměna názorů s Jean-Pierrem Lacroix, podtajemníkem pro mírové operace, OSN</w:t>
      </w:r>
    </w:p>
    <w:p w:rsidR="00716CEA" w:rsidRPr="00325956" w:rsidRDefault="00716CEA" w:rsidP="00716CEA">
      <w:pPr>
        <w:pStyle w:val="PVXConsiderationitem112b"/>
        <w:rPr>
          <w:b w:val="0"/>
          <w:i w:val="0"/>
        </w:rPr>
      </w:pPr>
      <w:r>
        <w:t>Vystoupili:</w:t>
      </w:r>
      <w:r>
        <w:rPr>
          <w:b w:val="0"/>
          <w:i w:val="0"/>
        </w:rPr>
        <w:t xml:space="preserve"> Nathalie Loiseau, Witold Jan Waszczykowski, Irina Von Wiese, Jean-Pierre Lacroix (OSN), Anna Fotyga, Salima Yenbou, Jérôme Rivière, Javier Nart, Mick Wallace, Fabio Massimo Castaldo, Phil Bennion</w:t>
      </w:r>
    </w:p>
    <w:p w:rsidR="00716CEA" w:rsidRPr="00325956" w:rsidRDefault="00716CEA" w:rsidP="00716CEA">
      <w:pPr>
        <w:spacing w:before="240"/>
        <w:ind w:left="708" w:hanging="708"/>
        <w:rPr>
          <w:snapToGrid/>
        </w:rPr>
      </w:pPr>
      <w:r>
        <w:rPr>
          <w:b/>
          <w:bCs/>
        </w:rPr>
        <w:t>4.</w:t>
      </w:r>
      <w:r>
        <w:tab/>
      </w:r>
      <w:r>
        <w:rPr>
          <w:b/>
          <w:bCs/>
        </w:rPr>
        <w:t>Různé</w:t>
      </w:r>
    </w:p>
    <w:p w:rsidR="00716CEA" w:rsidRPr="00325956" w:rsidRDefault="00716CEA" w:rsidP="00716CEA">
      <w:pPr>
        <w:spacing w:before="240"/>
        <w:ind w:left="708" w:hanging="708"/>
      </w:pPr>
      <w:r>
        <w:rPr>
          <w:b/>
          <w:bCs/>
        </w:rPr>
        <w:t>5.</w:t>
      </w:r>
      <w:r>
        <w:tab/>
      </w:r>
      <w:r>
        <w:rPr>
          <w:b/>
          <w:bCs/>
        </w:rPr>
        <w:t>Příští schůze</w:t>
      </w:r>
    </w:p>
    <w:p w:rsidR="00716CEA" w:rsidRPr="00325956" w:rsidRDefault="00716CEA" w:rsidP="00716CEA">
      <w:pPr>
        <w:tabs>
          <w:tab w:val="left" w:pos="1100"/>
          <w:tab w:val="right" w:pos="9200"/>
        </w:tabs>
        <w:autoSpaceDE w:val="0"/>
        <w:autoSpaceDN w:val="0"/>
        <w:adjustRightInd w:val="0"/>
        <w:snapToGrid w:val="0"/>
        <w:ind w:left="1100" w:hanging="400"/>
      </w:pPr>
      <w:r>
        <w:rPr>
          <w:rFonts w:ascii="Symbol" w:hAnsi="Symbol"/>
        </w:rPr>
        <w:t></w:t>
      </w:r>
      <w:r>
        <w:t xml:space="preserve"> prosince 2009 15:00–18:30 </w:t>
      </w:r>
    </w:p>
    <w:p w:rsidR="00716CEA" w:rsidRPr="00325956" w:rsidRDefault="00716CEA" w:rsidP="00716CEA">
      <w:pPr>
        <w:tabs>
          <w:tab w:val="left" w:pos="1100"/>
          <w:tab w:val="right" w:pos="9200"/>
        </w:tabs>
        <w:autoSpaceDE w:val="0"/>
        <w:autoSpaceDN w:val="0"/>
        <w:adjustRightInd w:val="0"/>
        <w:snapToGrid w:val="0"/>
        <w:ind w:left="1100" w:hanging="400"/>
      </w:pPr>
      <w:r>
        <w:t>3. prosince 2019, 9:00–12:30 a 14:30–18:30</w:t>
      </w:r>
    </w:p>
    <w:p w:rsidR="00716CEA" w:rsidRPr="00325956" w:rsidRDefault="00716CEA" w:rsidP="00716CEA">
      <w:pPr>
        <w:tabs>
          <w:tab w:val="left" w:pos="1100"/>
          <w:tab w:val="right" w:pos="9200"/>
        </w:tabs>
        <w:autoSpaceDE w:val="0"/>
        <w:autoSpaceDN w:val="0"/>
        <w:adjustRightInd w:val="0"/>
        <w:snapToGrid w:val="0"/>
        <w:ind w:left="1100" w:hanging="400"/>
      </w:pPr>
      <w:r>
        <w:t>(Brusel)</w:t>
      </w:r>
    </w:p>
    <w:p w:rsidR="00716CEA" w:rsidRPr="00325956" w:rsidRDefault="00716CEA" w:rsidP="00716CEA">
      <w:pPr>
        <w:tabs>
          <w:tab w:val="left" w:pos="1100"/>
          <w:tab w:val="right" w:pos="9200"/>
        </w:tabs>
        <w:autoSpaceDE w:val="0"/>
        <w:autoSpaceDN w:val="0"/>
        <w:adjustRightInd w:val="0"/>
        <w:snapToGrid w:val="0"/>
        <w:ind w:left="1100" w:hanging="400"/>
      </w:pPr>
    </w:p>
    <w:p w:rsidR="00716CEA" w:rsidRPr="00325956" w:rsidRDefault="00716CEA" w:rsidP="00716CEA">
      <w:r>
        <w:lastRenderedPageBreak/>
        <w:t>Schůze skončila v 13:20</w:t>
      </w:r>
    </w:p>
    <w:p w:rsidR="00716CEA" w:rsidRPr="00325956" w:rsidRDefault="00716CEA" w:rsidP="00716CEA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716CEA" w:rsidRPr="00325956" w:rsidSect="003259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716CEA" w:rsidRPr="00325956" w:rsidRDefault="00716CEA" w:rsidP="00716CEA">
      <w:pPr>
        <w:pStyle w:val="AttendancePVTitle"/>
      </w:pPr>
      <w:r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Nathalie Loiseau (P - SEDE)</w:t>
            </w:r>
            <w:r>
              <w:br/>
              <w:t>Witold Jan Waszczykowski (1</w:t>
            </w:r>
            <w:r>
              <w:rPr>
                <w:vertAlign w:val="superscript"/>
              </w:rPr>
              <w:t>st</w:t>
            </w:r>
            <w:r>
              <w:t xml:space="preserve"> VP - AFET)</w:t>
            </w:r>
            <w:r>
              <w:br/>
              <w:t>Irina Von Wiese (1</w:t>
            </w:r>
            <w:r>
              <w:rPr>
                <w:vertAlign w:val="superscript"/>
              </w:rPr>
              <w:t>st</w:t>
            </w:r>
            <w:r>
              <w:t xml:space="preserve"> VP – DROI)</w:t>
            </w:r>
          </w:p>
        </w:tc>
      </w:tr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716CEA" w:rsidRPr="00325956" w:rsidTr="002A35F6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SEDE: Fabio Massimo Castaldo, Anna Fotyga, Javier Nart, Jérôme Rivière, Louis Stedman-Bryce, Mick Wallace, Elena Yoncheva</w:t>
            </w:r>
            <w:r>
              <w:br/>
              <w:t>AFET: Phil Bennion, Włodzimierz Cimoszewicz, Manu Pineda, Salima Yenbou</w:t>
            </w:r>
            <w:r>
              <w:br/>
              <w:t>DROI: Ryszard Czarnecki, Marisa Matias</w:t>
            </w:r>
          </w:p>
        </w:tc>
      </w:tr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716CEA" w:rsidRPr="00325956" w:rsidTr="002A35F6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 xml:space="preserve">AFET: Andor Deli, Jytte Guteland, </w:t>
            </w:r>
            <w:r>
              <w:br/>
              <w:t>DROI: Neena Gill</w:t>
            </w: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209 (7)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9072" w:type="dxa"/>
            <w:gridSpan w:val="2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216 (3)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9072" w:type="dxa"/>
            <w:gridSpan w:val="2"/>
          </w:tcPr>
          <w:p w:rsidR="00716CEA" w:rsidRPr="00325956" w:rsidRDefault="00716CEA" w:rsidP="002A35F6">
            <w:pPr>
              <w:pStyle w:val="AttendancePVTable"/>
            </w:pPr>
            <w:r>
              <w:t>Pietro Fiocchi, Alexis Georgoulis, Helmut Geuking, Alicia Homs Ginel, Sabrina Pignedoli, Inma Rodríguez-Piñero</w:t>
            </w:r>
          </w:p>
        </w:tc>
      </w:tr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716CEA" w:rsidRPr="00325956" w:rsidTr="002A35F6">
        <w:trPr>
          <w:trHeight w:val="720"/>
        </w:trPr>
        <w:tc>
          <w:tcPr>
            <w:tcW w:w="7513" w:type="dxa"/>
          </w:tcPr>
          <w:p w:rsidR="00716CEA" w:rsidRPr="00325956" w:rsidRDefault="00716CEA" w:rsidP="002A35F6">
            <w:pPr>
              <w:pStyle w:val="AttendancePVTable"/>
            </w:pPr>
          </w:p>
        </w:tc>
        <w:tc>
          <w:tcPr>
            <w:tcW w:w="1559" w:type="dxa"/>
          </w:tcPr>
          <w:p w:rsidR="00716CEA" w:rsidRPr="00325956" w:rsidRDefault="00716CEA" w:rsidP="002A35F6">
            <w:pPr>
              <w:pStyle w:val="AttendancePVTable"/>
            </w:pP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  <w:r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9072" w:type="dxa"/>
          </w:tcPr>
          <w:p w:rsidR="00716CEA" w:rsidRPr="00325956" w:rsidRDefault="00716CEA" w:rsidP="002A35F6">
            <w:pPr>
              <w:pStyle w:val="AttendancePVTable"/>
            </w:pP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EA" w:rsidRPr="00325956" w:rsidTr="002A35F6"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716CEA" w:rsidRPr="00325956" w:rsidTr="002A35F6">
        <w:trPr>
          <w:trHeight w:val="720"/>
        </w:trPr>
        <w:tc>
          <w:tcPr>
            <w:tcW w:w="9072" w:type="dxa"/>
          </w:tcPr>
          <w:p w:rsidR="00716CEA" w:rsidRPr="00325956" w:rsidRDefault="00716CEA" w:rsidP="002A35F6">
            <w:pPr>
              <w:pStyle w:val="AttendancePVTable"/>
            </w:pP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16CEA" w:rsidRPr="00325956" w:rsidTr="002A35F6"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716CEA" w:rsidRPr="00325956" w:rsidTr="002A35F6">
        <w:trPr>
          <w:trHeight w:val="720"/>
        </w:trPr>
        <w:tc>
          <w:tcPr>
            <w:tcW w:w="9072" w:type="dxa"/>
            <w:gridSpan w:val="2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716CEA" w:rsidRPr="00325956" w:rsidTr="002A35F6">
        <w:trPr>
          <w:trHeight w:val="720"/>
        </w:trPr>
        <w:tc>
          <w:tcPr>
            <w:tcW w:w="9072" w:type="dxa"/>
            <w:gridSpan w:val="2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1701" w:type="dxa"/>
          </w:tcPr>
          <w:p w:rsidR="00716CEA" w:rsidRPr="00325956" w:rsidRDefault="00716CEA" w:rsidP="002A35F6">
            <w:pPr>
              <w:pStyle w:val="AttendancePVTable"/>
            </w:pPr>
            <w:r>
              <w:t>EEAS</w:t>
            </w:r>
          </w:p>
          <w:p w:rsidR="00716CEA" w:rsidRPr="00325956" w:rsidRDefault="00716CEA" w:rsidP="002A35F6">
            <w:pPr>
              <w:pStyle w:val="AttendancePVTable"/>
            </w:pPr>
            <w:r>
              <w:t>UN</w:t>
            </w:r>
          </w:p>
        </w:tc>
        <w:tc>
          <w:tcPr>
            <w:tcW w:w="7371" w:type="dxa"/>
          </w:tcPr>
          <w:p w:rsidR="00716CEA" w:rsidRPr="00325956" w:rsidRDefault="00716CEA" w:rsidP="002A35F6">
            <w:pPr>
              <w:pStyle w:val="AttendancePVTable"/>
            </w:pPr>
            <w:r>
              <w:t>Adamsons</w:t>
            </w:r>
          </w:p>
          <w:p w:rsidR="00716CEA" w:rsidRPr="00325956" w:rsidRDefault="00716CEA" w:rsidP="002A35F6">
            <w:pPr>
              <w:pStyle w:val="AttendancePVTable"/>
            </w:pPr>
            <w:r>
              <w:t>Lacroix, Keane</w:t>
            </w: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716CEA" w:rsidRPr="00325956" w:rsidTr="002A35F6">
        <w:trPr>
          <w:cantSplit/>
          <w:trHeight w:val="1200"/>
        </w:trPr>
        <w:tc>
          <w:tcPr>
            <w:tcW w:w="9072" w:type="dxa"/>
          </w:tcPr>
          <w:p w:rsidR="00716CEA" w:rsidRPr="00325956" w:rsidRDefault="00716CEA" w:rsidP="002A35F6">
            <w:pPr>
              <w:pStyle w:val="AttendancePVTable"/>
            </w:pPr>
          </w:p>
        </w:tc>
      </w:tr>
    </w:tbl>
    <w:p w:rsidR="00716CEA" w:rsidRPr="00325956" w:rsidRDefault="00716CEA" w:rsidP="00716CEA">
      <w:pPr>
        <w:pStyle w:val="AttendancePV"/>
      </w:pPr>
      <w: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716CEA" w:rsidRPr="00325956" w:rsidTr="002A35F6">
        <w:trPr>
          <w:cantSplit/>
        </w:trPr>
        <w:tc>
          <w:tcPr>
            <w:tcW w:w="1701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  <w:r>
              <w:t>PPE</w:t>
            </w:r>
          </w:p>
          <w:p w:rsidR="00716CEA" w:rsidRPr="00325956" w:rsidRDefault="00716CEA" w:rsidP="002A35F6">
            <w:pPr>
              <w:pStyle w:val="AttendancePVTable"/>
            </w:pPr>
            <w:r>
              <w:t>S&amp;D</w:t>
            </w:r>
          </w:p>
          <w:p w:rsidR="00716CEA" w:rsidRPr="00325956" w:rsidRDefault="00716CEA" w:rsidP="002A35F6">
            <w:pPr>
              <w:pStyle w:val="AttendancePVTable"/>
            </w:pPr>
            <w:r>
              <w:t>Renew</w:t>
            </w:r>
          </w:p>
          <w:p w:rsidR="00716CEA" w:rsidRPr="00325956" w:rsidRDefault="00716CEA" w:rsidP="002A35F6">
            <w:pPr>
              <w:pStyle w:val="AttendancePVTable"/>
            </w:pPr>
            <w:r>
              <w:t>Verts/ALE</w:t>
            </w:r>
          </w:p>
          <w:p w:rsidR="00716CEA" w:rsidRPr="00325956" w:rsidRDefault="00716CEA" w:rsidP="002A35F6">
            <w:pPr>
              <w:pStyle w:val="AttendancePVTable"/>
            </w:pPr>
            <w:r>
              <w:t>ID</w:t>
            </w:r>
          </w:p>
          <w:p w:rsidR="00716CEA" w:rsidRPr="00325956" w:rsidRDefault="00716CEA" w:rsidP="002A35F6">
            <w:pPr>
              <w:pStyle w:val="AttendancePVTable"/>
            </w:pPr>
            <w:r>
              <w:t>ECR</w:t>
            </w:r>
          </w:p>
          <w:p w:rsidR="00716CEA" w:rsidRPr="00325956" w:rsidRDefault="00716CEA" w:rsidP="002A35F6">
            <w:pPr>
              <w:pStyle w:val="AttendancePVTable"/>
            </w:pPr>
            <w:r>
              <w:t>GUE/NGL</w:t>
            </w:r>
          </w:p>
          <w:p w:rsidR="00716CEA" w:rsidRPr="00325956" w:rsidRDefault="00716CEA" w:rsidP="002A35F6">
            <w:pPr>
              <w:pStyle w:val="AttendancePVTable"/>
            </w:pPr>
            <w:r>
              <w:t>NI</w:t>
            </w:r>
          </w:p>
        </w:tc>
        <w:tc>
          <w:tcPr>
            <w:tcW w:w="7371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  <w:r>
              <w:t>Vlasman, Marciniak</w:t>
            </w:r>
          </w:p>
          <w:p w:rsidR="00716CEA" w:rsidRPr="00325956" w:rsidRDefault="00716CEA" w:rsidP="002A35F6">
            <w:pPr>
              <w:pStyle w:val="AttendancePVTable"/>
            </w:pPr>
            <w:r>
              <w:t>Bataille</w:t>
            </w:r>
          </w:p>
          <w:p w:rsidR="00716CEA" w:rsidRPr="00325956" w:rsidRDefault="00716CEA" w:rsidP="002A35F6">
            <w:pPr>
              <w:pStyle w:val="AttendancePVTable"/>
            </w:pPr>
            <w:r>
              <w:t>Munoa</w:t>
            </w:r>
          </w:p>
          <w:p w:rsidR="00716CEA" w:rsidRPr="00325956" w:rsidRDefault="00716CEA" w:rsidP="002A35F6">
            <w:pPr>
              <w:pStyle w:val="AttendancePVTable"/>
            </w:pPr>
          </w:p>
          <w:p w:rsidR="00716CEA" w:rsidRPr="00325956" w:rsidRDefault="00716CEA" w:rsidP="002A35F6">
            <w:pPr>
              <w:pStyle w:val="AttendancePVTable"/>
            </w:pPr>
            <w:r>
              <w:t>Volokhova, Marinoni</w:t>
            </w:r>
          </w:p>
          <w:p w:rsidR="00716CEA" w:rsidRPr="00325956" w:rsidRDefault="00716CEA" w:rsidP="002A35F6">
            <w:pPr>
              <w:pStyle w:val="AttendancePVTable"/>
            </w:pPr>
            <w:r>
              <w:t>Ingelaere</w:t>
            </w:r>
          </w:p>
          <w:p w:rsidR="00716CEA" w:rsidRPr="00325956" w:rsidRDefault="00716CEA" w:rsidP="002A35F6">
            <w:pPr>
              <w:pStyle w:val="AttendancePVTable"/>
            </w:pPr>
          </w:p>
          <w:p w:rsidR="00716CEA" w:rsidRPr="00325956" w:rsidRDefault="00716CEA" w:rsidP="002A35F6">
            <w:pPr>
              <w:pStyle w:val="AttendancePVTable"/>
            </w:pPr>
            <w:r>
              <w:t>Pasini</w:t>
            </w: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716CEA" w:rsidRPr="00325956" w:rsidTr="002A35F6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716CEA" w:rsidRPr="00325956" w:rsidTr="002A35F6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Ġenerali/Directoraten-generaal/Dyrekcja Generalna/Direcção-Geral/Direcţii Generale/Generálne riaditeľstvo/Generalni direktorat/Pääosasto/Generaldirektorat</w:t>
            </w:r>
          </w:p>
        </w:tc>
      </w:tr>
      <w:tr w:rsidR="00716CEA" w:rsidRPr="00325956" w:rsidTr="002A35F6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  <w:r>
              <w:t>DG PRES</w:t>
            </w:r>
          </w:p>
          <w:p w:rsidR="00716CEA" w:rsidRPr="00325956" w:rsidRDefault="00716CEA" w:rsidP="002A35F6">
            <w:pPr>
              <w:pStyle w:val="AttendancePVTable"/>
            </w:pPr>
            <w:r>
              <w:t>DG IPOL</w:t>
            </w:r>
          </w:p>
          <w:p w:rsidR="00716CEA" w:rsidRPr="00325956" w:rsidRDefault="00716CEA" w:rsidP="002A35F6">
            <w:pPr>
              <w:pStyle w:val="AttendancePVTable"/>
            </w:pPr>
            <w:r>
              <w:t>DG EXPO</w:t>
            </w:r>
          </w:p>
          <w:p w:rsidR="00716CEA" w:rsidRPr="00325956" w:rsidRDefault="00716CEA" w:rsidP="002A35F6">
            <w:pPr>
              <w:pStyle w:val="AttendancePVTable"/>
            </w:pPr>
            <w:r>
              <w:t>DG EPRS</w:t>
            </w:r>
          </w:p>
          <w:p w:rsidR="00716CEA" w:rsidRPr="00325956" w:rsidRDefault="00716CEA" w:rsidP="002A35F6">
            <w:pPr>
              <w:pStyle w:val="AttendancePVTable"/>
            </w:pPr>
            <w:r>
              <w:t>DG COMM</w:t>
            </w:r>
          </w:p>
          <w:p w:rsidR="00716CEA" w:rsidRPr="00325956" w:rsidRDefault="00716CEA" w:rsidP="002A35F6">
            <w:pPr>
              <w:pStyle w:val="AttendancePVTable"/>
            </w:pPr>
            <w:r>
              <w:t>DG PERS</w:t>
            </w:r>
          </w:p>
          <w:p w:rsidR="00716CEA" w:rsidRPr="00325956" w:rsidRDefault="00716CEA" w:rsidP="002A35F6">
            <w:pPr>
              <w:pStyle w:val="AttendancePVTable"/>
            </w:pPr>
            <w:r>
              <w:t>DG INLO</w:t>
            </w:r>
          </w:p>
          <w:p w:rsidR="00716CEA" w:rsidRPr="00325956" w:rsidRDefault="00716CEA" w:rsidP="002A35F6">
            <w:pPr>
              <w:pStyle w:val="AttendancePVTable"/>
            </w:pPr>
            <w:r>
              <w:t>DG TRAD</w:t>
            </w:r>
          </w:p>
          <w:p w:rsidR="00716CEA" w:rsidRPr="00325956" w:rsidRDefault="00716CEA" w:rsidP="002A35F6">
            <w:pPr>
              <w:pStyle w:val="AttendancePVTable"/>
            </w:pPr>
            <w:r>
              <w:t>DG LINC</w:t>
            </w:r>
          </w:p>
          <w:p w:rsidR="00716CEA" w:rsidRPr="00325956" w:rsidRDefault="00716CEA" w:rsidP="002A35F6">
            <w:pPr>
              <w:pStyle w:val="AttendancePVTable"/>
            </w:pPr>
            <w:r>
              <w:t>DG FINS</w:t>
            </w:r>
          </w:p>
          <w:p w:rsidR="00716CEA" w:rsidRPr="00325956" w:rsidRDefault="00716CEA" w:rsidP="002A35F6">
            <w:pPr>
              <w:pStyle w:val="AttendancePVTable"/>
            </w:pPr>
            <w:r>
              <w:t>DG ITEC</w:t>
            </w:r>
          </w:p>
          <w:p w:rsidR="00716CEA" w:rsidRPr="00325956" w:rsidRDefault="00716CEA" w:rsidP="002A35F6">
            <w:pPr>
              <w:pStyle w:val="AttendancePVTable"/>
            </w:pPr>
            <w:r>
              <w:t>DG SAFE</w:t>
            </w:r>
          </w:p>
        </w:tc>
        <w:tc>
          <w:tcPr>
            <w:tcW w:w="7371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</w:p>
          <w:p w:rsidR="00716CEA" w:rsidRPr="00325956" w:rsidRDefault="00716CEA" w:rsidP="002A35F6">
            <w:pPr>
              <w:pStyle w:val="AttendancePVTable"/>
            </w:pPr>
          </w:p>
          <w:p w:rsidR="00716CEA" w:rsidRPr="00325956" w:rsidRDefault="00716CEA" w:rsidP="002A35F6">
            <w:pPr>
              <w:pStyle w:val="AttendancePVTable"/>
            </w:pPr>
            <w:r>
              <w:t>Di Preso, Maisonny</w:t>
            </w:r>
          </w:p>
          <w:p w:rsidR="00716CEA" w:rsidRPr="00325956" w:rsidRDefault="00716CEA" w:rsidP="002A35F6">
            <w:pPr>
              <w:pStyle w:val="AttendancePVTable"/>
            </w:pPr>
          </w:p>
          <w:p w:rsidR="00716CEA" w:rsidRPr="00325956" w:rsidRDefault="00716CEA" w:rsidP="002A35F6">
            <w:pPr>
              <w:pStyle w:val="AttendancePVTable"/>
            </w:pPr>
            <w:r>
              <w:t>Kobescak Smodis</w:t>
            </w:r>
          </w:p>
          <w:p w:rsidR="00716CEA" w:rsidRPr="00325956" w:rsidRDefault="00716CEA" w:rsidP="002A35F6">
            <w:pPr>
              <w:pStyle w:val="AttendancePVTable"/>
            </w:pPr>
          </w:p>
        </w:tc>
      </w:tr>
    </w:tbl>
    <w:p w:rsidR="00716CEA" w:rsidRPr="00325956" w:rsidRDefault="00716CEA" w:rsidP="00716CEA">
      <w:pPr>
        <w:pStyle w:val="AttendancePV"/>
      </w:pPr>
      <w: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716CEA" w:rsidRPr="00325956" w:rsidTr="002A35F6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</w:p>
        </w:tc>
      </w:tr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716CEA" w:rsidRPr="00325956" w:rsidTr="002A35F6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  <w:r>
              <w:t>Schröder, Blaszauer, Hejtmankova</w:t>
            </w:r>
          </w:p>
        </w:tc>
      </w:tr>
      <w:tr w:rsidR="00716CEA" w:rsidRPr="00325956" w:rsidTr="002A35F6">
        <w:trPr>
          <w:cantSplit/>
        </w:trPr>
        <w:tc>
          <w:tcPr>
            <w:tcW w:w="9072" w:type="dxa"/>
            <w:shd w:val="pct10" w:color="000000" w:fill="FFFFFF"/>
          </w:tcPr>
          <w:p w:rsidR="00716CEA" w:rsidRPr="00325956" w:rsidRDefault="00716CEA" w:rsidP="002A35F6">
            <w:pPr>
              <w:pStyle w:val="AttendancePVTable"/>
            </w:pPr>
            <w: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716CEA" w:rsidRPr="00325956" w:rsidTr="002A35F6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716CEA" w:rsidRPr="00325956" w:rsidRDefault="00716CEA" w:rsidP="002A35F6">
            <w:pPr>
              <w:pStyle w:val="AttendancePVTable"/>
            </w:pPr>
            <w:r>
              <w:t>Nyáry-Bánlaki, Schmutterer</w:t>
            </w:r>
          </w:p>
        </w:tc>
      </w:tr>
    </w:tbl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"/>
      </w:pPr>
    </w:p>
    <w:p w:rsidR="00716CEA" w:rsidRPr="00325956" w:rsidRDefault="00716CEA" w:rsidP="00716CEA">
      <w:pPr>
        <w:pStyle w:val="AttendancePVFootnote"/>
      </w:pPr>
      <w:r>
        <w:t xml:space="preserve">* </w:t>
      </w:r>
      <w:r>
        <w:tab/>
        <w:t>(P)</w:t>
      </w:r>
      <w:r>
        <w:tab/>
        <w:t>=</w:t>
      </w:r>
      <w:r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716CEA" w:rsidRPr="00325956" w:rsidRDefault="00716CEA" w:rsidP="00716CEA">
      <w:pPr>
        <w:pStyle w:val="AttendancePVFootnote"/>
      </w:pPr>
      <w:r>
        <w:tab/>
        <w:t>(VP) =</w:t>
      </w:r>
      <w:r>
        <w:tab/>
        <w:t>Заместник-председател/Vicepresidente/Místopředseda/Næstformand/Stellvertretender Vorsitzender/Aseesimees/Αντιπρόεδρος/ Vice-Chair/Potpredsjednik/Vice-Président/Potpredsjednik/Priekšsēdētāja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716CEA" w:rsidRPr="00325956" w:rsidRDefault="00716CEA" w:rsidP="00716CEA">
      <w:pPr>
        <w:pStyle w:val="AttendancePVFootnote"/>
      </w:pPr>
      <w:r>
        <w:tab/>
        <w:t>(M)</w:t>
      </w:r>
      <w:r>
        <w:tab/>
        <w:t>=</w:t>
      </w:r>
      <w:r>
        <w:tab/>
        <w:t>Член/Miembro/Člen/Medlem./Mitglied/Parlamendiliige/Βουλευτής/Member/Membre/Član/Membro/Deputāts/Narys/Képviselő/ Membru/Lid/Członek/Membro/Membru/Člen/Poslanec/Jäsen/Ledamot</w:t>
      </w:r>
    </w:p>
    <w:p w:rsidR="00716CEA" w:rsidRPr="00325956" w:rsidRDefault="00716CEA" w:rsidP="00716CEA">
      <w:pPr>
        <w:pStyle w:val="AttendancePVFootnote"/>
      </w:pPr>
      <w:r>
        <w:tab/>
        <w:t>(F)</w:t>
      </w:r>
      <w:r>
        <w:tab/>
        <w:t>=</w:t>
      </w:r>
      <w: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716CEA" w:rsidRPr="00325956" w:rsidRDefault="00716CEA" w:rsidP="00716CEA">
      <w:pPr>
        <w:pStyle w:val="AttendancePV"/>
      </w:pPr>
    </w:p>
    <w:sectPr w:rsidR="00716CEA" w:rsidRPr="00325956" w:rsidSect="00325956">
      <w:footerReference w:type="first" r:id="rId15"/>
      <w:footnotePr>
        <w:numRestart w:val="eachSect"/>
      </w:footnotePr>
      <w:pgSz w:w="11907" w:h="16840" w:code="9"/>
      <w:pgMar w:top="1134" w:right="1418" w:bottom="1418" w:left="1418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99" w:rsidRPr="00325956" w:rsidRDefault="00340099">
      <w:r w:rsidRPr="00325956">
        <w:separator/>
      </w:r>
    </w:p>
    <w:p w:rsidR="00340099" w:rsidRPr="00325956" w:rsidRDefault="00340099"/>
  </w:endnote>
  <w:endnote w:type="continuationSeparator" w:id="0">
    <w:p w:rsidR="00340099" w:rsidRPr="00325956" w:rsidRDefault="00340099">
      <w:r w:rsidRPr="00325956">
        <w:continuationSeparator/>
      </w:r>
    </w:p>
    <w:p w:rsidR="00340099" w:rsidRPr="00325956" w:rsidRDefault="0034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56" w:rsidRPr="00325956" w:rsidRDefault="00325956" w:rsidP="00325956">
    <w:pPr>
      <w:pStyle w:val="EPFooter"/>
    </w:pPr>
    <w:r w:rsidRPr="00325956">
      <w:t>PE</w:t>
    </w:r>
    <w:r w:rsidRPr="00325956">
      <w:rPr>
        <w:rStyle w:val="HideTWBExt"/>
        <w:noProof w:val="0"/>
      </w:rPr>
      <w:t>&lt;NoPE&gt;</w:t>
    </w:r>
    <w:r w:rsidRPr="00325956">
      <w:t>644.766</w:t>
    </w:r>
    <w:r w:rsidRPr="00325956">
      <w:rPr>
        <w:rStyle w:val="HideTWBExt"/>
        <w:noProof w:val="0"/>
      </w:rPr>
      <w:t>&lt;/NoPE&gt;&lt;Version&gt;</w:t>
    </w:r>
    <w:r w:rsidRPr="00325956">
      <w:t>v01-00</w:t>
    </w:r>
    <w:r w:rsidRPr="00325956">
      <w:rPr>
        <w:rStyle w:val="HideTWBExt"/>
        <w:noProof w:val="0"/>
      </w:rPr>
      <w:t>&lt;/Version&gt;</w:t>
    </w:r>
    <w:r w:rsidRPr="00325956">
      <w:tab/>
    </w:r>
    <w:r w:rsidRPr="00325956">
      <w:fldChar w:fldCharType="begin"/>
    </w:r>
    <w:r w:rsidRPr="00325956">
      <w:instrText xml:space="preserve"> PAGE  \* MERGEFORMAT </w:instrText>
    </w:r>
    <w:r w:rsidRPr="00325956">
      <w:fldChar w:fldCharType="separate"/>
    </w:r>
    <w:r w:rsidR="00A550BF">
      <w:rPr>
        <w:noProof/>
      </w:rPr>
      <w:t>6</w:t>
    </w:r>
    <w:r w:rsidRPr="00325956">
      <w:fldChar w:fldCharType="end"/>
    </w:r>
    <w:r w:rsidRPr="00325956">
      <w:t>/</w:t>
    </w:r>
    <w:r w:rsidR="00A550BF">
      <w:fldChar w:fldCharType="begin"/>
    </w:r>
    <w:r w:rsidR="00A550BF">
      <w:instrText xml:space="preserve"> NUMPAGES  \* MERGEFORMAT </w:instrText>
    </w:r>
    <w:r w:rsidR="00A550BF">
      <w:fldChar w:fldCharType="separate"/>
    </w:r>
    <w:r w:rsidR="00A550BF">
      <w:rPr>
        <w:noProof/>
      </w:rPr>
      <w:t>6</w:t>
    </w:r>
    <w:r w:rsidR="00A550BF">
      <w:rPr>
        <w:noProof/>
      </w:rPr>
      <w:fldChar w:fldCharType="end"/>
    </w:r>
    <w:r w:rsidRPr="00325956">
      <w:tab/>
    </w:r>
    <w:r w:rsidRPr="00325956">
      <w:rPr>
        <w:rStyle w:val="HideTWBExt"/>
        <w:noProof w:val="0"/>
      </w:rPr>
      <w:t>&lt;PathFdR&gt;</w:t>
    </w:r>
    <w:r w:rsidRPr="00325956">
      <w:t>PV\1193354CS.docx</w:t>
    </w:r>
    <w:r w:rsidRPr="00325956">
      <w:rPr>
        <w:rStyle w:val="HideTWBExt"/>
        <w:noProof w:val="0"/>
      </w:rPr>
      <w:t>&lt;/PathFdR&gt;</w:t>
    </w:r>
  </w:p>
  <w:p w:rsidR="00716CEA" w:rsidRPr="00325956" w:rsidRDefault="00325956" w:rsidP="00325956">
    <w:pPr>
      <w:pStyle w:val="EPFooter2"/>
    </w:pPr>
    <w:r w:rsidRPr="00325956"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56" w:rsidRPr="00325956" w:rsidRDefault="00325956" w:rsidP="00325956">
    <w:pPr>
      <w:pStyle w:val="EPFooter"/>
    </w:pPr>
    <w:r w:rsidRPr="00325956">
      <w:rPr>
        <w:rStyle w:val="HideTWBExt"/>
        <w:noProof w:val="0"/>
      </w:rPr>
      <w:t>&lt;PathFdR&gt;</w:t>
    </w:r>
    <w:r w:rsidRPr="00325956">
      <w:t>PV\1193354CS.docx</w:t>
    </w:r>
    <w:r w:rsidRPr="00325956">
      <w:rPr>
        <w:rStyle w:val="HideTWBExt"/>
        <w:noProof w:val="0"/>
      </w:rPr>
      <w:t>&lt;/PathFdR&gt;</w:t>
    </w:r>
    <w:r w:rsidRPr="00325956">
      <w:tab/>
    </w:r>
    <w:r w:rsidRPr="00325956">
      <w:fldChar w:fldCharType="begin"/>
    </w:r>
    <w:r w:rsidRPr="00325956">
      <w:instrText xml:space="preserve"> PAGE  \* MERGEFORMAT </w:instrText>
    </w:r>
    <w:r w:rsidRPr="00325956">
      <w:fldChar w:fldCharType="separate"/>
    </w:r>
    <w:r w:rsidR="00A550BF">
      <w:rPr>
        <w:noProof/>
      </w:rPr>
      <w:t>6</w:t>
    </w:r>
    <w:r w:rsidRPr="00325956">
      <w:fldChar w:fldCharType="end"/>
    </w:r>
    <w:r w:rsidRPr="00325956">
      <w:t>/</w:t>
    </w:r>
    <w:r w:rsidR="00A550BF">
      <w:fldChar w:fldCharType="begin"/>
    </w:r>
    <w:r w:rsidR="00A550BF">
      <w:instrText xml:space="preserve"> NUMPAGES  \* MERGEFORMAT </w:instrText>
    </w:r>
    <w:r w:rsidR="00A550BF">
      <w:fldChar w:fldCharType="separate"/>
    </w:r>
    <w:r w:rsidR="00A550BF">
      <w:rPr>
        <w:noProof/>
      </w:rPr>
      <w:t>6</w:t>
    </w:r>
    <w:r w:rsidR="00A550BF">
      <w:rPr>
        <w:noProof/>
      </w:rPr>
      <w:fldChar w:fldCharType="end"/>
    </w:r>
    <w:r w:rsidRPr="00325956">
      <w:tab/>
      <w:t>PE</w:t>
    </w:r>
    <w:r w:rsidRPr="00325956">
      <w:rPr>
        <w:rStyle w:val="HideTWBExt"/>
        <w:noProof w:val="0"/>
      </w:rPr>
      <w:t>&lt;NoPE&gt;</w:t>
    </w:r>
    <w:r w:rsidRPr="00325956">
      <w:t>644.766</w:t>
    </w:r>
    <w:r w:rsidRPr="00325956">
      <w:rPr>
        <w:rStyle w:val="HideTWBExt"/>
        <w:noProof w:val="0"/>
      </w:rPr>
      <w:t>&lt;/NoPE&gt;&lt;Version&gt;</w:t>
    </w:r>
    <w:r w:rsidRPr="00325956">
      <w:t>v01-00</w:t>
    </w:r>
    <w:r w:rsidRPr="00325956">
      <w:rPr>
        <w:rStyle w:val="HideTWBExt"/>
        <w:noProof w:val="0"/>
      </w:rPr>
      <w:t>&lt;/Version&gt;</w:t>
    </w:r>
  </w:p>
  <w:p w:rsidR="00716CEA" w:rsidRPr="00325956" w:rsidRDefault="00325956" w:rsidP="00325956">
    <w:pPr>
      <w:pStyle w:val="EPFooter2"/>
    </w:pPr>
    <w:r w:rsidRPr="00325956">
      <w:tab/>
    </w:r>
    <w:r w:rsidRPr="00325956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56" w:rsidRPr="00325956" w:rsidRDefault="00325956" w:rsidP="00325956">
    <w:pPr>
      <w:pStyle w:val="EPFooter"/>
    </w:pPr>
    <w:r w:rsidRPr="00325956">
      <w:rPr>
        <w:rStyle w:val="HideTWBExt"/>
        <w:noProof w:val="0"/>
      </w:rPr>
      <w:t>&lt;PathFdR&gt;</w:t>
    </w:r>
    <w:r w:rsidRPr="00325956">
      <w:t>PV\1193354CS.docx</w:t>
    </w:r>
    <w:r w:rsidRPr="00325956">
      <w:rPr>
        <w:rStyle w:val="HideTWBExt"/>
        <w:noProof w:val="0"/>
      </w:rPr>
      <w:t>&lt;/PathFdR&gt;</w:t>
    </w:r>
    <w:r w:rsidRPr="00325956">
      <w:tab/>
    </w:r>
    <w:r w:rsidRPr="00325956">
      <w:tab/>
      <w:t>PE</w:t>
    </w:r>
    <w:r w:rsidRPr="00325956">
      <w:rPr>
        <w:rStyle w:val="HideTWBExt"/>
        <w:noProof w:val="0"/>
      </w:rPr>
      <w:t>&lt;NoPE&gt;</w:t>
    </w:r>
    <w:r w:rsidRPr="00325956">
      <w:t>644.766</w:t>
    </w:r>
    <w:r w:rsidRPr="00325956">
      <w:rPr>
        <w:rStyle w:val="HideTWBExt"/>
        <w:noProof w:val="0"/>
      </w:rPr>
      <w:t>&lt;/NoPE&gt;&lt;Version&gt;</w:t>
    </w:r>
    <w:r w:rsidRPr="00325956">
      <w:t>v01-00</w:t>
    </w:r>
    <w:r w:rsidRPr="00325956">
      <w:rPr>
        <w:rStyle w:val="HideTWBExt"/>
        <w:noProof w:val="0"/>
      </w:rPr>
      <w:t>&lt;/Version&gt;</w:t>
    </w:r>
  </w:p>
  <w:p w:rsidR="00716CEA" w:rsidRPr="00325956" w:rsidRDefault="00325956" w:rsidP="00325956">
    <w:pPr>
      <w:pStyle w:val="EPFooter2"/>
    </w:pPr>
    <w:r w:rsidRPr="00325956">
      <w:t>CS</w:t>
    </w:r>
    <w:r w:rsidRPr="00325956">
      <w:tab/>
    </w:r>
    <w:r w:rsidRPr="00325956">
      <w:rPr>
        <w:b w:val="0"/>
        <w:i/>
        <w:color w:val="C0C0C0"/>
        <w:sz w:val="22"/>
      </w:rPr>
      <w:t>Jednotná v rozmanitosti</w:t>
    </w:r>
    <w:r w:rsidRPr="00325956">
      <w:tab/>
      <w:t>CS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5" w:rsidRPr="00325956" w:rsidRDefault="00A13D65" w:rsidP="005A4857">
    <w:pPr>
      <w:pStyle w:val="EPFooter"/>
    </w:pPr>
    <w:r w:rsidRPr="00325956">
      <w:rPr>
        <w:rStyle w:val="HideTWBExt"/>
        <w:noProof w:val="0"/>
      </w:rPr>
      <w:t>&lt;PathFdR&gt;</w:t>
    </w:r>
    <w:r w:rsidR="00716CEA" w:rsidRPr="00325956">
      <w:rPr>
        <w:color w:val="auto"/>
      </w:rPr>
      <w:t>PV\1193354CS.docx</w:t>
    </w:r>
    <w:r w:rsidRPr="00325956">
      <w:rPr>
        <w:rStyle w:val="HideTWBExt"/>
        <w:noProof w:val="0"/>
      </w:rPr>
      <w:t>&lt;/PathFdR&gt;</w:t>
    </w:r>
    <w:r w:rsidRPr="00325956">
      <w:tab/>
    </w:r>
    <w:r w:rsidRPr="00325956">
      <w:tab/>
      <w:t>PE</w:t>
    </w:r>
    <w:r w:rsidRPr="00325956">
      <w:rPr>
        <w:rStyle w:val="HideTWBExt"/>
        <w:noProof w:val="0"/>
      </w:rPr>
      <w:t>&lt;NoPE&gt;</w:t>
    </w:r>
    <w:r w:rsidR="00716CEA" w:rsidRPr="00325956">
      <w:rPr>
        <w:color w:val="auto"/>
      </w:rPr>
      <w:t>644.766</w:t>
    </w:r>
    <w:r w:rsidRPr="00325956">
      <w:rPr>
        <w:rStyle w:val="HideTWBExt"/>
        <w:noProof w:val="0"/>
      </w:rPr>
      <w:t>&lt;/NoPE&gt;&lt;Version&gt;</w:t>
    </w:r>
    <w:r w:rsidR="00340099" w:rsidRPr="00325956">
      <w:t>v</w:t>
    </w:r>
    <w:r w:rsidR="00716CEA" w:rsidRPr="00325956">
      <w:rPr>
        <w:color w:val="auto"/>
      </w:rPr>
      <w:t>01-00</w:t>
    </w:r>
    <w:r w:rsidRPr="00325956">
      <w:rPr>
        <w:rStyle w:val="HideTWBExt"/>
        <w:noProof w:val="0"/>
      </w:rPr>
      <w:t>&lt;/Version&gt;</w:t>
    </w:r>
  </w:p>
  <w:p w:rsidR="00A13D65" w:rsidRPr="00325956" w:rsidRDefault="00B135CD" w:rsidP="00F64B87">
    <w:pPr>
      <w:pStyle w:val="EPFooter2"/>
      <w:tabs>
        <w:tab w:val="clear" w:pos="4535"/>
        <w:tab w:val="center" w:pos="4536"/>
      </w:tabs>
    </w:pPr>
    <w:fldSimple w:instr=" DOCPROPERTY &quot;&lt;Extension&gt;&quot; ">
      <w:r w:rsidR="00A550BF">
        <w:t>CS</w:t>
      </w:r>
    </w:fldSimple>
    <w:r w:rsidR="00A13D65" w:rsidRPr="00325956">
      <w:tab/>
    </w:r>
    <w:r w:rsidR="00716CEA" w:rsidRPr="00325956">
      <w:rPr>
        <w:b w:val="0"/>
        <w:i/>
        <w:color w:val="C0C0C0"/>
        <w:sz w:val="22"/>
        <w:szCs w:val="22"/>
      </w:rPr>
      <w:t>Jednotná v rozmanitosti</w:t>
    </w:r>
    <w:r w:rsidR="00A13D65" w:rsidRPr="00325956">
      <w:tab/>
    </w:r>
    <w:fldSimple w:instr=" DOCPROPERTY &quot;&lt;Extension&gt;&quot; ">
      <w:r w:rsidR="00A550BF">
        <w:t>CS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99" w:rsidRPr="00325956" w:rsidRDefault="00340099">
      <w:r w:rsidRPr="00325956">
        <w:separator/>
      </w:r>
    </w:p>
    <w:p w:rsidR="00340099" w:rsidRPr="00325956" w:rsidRDefault="00340099"/>
  </w:footnote>
  <w:footnote w:type="continuationSeparator" w:id="0">
    <w:p w:rsidR="00340099" w:rsidRPr="00325956" w:rsidRDefault="00340099">
      <w:r w:rsidRPr="00325956">
        <w:continuationSeparator/>
      </w:r>
    </w:p>
    <w:p w:rsidR="00340099" w:rsidRPr="00325956" w:rsidRDefault="00340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62" w:rsidRDefault="003A3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62" w:rsidRDefault="003A3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62" w:rsidRDefault="003A3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SEDE"/>
    <w:docVar w:name="LastEditedSection" w:val=" 1"/>
    <w:docVar w:name="MEETMNU" w:val=" 1"/>
    <w:docVar w:name="STOREDT1" w:val="21/11/2019"/>
    <w:docVar w:name="strDocTypeID" w:val="PVx"/>
    <w:docVar w:name="strSubDir" w:val="1193"/>
    <w:docVar w:name="TXTLANGUE" w:val="CS"/>
    <w:docVar w:name="TXTLANGUEMIN" w:val="cs"/>
    <w:docVar w:name="TXTNRPE" w:val="644.766"/>
    <w:docVar w:name="TXTPEorAP" w:val="PE"/>
    <w:docVar w:name="TXTROUTE" w:val="PV\1193354CS.docx"/>
    <w:docVar w:name="TXTVERSION" w:val="01-00"/>
  </w:docVars>
  <w:rsids>
    <w:rsidRoot w:val="00340099"/>
    <w:rsid w:val="00007788"/>
    <w:rsid w:val="00021AD6"/>
    <w:rsid w:val="000265BD"/>
    <w:rsid w:val="000533F1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27C41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25956"/>
    <w:rsid w:val="003345F5"/>
    <w:rsid w:val="0033767A"/>
    <w:rsid w:val="00340099"/>
    <w:rsid w:val="00343EBA"/>
    <w:rsid w:val="003547F9"/>
    <w:rsid w:val="0036013B"/>
    <w:rsid w:val="00367FF0"/>
    <w:rsid w:val="00370637"/>
    <w:rsid w:val="00374A20"/>
    <w:rsid w:val="003A0A68"/>
    <w:rsid w:val="003A3562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E2C80"/>
    <w:rsid w:val="00704D52"/>
    <w:rsid w:val="0070508E"/>
    <w:rsid w:val="00713B78"/>
    <w:rsid w:val="00714F25"/>
    <w:rsid w:val="007153A2"/>
    <w:rsid w:val="00716CEA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91B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550BF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35CD"/>
    <w:rsid w:val="00B15084"/>
    <w:rsid w:val="00B2395C"/>
    <w:rsid w:val="00B408BE"/>
    <w:rsid w:val="00B501B7"/>
    <w:rsid w:val="00B51AD5"/>
    <w:rsid w:val="00BA4044"/>
    <w:rsid w:val="00BA464F"/>
    <w:rsid w:val="00BB0B38"/>
    <w:rsid w:val="00BB5E2E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7BC4"/>
    <w:rsid w:val="00DC061F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5865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B48A-5C85-4918-B5D4-CD38A22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customStyle="1" w:styleId="PVXMainHeadings">
    <w:name w:val="PVX Main Headings"/>
    <w:basedOn w:val="Normal"/>
    <w:next w:val="NormalIndent"/>
    <w:rsid w:val="00716CEA"/>
    <w:pPr>
      <w:keepNext/>
      <w:widowControl/>
      <w:tabs>
        <w:tab w:val="num" w:pos="720"/>
        <w:tab w:val="right" w:pos="9072"/>
      </w:tabs>
      <w:spacing w:before="240" w:after="240"/>
      <w:ind w:left="720" w:hanging="720"/>
    </w:pPr>
    <w:rPr>
      <w:b/>
    </w:rPr>
  </w:style>
  <w:style w:type="paragraph" w:customStyle="1" w:styleId="PVXConsiderationitem112b">
    <w:name w:val="PVX Consideration item1 12b"/>
    <w:basedOn w:val="Normal"/>
    <w:rsid w:val="00716CEA"/>
    <w:pPr>
      <w:tabs>
        <w:tab w:val="left" w:pos="2155"/>
      </w:tabs>
      <w:spacing w:before="240"/>
      <w:ind w:left="720"/>
    </w:pPr>
    <w:rPr>
      <w:b/>
      <w:i/>
    </w:rPr>
  </w:style>
  <w:style w:type="paragraph" w:styleId="NormalIndent">
    <w:name w:val="Normal Indent"/>
    <w:basedOn w:val="Normal"/>
    <w:rsid w:val="00716CEA"/>
    <w:pPr>
      <w:ind w:left="720"/>
    </w:pPr>
  </w:style>
  <w:style w:type="paragraph" w:styleId="Footer">
    <w:name w:val="footer"/>
    <w:basedOn w:val="Normal"/>
    <w:link w:val="FooterChar"/>
    <w:rsid w:val="00716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CEA"/>
    <w:rPr>
      <w:snapToGrid w:val="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AKA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10D0-F656-43FE-BFFB-E546AD60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6</Pages>
  <Words>731</Words>
  <Characters>9237</Characters>
  <Application>Microsoft Office Word</Application>
  <DocSecurity>0</DocSecurity>
  <Lines>205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9900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SMAKALOVA Sona</dc:creator>
  <cp:keywords/>
  <cp:lastModifiedBy>SMAKALOVA Sona</cp:lastModifiedBy>
  <cp:revision>2</cp:revision>
  <cp:lastPrinted>2009-06-18T13:43:00Z</cp:lastPrinted>
  <dcterms:created xsi:type="dcterms:W3CDTF">2019-12-20T09:12:00Z</dcterms:created>
  <dcterms:modified xsi:type="dcterms:W3CDTF">2019-12-20T09:12:00Z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1193354</vt:lpwstr>
  </property>
  <property fmtid="{D5CDD505-2E9C-101B-9397-08002B2CF9AE}" pid="5" name="&lt;Type&gt;">
    <vt:lpwstr>PV</vt:lpwstr>
  </property>
  <property fmtid="{D5CDD505-2E9C-101B-9397-08002B2CF9AE}" pid="6" name="&lt;ModelCod&gt;">
    <vt:lpwstr>\\eiciLUXpr1\tdocep$\DocEP\DOCS\General\PV\PVx.dotx(04/11/2019 18:15:04)</vt:lpwstr>
  </property>
  <property fmtid="{D5CDD505-2E9C-101B-9397-08002B2CF9AE}" pid="7" name="&lt;ModelTra&gt;">
    <vt:lpwstr>\\eiciLUXpr1\tdocep$\DocEP\TRANSFIL\CS\PVx.CS(01/07/2019 13:50:05)</vt:lpwstr>
  </property>
  <property fmtid="{D5CDD505-2E9C-101B-9397-08002B2CF9AE}" pid="8" name="&lt;Model&gt;">
    <vt:lpwstr>PVx</vt:lpwstr>
  </property>
  <property fmtid="{D5CDD505-2E9C-101B-9397-08002B2CF9AE}" pid="9" name="FooterPath">
    <vt:lpwstr>PV\1193354CS.docx</vt:lpwstr>
  </property>
  <property fmtid="{D5CDD505-2E9C-101B-9397-08002B2CF9AE}" pid="10" name="PE number">
    <vt:lpwstr>644.766</vt:lpwstr>
  </property>
  <property fmtid="{D5CDD505-2E9C-101B-9397-08002B2CF9AE}" pid="11" name="Bookout">
    <vt:lpwstr>OK - 2019/12/20 10:12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