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8D0145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8D0145" w:rsidRDefault="008D0145" w:rsidP="0010095E">
            <w:pPr>
              <w:pStyle w:val="EPName"/>
              <w:rPr>
                <w:lang w:val="da-DK"/>
              </w:rPr>
            </w:pPr>
            <w:r>
              <w:rPr>
                <w:lang w:val="da-DK"/>
              </w:rPr>
              <w:t>Europa-Parlamentet</w:t>
            </w:r>
          </w:p>
          <w:p w:rsidR="00751A4A" w:rsidRPr="008D0145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da-DK"/>
              </w:rPr>
            </w:pPr>
            <w:r w:rsidRPr="008D0145">
              <w:rPr>
                <w:lang w:val="da-DK"/>
              </w:rPr>
              <w:t>2014</w:t>
            </w:r>
            <w:r w:rsidR="00C941CB" w:rsidRPr="008D0145">
              <w:rPr>
                <w:lang w:val="da-D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8D0145" w:rsidRDefault="00F73002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.75pt">
                  <v:imagedata r:id="rId7" o:title="EP logo RGB_Mute"/>
                </v:shape>
              </w:pict>
            </w:r>
          </w:p>
        </w:tc>
      </w:tr>
    </w:tbl>
    <w:p w:rsidR="00D058B8" w:rsidRPr="008D0145" w:rsidRDefault="00D058B8" w:rsidP="00D058B8">
      <w:pPr>
        <w:pStyle w:val="LineTop"/>
        <w:rPr>
          <w:lang w:val="da-DK"/>
        </w:rPr>
      </w:pPr>
    </w:p>
    <w:p w:rsidR="00680577" w:rsidRPr="008D0145" w:rsidRDefault="008D0145" w:rsidP="00680577">
      <w:pPr>
        <w:pStyle w:val="ZSessionDoc"/>
        <w:rPr>
          <w:b/>
          <w:i w:val="0"/>
        </w:rPr>
      </w:pPr>
      <w:r>
        <w:rPr>
          <w:b/>
          <w:i w:val="0"/>
        </w:rPr>
        <w:t>VEDTAGNE TEKSTER</w:t>
      </w:r>
    </w:p>
    <w:p w:rsidR="00D058B8" w:rsidRPr="008D0145" w:rsidRDefault="00D058B8" w:rsidP="00D058B8">
      <w:pPr>
        <w:pStyle w:val="LineBottom"/>
      </w:pPr>
    </w:p>
    <w:p w:rsidR="008D0145" w:rsidRPr="00EC4427" w:rsidRDefault="008D0145" w:rsidP="008D0145">
      <w:pPr>
        <w:pStyle w:val="ATHeading1"/>
        <w:rPr>
          <w:lang w:val="da-DK"/>
        </w:rPr>
      </w:pPr>
      <w:bookmarkStart w:id="0" w:name="TANumber"/>
      <w:r w:rsidRPr="00EC4427">
        <w:rPr>
          <w:lang w:val="da-DK"/>
        </w:rPr>
        <w:t>P8_TA(2017)000</w:t>
      </w:r>
      <w:r w:rsidR="00E83A21">
        <w:rPr>
          <w:lang w:val="da-DK"/>
        </w:rPr>
        <w:t>5</w:t>
      </w:r>
      <w:bookmarkEnd w:id="0"/>
    </w:p>
    <w:p w:rsidR="008D0145" w:rsidRPr="006E56A5" w:rsidRDefault="006E56A5" w:rsidP="008D0145">
      <w:pPr>
        <w:pStyle w:val="ATHeading2"/>
        <w:rPr>
          <w:lang w:val="da-DK"/>
        </w:rPr>
      </w:pPr>
      <w:bookmarkStart w:id="1" w:name="title"/>
      <w:r w:rsidRPr="006E56A5">
        <w:rPr>
          <w:lang w:val="da-DK"/>
        </w:rPr>
        <w:t>Stabiliserings- og associeringsaftalen mellem EU og Kosovo: procedurer for anvendelsen</w:t>
      </w:r>
      <w:bookmarkEnd w:id="1"/>
      <w:r w:rsidR="008D0145" w:rsidRPr="006E56A5">
        <w:rPr>
          <w:lang w:val="da-DK"/>
        </w:rPr>
        <w:t xml:space="preserve"> </w:t>
      </w:r>
      <w:bookmarkStart w:id="2" w:name="Etoiles"/>
      <w:r w:rsidR="008D0145" w:rsidRPr="006E56A5">
        <w:rPr>
          <w:lang w:val="da-DK"/>
        </w:rPr>
        <w:t>***I</w:t>
      </w:r>
      <w:bookmarkEnd w:id="2"/>
    </w:p>
    <w:p w:rsidR="008D0145" w:rsidRDefault="008D0145" w:rsidP="008D0145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3" w:name="DocNumber"/>
      <w:r>
        <w:rPr>
          <w:i/>
        </w:rPr>
        <w:instrText>A8-0361/2016</w:instrText>
      </w:r>
      <w:bookmarkEnd w:id="3"/>
      <w:r>
        <w:rPr>
          <w:i/>
        </w:rPr>
        <w:instrText xml:space="preserve"> - Ordfører: Adam Szejnfeld)"\l3 \n&gt; \* MERGEFORMAT </w:instrText>
      </w:r>
      <w:r>
        <w:rPr>
          <w:i/>
        </w:rPr>
        <w:fldChar w:fldCharType="end"/>
      </w:r>
    </w:p>
    <w:p w:rsidR="008D0145" w:rsidRDefault="008D0145" w:rsidP="008D0145">
      <w:pPr>
        <w:rPr>
          <w:vanish/>
        </w:rPr>
      </w:pPr>
      <w:bookmarkStart w:id="4" w:name="Commission"/>
      <w:r w:rsidRPr="008D0145">
        <w:rPr>
          <w:vanish/>
        </w:rPr>
        <w:t>Udvalget om International Handel</w:t>
      </w:r>
      <w:bookmarkEnd w:id="4"/>
    </w:p>
    <w:p w:rsidR="008D0145" w:rsidRDefault="008D0145" w:rsidP="008D0145">
      <w:pPr>
        <w:rPr>
          <w:vanish/>
        </w:rPr>
      </w:pPr>
      <w:bookmarkStart w:id="5" w:name="PE"/>
      <w:r w:rsidRPr="008D0145">
        <w:rPr>
          <w:vanish/>
        </w:rPr>
        <w:t>PE592.155</w:t>
      </w:r>
      <w:bookmarkEnd w:id="5"/>
    </w:p>
    <w:p w:rsidR="008D0145" w:rsidRPr="006E56A5" w:rsidRDefault="008D0145" w:rsidP="008D0145">
      <w:pPr>
        <w:pStyle w:val="ATHeading3"/>
        <w:rPr>
          <w:lang w:val="da-DK"/>
        </w:rPr>
      </w:pPr>
      <w:bookmarkStart w:id="6" w:name="Sujet"/>
      <w:r w:rsidRPr="006E56A5">
        <w:rPr>
          <w:lang w:val="da-DK"/>
        </w:rPr>
        <w:t xml:space="preserve">Europa-Parlamentets lovgivningsmæssige beslutning af </w:t>
      </w:r>
      <w:r w:rsidR="0031142C">
        <w:rPr>
          <w:lang w:val="da-DK"/>
        </w:rPr>
        <w:t>19</w:t>
      </w:r>
      <w:r w:rsidRPr="006E56A5">
        <w:rPr>
          <w:lang w:val="da-DK"/>
        </w:rPr>
        <w:t>.</w:t>
      </w:r>
      <w:r w:rsidR="00F0799C">
        <w:rPr>
          <w:lang w:val="da-DK"/>
        </w:rPr>
        <w:t xml:space="preserve"> januar</w:t>
      </w:r>
      <w:r w:rsidRPr="006E56A5">
        <w:rPr>
          <w:lang w:val="da-DK"/>
        </w:rPr>
        <w:t xml:space="preserve"> 2017 om forslag til Europa-Parlamentets og Rådets forordning om visse procedurer for anvendelsen af stabiliserings- og associeringsaftalen mellem Den Europæiske Union og Det Europæiske Atomenergifællesskab på den ene side og Kosovo</w:t>
      </w:r>
      <w:r w:rsidR="00E828EA" w:rsidRPr="00E828EA">
        <w:rPr>
          <w:bCs/>
          <w:szCs w:val="22"/>
          <w:vertAlign w:val="superscript"/>
          <w:lang w:val="da-DK"/>
        </w:rPr>
        <w:footnoteReference w:customMarkFollows="1" w:id="1"/>
        <w:t>*</w:t>
      </w:r>
      <w:r w:rsidRPr="006E56A5">
        <w:rPr>
          <w:lang w:val="da-DK"/>
        </w:rPr>
        <w:t xml:space="preserve"> på den anden side</w:t>
      </w:r>
      <w:bookmarkEnd w:id="6"/>
      <w:r w:rsidRPr="006E56A5">
        <w:rPr>
          <w:lang w:val="da-DK"/>
        </w:rPr>
        <w:t xml:space="preserve"> </w:t>
      </w:r>
      <w:bookmarkStart w:id="7" w:name="References"/>
      <w:r w:rsidRPr="006E56A5">
        <w:rPr>
          <w:lang w:val="da-DK"/>
        </w:rPr>
        <w:t>(COM(2016)0460 – C8-0327/2016 – 2016/0218(COD))</w:t>
      </w:r>
      <w:bookmarkEnd w:id="7"/>
    </w:p>
    <w:p w:rsidR="008D0145" w:rsidRDefault="008D0145" w:rsidP="008D0145"/>
    <w:p w:rsidR="000C1353" w:rsidRPr="00CA06F2" w:rsidRDefault="000C1353" w:rsidP="000C1353">
      <w:pPr>
        <w:pStyle w:val="Normal12Bold"/>
      </w:pPr>
      <w:bookmarkStart w:id="8" w:name="TextBodyBegin"/>
      <w:bookmarkEnd w:id="8"/>
      <w:r w:rsidRPr="00CA06F2">
        <w:t>(Almindelig lovgivningsprocedure: førstebehandling)</w:t>
      </w:r>
    </w:p>
    <w:p w:rsidR="000C1353" w:rsidRPr="00CA06F2" w:rsidRDefault="000C1353" w:rsidP="000C1353">
      <w:pPr>
        <w:pStyle w:val="Normal12"/>
      </w:pPr>
      <w:r w:rsidRPr="00CA06F2">
        <w:rPr>
          <w:i/>
        </w:rPr>
        <w:t>Europa-Parlamentet</w:t>
      </w:r>
      <w:r w:rsidRPr="00CA06F2">
        <w:t>,</w:t>
      </w:r>
    </w:p>
    <w:p w:rsidR="000C1353" w:rsidRPr="00CA06F2" w:rsidRDefault="000C1353" w:rsidP="000C1353">
      <w:pPr>
        <w:pStyle w:val="Normal12Hanging"/>
      </w:pPr>
      <w:r w:rsidRPr="00CA06F2">
        <w:t>–</w:t>
      </w:r>
      <w:r w:rsidRPr="00CA06F2">
        <w:tab/>
        <w:t>der henviser til Kommissionens forslag til Europa-Parlamentet og Rådet (COM(2016)0460),</w:t>
      </w:r>
    </w:p>
    <w:p w:rsidR="000C1353" w:rsidRPr="00CA06F2" w:rsidRDefault="000C1353" w:rsidP="000C1353">
      <w:pPr>
        <w:pStyle w:val="Normal12Hanging"/>
      </w:pPr>
      <w:r w:rsidRPr="00CA06F2">
        <w:t>–</w:t>
      </w:r>
      <w:r w:rsidRPr="00CA06F2">
        <w:tab/>
        <w:t>der henviser til artikel 294, stk. 2, og artikel 207 i traktaten om Den Europæiske Unions funktionsmåde, på grundlag af hvilke Kommissionen har forelagt forslaget for Parlamentet (C8-0327/2016),</w:t>
      </w:r>
    </w:p>
    <w:p w:rsidR="000C1353" w:rsidRPr="00CA06F2" w:rsidRDefault="000C1353" w:rsidP="000C1353">
      <w:pPr>
        <w:pStyle w:val="Normal12Hanging"/>
      </w:pPr>
      <w:r w:rsidRPr="00CA06F2">
        <w:t>–</w:t>
      </w:r>
      <w:r w:rsidRPr="00CA06F2">
        <w:tab/>
        <w:t>der henviser til artikel 294, stk. 3, i traktaten om Den Europæiske Unions funktionsmåde,</w:t>
      </w:r>
    </w:p>
    <w:p w:rsidR="000C1353" w:rsidRDefault="000C1353" w:rsidP="000C1353">
      <w:pPr>
        <w:pStyle w:val="Normal12Hanging"/>
      </w:pPr>
      <w:r w:rsidRPr="00CA06F2">
        <w:t>–</w:t>
      </w:r>
      <w:r w:rsidRPr="00CA06F2">
        <w:tab/>
        <w:t xml:space="preserve">der henviser til skrivelse fra Udenrigsudvalget, </w:t>
      </w:r>
    </w:p>
    <w:p w:rsidR="009D6DE9" w:rsidRPr="00CA06F2" w:rsidRDefault="009D6DE9" w:rsidP="000C1353">
      <w:pPr>
        <w:pStyle w:val="Normal12Hanging"/>
      </w:pPr>
      <w:r w:rsidRPr="00CA06F2">
        <w:t>–</w:t>
      </w:r>
      <w:r>
        <w:tab/>
      </w:r>
      <w:r w:rsidRPr="009D6DE9">
        <w:t xml:space="preserve">der henviser til, at Rådets repræsentant ved skrivelse af </w:t>
      </w:r>
      <w:r>
        <w:t>12</w:t>
      </w:r>
      <w:r w:rsidRPr="009D6DE9">
        <w:t xml:space="preserve">. </w:t>
      </w:r>
      <w:r>
        <w:t>december</w:t>
      </w:r>
      <w:r w:rsidRPr="009D6DE9">
        <w:t xml:space="preserve"> 2016 forpligtede sig til at godkende Europa-Parlamentets holdning, jf. artikel 294, stk. 4, i traktaten om Den Europæiske Unions funktionsmåde,</w:t>
      </w:r>
    </w:p>
    <w:p w:rsidR="000C1353" w:rsidRPr="00CA06F2" w:rsidRDefault="000C1353" w:rsidP="000C1353">
      <w:pPr>
        <w:pStyle w:val="Normal12Hanging"/>
      </w:pPr>
      <w:r w:rsidRPr="00CA06F2">
        <w:t>–</w:t>
      </w:r>
      <w:r w:rsidRPr="00CA06F2">
        <w:tab/>
        <w:t>der henviser til forretningsordenens artikel 59,</w:t>
      </w:r>
    </w:p>
    <w:p w:rsidR="000C1353" w:rsidRPr="00CA06F2" w:rsidRDefault="000C1353" w:rsidP="000C1353">
      <w:pPr>
        <w:pStyle w:val="Normal12Hanging"/>
      </w:pPr>
      <w:r w:rsidRPr="00CA06F2">
        <w:t>–</w:t>
      </w:r>
      <w:r w:rsidRPr="00CA06F2">
        <w:tab/>
        <w:t>der henviser til betænkning fra Udvalget om International Handel og udtalelse fra Udenrigsudvalget (A8-0361/2016),</w:t>
      </w:r>
    </w:p>
    <w:p w:rsidR="000C1353" w:rsidRPr="00CA06F2" w:rsidRDefault="000C1353" w:rsidP="000C1353">
      <w:pPr>
        <w:pStyle w:val="Normal12Hanging"/>
      </w:pPr>
      <w:r w:rsidRPr="00CA06F2">
        <w:t>1.</w:t>
      </w:r>
      <w:r w:rsidRPr="00CA06F2">
        <w:tab/>
        <w:t>vedtager nedenstående holdning ved førstebehandling;</w:t>
      </w:r>
    </w:p>
    <w:p w:rsidR="000C1353" w:rsidRPr="00CA06F2" w:rsidRDefault="000C1353" w:rsidP="000C1353">
      <w:pPr>
        <w:pStyle w:val="Normal12Hanging"/>
      </w:pPr>
      <w:r w:rsidRPr="00CA06F2">
        <w:lastRenderedPageBreak/>
        <w:t>2.</w:t>
      </w:r>
      <w:r w:rsidRPr="00CA06F2">
        <w:tab/>
        <w:t>anmoder om fornyet forelæggelse, hvis Kommissionen agter at ændre sit forslag i væsentlig grad eller erstatte det med en anden tekst;</w:t>
      </w:r>
    </w:p>
    <w:p w:rsidR="000C1353" w:rsidRPr="00CA06F2" w:rsidRDefault="000C1353" w:rsidP="000C1353">
      <w:pPr>
        <w:pStyle w:val="Normal12Hanging"/>
      </w:pPr>
      <w:r w:rsidRPr="00CA06F2">
        <w:t>3.</w:t>
      </w:r>
      <w:r w:rsidRPr="00CA06F2">
        <w:tab/>
        <w:t>pålægger sin formand at sende Parlamentets holdning til Rådet og Kommissionen samt til de nationale parlamenter.</w:t>
      </w:r>
    </w:p>
    <w:p w:rsidR="0031142C" w:rsidRDefault="000C1353" w:rsidP="0031142C">
      <w:pPr>
        <w:widowControl/>
        <w:rPr>
          <w:b/>
        </w:rPr>
      </w:pPr>
      <w:r w:rsidRPr="009D6DE9">
        <w:br w:type="page"/>
      </w:r>
      <w:r w:rsidR="0031142C" w:rsidRPr="009D6DE9">
        <w:rPr>
          <w:b/>
        </w:rPr>
        <w:lastRenderedPageBreak/>
        <w:t>P8_TC1-COD(2016)0218</w:t>
      </w:r>
    </w:p>
    <w:p w:rsidR="00CA156D" w:rsidRPr="009D6DE9" w:rsidRDefault="00CA156D" w:rsidP="0031142C">
      <w:pPr>
        <w:widowControl/>
        <w:rPr>
          <w:b/>
        </w:rPr>
      </w:pPr>
    </w:p>
    <w:p w:rsidR="0031142C" w:rsidRDefault="0031142C" w:rsidP="0031142C">
      <w:pPr>
        <w:pStyle w:val="Normal12Hanging"/>
        <w:ind w:left="0" w:firstLine="0"/>
        <w:rPr>
          <w:rFonts w:eastAsia="Calibri"/>
          <w:b/>
          <w:bCs/>
          <w:szCs w:val="22"/>
          <w:lang w:eastAsia="de-DE"/>
        </w:rPr>
      </w:pPr>
      <w:r w:rsidRPr="0031142C">
        <w:rPr>
          <w:b/>
        </w:rPr>
        <w:t xml:space="preserve">Europa-Parlamentet og Rådets holdning fastlagt ved førstebehandlingen den 19. januar 2017 med henblik på vedtagelse af Europa-Parlamentet og Rådets forordning (EU) 2017/... </w:t>
      </w:r>
      <w:r w:rsidRPr="00EB284F">
        <w:rPr>
          <w:rFonts w:eastAsia="Calibri"/>
          <w:b/>
          <w:bCs/>
          <w:szCs w:val="22"/>
          <w:lang w:eastAsia="de-DE"/>
        </w:rPr>
        <w:t>om visse procedurer for anvendelsen af stabiliserings- og associeringsaftalen mellem Den Europæiske Union og Det Europæiske Atomenergifællesskab på den ene side og Kosovo</w:t>
      </w:r>
      <w:r w:rsidRPr="00EB284F">
        <w:rPr>
          <w:b/>
          <w:bCs/>
          <w:szCs w:val="22"/>
          <w:vertAlign w:val="superscript"/>
        </w:rPr>
        <w:footnoteReference w:customMarkFollows="1" w:id="2"/>
        <w:t>*</w:t>
      </w:r>
      <w:r w:rsidRPr="00EB284F">
        <w:rPr>
          <w:rFonts w:eastAsia="Calibri"/>
          <w:b/>
          <w:bCs/>
          <w:szCs w:val="22"/>
          <w:lang w:eastAsia="de-DE"/>
        </w:rPr>
        <w:t xml:space="preserve"> på den anden side</w:t>
      </w:r>
    </w:p>
    <w:p w:rsidR="00F73002" w:rsidRPr="00B623EB" w:rsidRDefault="00F73002" w:rsidP="00F73002">
      <w:pPr>
        <w:spacing w:before="240"/>
        <w:rPr>
          <w:i/>
        </w:rPr>
      </w:pPr>
      <w:r w:rsidRPr="00745680">
        <w:rPr>
          <w:i/>
        </w:rPr>
        <w:t xml:space="preserve">(Eftersom der </w:t>
      </w:r>
      <w:r>
        <w:rPr>
          <w:i/>
        </w:rPr>
        <w:t>var indgået en aftale</w:t>
      </w:r>
      <w:r w:rsidRPr="00745680">
        <w:rPr>
          <w:i/>
        </w:rPr>
        <w:t xml:space="preserve"> mellem Parlamentet og Rådet, svarer Parlamentets </w:t>
      </w:r>
      <w:r w:rsidRPr="00064FA0">
        <w:rPr>
          <w:i/>
        </w:rPr>
        <w:t xml:space="preserve">holdning til den endelige retsakt, </w:t>
      </w:r>
      <w:r>
        <w:rPr>
          <w:i/>
        </w:rPr>
        <w:t>forordning (EU) 201</w:t>
      </w:r>
      <w:r>
        <w:rPr>
          <w:i/>
        </w:rPr>
        <w:t>7</w:t>
      </w:r>
      <w:r w:rsidRPr="00064FA0">
        <w:rPr>
          <w:i/>
        </w:rPr>
        <w:t>/</w:t>
      </w:r>
      <w:r>
        <w:rPr>
          <w:i/>
        </w:rPr>
        <w:t>355</w:t>
      </w:r>
      <w:bookmarkStart w:id="9" w:name="_GoBack"/>
      <w:bookmarkEnd w:id="9"/>
      <w:r w:rsidRPr="00064FA0">
        <w:rPr>
          <w:i/>
        </w:rPr>
        <w:t>.)</w:t>
      </w:r>
    </w:p>
    <w:p w:rsidR="00F73002" w:rsidRPr="0031142C" w:rsidRDefault="00F73002" w:rsidP="0031142C">
      <w:pPr>
        <w:pStyle w:val="Normal12Hanging"/>
        <w:ind w:left="0" w:firstLine="0"/>
      </w:pPr>
    </w:p>
    <w:sectPr w:rsidR="00F73002" w:rsidRPr="0031142C" w:rsidSect="00333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45" w:rsidRPr="008D0145" w:rsidRDefault="008D0145">
      <w:r w:rsidRPr="008D0145">
        <w:separator/>
      </w:r>
    </w:p>
  </w:endnote>
  <w:endnote w:type="continuationSeparator" w:id="0">
    <w:p w:rsidR="008D0145" w:rsidRPr="008D0145" w:rsidRDefault="008D0145">
      <w:r w:rsidRPr="008D01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BA" w:rsidRDefault="00333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BA" w:rsidRDefault="00333D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BA" w:rsidRDefault="00333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45" w:rsidRPr="008D0145" w:rsidRDefault="008D0145">
      <w:r w:rsidRPr="008D0145">
        <w:separator/>
      </w:r>
    </w:p>
  </w:footnote>
  <w:footnote w:type="continuationSeparator" w:id="0">
    <w:p w:rsidR="008D0145" w:rsidRPr="008D0145" w:rsidRDefault="008D0145">
      <w:r w:rsidRPr="008D0145">
        <w:continuationSeparator/>
      </w:r>
    </w:p>
  </w:footnote>
  <w:footnote w:id="1">
    <w:p w:rsidR="00E828EA" w:rsidRPr="00EC4427" w:rsidRDefault="00E828EA" w:rsidP="00812CDA">
      <w:pPr>
        <w:pStyle w:val="FootnoteText"/>
        <w:ind w:left="567" w:hanging="567"/>
        <w:rPr>
          <w:szCs w:val="24"/>
          <w:lang w:val="da-DK"/>
        </w:rPr>
      </w:pPr>
      <w:r w:rsidRPr="00EC4427">
        <w:rPr>
          <w:rStyle w:val="FootnoteReference"/>
          <w:bCs/>
          <w:szCs w:val="24"/>
          <w:lang w:val="da-DK"/>
        </w:rPr>
        <w:t>*</w:t>
      </w:r>
      <w:r w:rsidRPr="00EC4427">
        <w:rPr>
          <w:lang w:val="da-DK"/>
        </w:rPr>
        <w:tab/>
        <w:t xml:space="preserve">Denne betegnelse indebærer ingen stillingtagen til Kosovos status og er i </w:t>
      </w:r>
      <w:r>
        <w:rPr>
          <w:lang w:val="da-DK"/>
        </w:rPr>
        <w:t>overensstemmelse med UNSCR 1244</w:t>
      </w:r>
      <w:r w:rsidRPr="00EC4427">
        <w:rPr>
          <w:lang w:val="da-DK"/>
        </w:rPr>
        <w:t>(1999) og ICJ's udtalelse om Kosovos uafhængighedserklæring.</w:t>
      </w:r>
    </w:p>
  </w:footnote>
  <w:footnote w:id="2">
    <w:p w:rsidR="0031142C" w:rsidRPr="00EC4427" w:rsidRDefault="0031142C" w:rsidP="0031142C">
      <w:pPr>
        <w:pStyle w:val="FootnoteText"/>
        <w:rPr>
          <w:szCs w:val="24"/>
          <w:lang w:val="da-DK"/>
        </w:rPr>
      </w:pPr>
      <w:r w:rsidRPr="00EC4427">
        <w:rPr>
          <w:rStyle w:val="FootnoteReference"/>
          <w:bCs/>
          <w:szCs w:val="24"/>
          <w:lang w:val="da-DK"/>
        </w:rPr>
        <w:t>*</w:t>
      </w:r>
      <w:r w:rsidRPr="00EC4427">
        <w:rPr>
          <w:lang w:val="da-DK"/>
        </w:rPr>
        <w:tab/>
        <w:t xml:space="preserve">Denne betegnelse indebærer ingen stillingtagen til Kosovos status og er i </w:t>
      </w:r>
      <w:r w:rsidR="00E828EA">
        <w:rPr>
          <w:lang w:val="da-DK"/>
        </w:rPr>
        <w:t>overensstemmelse med UNSCR 1244</w:t>
      </w:r>
      <w:r w:rsidRPr="00EC4427">
        <w:rPr>
          <w:lang w:val="da-DK"/>
        </w:rPr>
        <w:t>(1999) og ICJ's udtalelse om Kosovos uafhængighedserklæring.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BA" w:rsidRDefault="00333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BA" w:rsidRDefault="00333D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BA" w:rsidRDefault="00333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61/2016"/>
    <w:docVar w:name="dvlangue" w:val="DA"/>
    <w:docVar w:name="dvnumam" w:val="0"/>
    <w:docVar w:name="dvpe" w:val="592.155"/>
    <w:docVar w:name="dvrapporteur" w:val="Ordfører: "/>
    <w:docVar w:name="dvtitre" w:val="Europa-Parlamentets lovgivningsmæssige beslutning af xx.xx 2017 om forslag til Europa-Parlamentets og Rådets forordning om visse procedurer for anvendelsen af stabiliserings- og associeringsaftalen mellem Den Europæiske Union og Det Europæiske Atomenergifællesskab på den ene side og Kosovo på den anden side(COM(2016)0460 – C8-0327/2016 – 2016/0218(COD))"/>
  </w:docVars>
  <w:rsids>
    <w:rsidRoot w:val="008D0145"/>
    <w:rsid w:val="00002272"/>
    <w:rsid w:val="000677B9"/>
    <w:rsid w:val="000C1353"/>
    <w:rsid w:val="000E7DD9"/>
    <w:rsid w:val="0010095E"/>
    <w:rsid w:val="00125B37"/>
    <w:rsid w:val="002767FF"/>
    <w:rsid w:val="002B5493"/>
    <w:rsid w:val="0031142C"/>
    <w:rsid w:val="00333DBA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E56A5"/>
    <w:rsid w:val="006F74FA"/>
    <w:rsid w:val="00731ADD"/>
    <w:rsid w:val="00734777"/>
    <w:rsid w:val="00751A4A"/>
    <w:rsid w:val="00756632"/>
    <w:rsid w:val="007D1690"/>
    <w:rsid w:val="00812CDA"/>
    <w:rsid w:val="00865F67"/>
    <w:rsid w:val="00881A7B"/>
    <w:rsid w:val="008840E5"/>
    <w:rsid w:val="008C2AC6"/>
    <w:rsid w:val="008D0145"/>
    <w:rsid w:val="009509D8"/>
    <w:rsid w:val="00981893"/>
    <w:rsid w:val="009D6DE9"/>
    <w:rsid w:val="00A4678D"/>
    <w:rsid w:val="00AF3B82"/>
    <w:rsid w:val="00B558F0"/>
    <w:rsid w:val="00BD4BB5"/>
    <w:rsid w:val="00BD7BD8"/>
    <w:rsid w:val="00C05BFE"/>
    <w:rsid w:val="00C23CD4"/>
    <w:rsid w:val="00C941CB"/>
    <w:rsid w:val="00CA156D"/>
    <w:rsid w:val="00CC2357"/>
    <w:rsid w:val="00D058B8"/>
    <w:rsid w:val="00D834A0"/>
    <w:rsid w:val="00D91E21"/>
    <w:rsid w:val="00DE4A5B"/>
    <w:rsid w:val="00E365E1"/>
    <w:rsid w:val="00E50CDD"/>
    <w:rsid w:val="00E828EA"/>
    <w:rsid w:val="00E83A21"/>
    <w:rsid w:val="00EB284F"/>
    <w:rsid w:val="00EC4427"/>
    <w:rsid w:val="00ED4235"/>
    <w:rsid w:val="00F04346"/>
    <w:rsid w:val="00F075DC"/>
    <w:rsid w:val="00F0799C"/>
    <w:rsid w:val="00F5134D"/>
    <w:rsid w:val="00F73002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5493C8-957C-4A73-9A31-A547CF29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da-DK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0C1353"/>
    <w:rPr>
      <w:sz w:val="24"/>
      <w:lang w:val="da-DK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0C1353"/>
    <w:rPr>
      <w:b/>
      <w:sz w:val="24"/>
      <w:lang w:val="da-DK"/>
    </w:rPr>
  </w:style>
  <w:style w:type="paragraph" w:customStyle="1" w:styleId="ColumnHeading">
    <w:name w:val="ColumnHeading"/>
    <w:basedOn w:val="Normal"/>
    <w:rsid w:val="000C1353"/>
    <w:pPr>
      <w:spacing w:after="240"/>
      <w:jc w:val="center"/>
    </w:pPr>
    <w:rPr>
      <w:i/>
      <w:lang w:eastAsia="da-DK" w:bidi="da-DK"/>
    </w:rPr>
  </w:style>
  <w:style w:type="paragraph" w:customStyle="1" w:styleId="AMNumberTabs">
    <w:name w:val="AMNumberTabs"/>
    <w:basedOn w:val="Normal"/>
    <w:rsid w:val="000C135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eastAsia="da-DK" w:bidi="da-DK"/>
    </w:rPr>
  </w:style>
  <w:style w:type="paragraph" w:customStyle="1" w:styleId="NormalBold12b">
    <w:name w:val="NormalBold12b"/>
    <w:basedOn w:val="Normal"/>
    <w:rsid w:val="000C1353"/>
    <w:pPr>
      <w:spacing w:before="240"/>
    </w:pPr>
    <w:rPr>
      <w:b/>
      <w:lang w:eastAsia="da-DK" w:bidi="da-DK"/>
    </w:rPr>
  </w:style>
  <w:style w:type="paragraph" w:styleId="BalloonText">
    <w:name w:val="Balloon Text"/>
    <w:basedOn w:val="Normal"/>
    <w:link w:val="BalloonTextChar"/>
    <w:rsid w:val="00311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42C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59336FAA</Template>
  <TotalTime>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RASMUSSEN Malene Viftrup</dc:creator>
  <cp:keywords/>
  <cp:lastModifiedBy>RASMUSSEN Malene Viftrup</cp:lastModifiedBy>
  <cp:revision>2</cp:revision>
  <cp:lastPrinted>2004-11-19T15:42:00Z</cp:lastPrinted>
  <dcterms:created xsi:type="dcterms:W3CDTF">2017-08-23T12:25:00Z</dcterms:created>
  <dcterms:modified xsi:type="dcterms:W3CDTF">2017-08-23T12:25:00Z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P8_TA-PROV(2017)0005_A8-0361_2016_</vt:lpwstr>
  </property>
  <property fmtid="{D5CDD505-2E9C-101B-9397-08002B2CF9AE}" pid="4" name="&lt;Type&gt;">
    <vt:lpwstr>RR</vt:lpwstr>
  </property>
</Properties>
</file>