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5018D5" w:rsidTr="0010095E">
        <w:trPr>
          <w:trHeight w:hRule="exact" w:val="1418"/>
        </w:trPr>
        <w:tc>
          <w:tcPr>
            <w:tcW w:w="6804" w:type="dxa"/>
            <w:shd w:val="clear" w:color="auto" w:fill="auto"/>
            <w:vAlign w:val="center"/>
          </w:tcPr>
          <w:p w:rsidR="00751A4A" w:rsidRPr="005018D5" w:rsidRDefault="005566B6" w:rsidP="0010095E">
            <w:pPr>
              <w:pStyle w:val="EPName"/>
              <w:rPr>
                <w:lang w:val="et-EE"/>
              </w:rPr>
            </w:pPr>
            <w:r w:rsidRPr="005018D5">
              <w:rPr>
                <w:lang w:val="et-EE"/>
              </w:rPr>
              <w:t>Euroopa Parlament</w:t>
            </w:r>
          </w:p>
          <w:p w:rsidR="00751A4A" w:rsidRPr="005018D5" w:rsidRDefault="00756632" w:rsidP="00756632">
            <w:pPr>
              <w:pStyle w:val="EPTerm"/>
              <w:rPr>
                <w:rStyle w:val="HideTWBExt"/>
                <w:noProof w:val="0"/>
                <w:vanish w:val="0"/>
                <w:color w:val="auto"/>
                <w:lang w:val="et-EE"/>
              </w:rPr>
            </w:pPr>
            <w:r w:rsidRPr="005018D5">
              <w:rPr>
                <w:lang w:val="et-EE"/>
              </w:rPr>
              <w:t>2014</w:t>
            </w:r>
            <w:r w:rsidR="00C941CB" w:rsidRPr="005018D5">
              <w:rPr>
                <w:lang w:val="et-EE"/>
              </w:rPr>
              <w:t>-2019</w:t>
            </w:r>
          </w:p>
        </w:tc>
        <w:tc>
          <w:tcPr>
            <w:tcW w:w="2268" w:type="dxa"/>
            <w:shd w:val="clear" w:color="auto" w:fill="auto"/>
          </w:tcPr>
          <w:p w:rsidR="00751A4A" w:rsidRPr="005018D5" w:rsidRDefault="000A3502"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D058B8" w:rsidRPr="005018D5" w:rsidRDefault="00D058B8" w:rsidP="00D058B8">
      <w:pPr>
        <w:pStyle w:val="LineTop"/>
        <w:rPr>
          <w:lang w:val="et-EE"/>
        </w:rPr>
      </w:pPr>
    </w:p>
    <w:p w:rsidR="00680577" w:rsidRPr="005018D5" w:rsidRDefault="005566B6" w:rsidP="00680577">
      <w:pPr>
        <w:pStyle w:val="ZSessionDoc"/>
        <w:rPr>
          <w:b/>
          <w:i w:val="0"/>
        </w:rPr>
      </w:pPr>
      <w:r w:rsidRPr="005018D5">
        <w:rPr>
          <w:b/>
          <w:i w:val="0"/>
        </w:rPr>
        <w:t>VASTUVÕETUD TEKSTID</w:t>
      </w:r>
    </w:p>
    <w:p w:rsidR="00D058B8" w:rsidRPr="005018D5" w:rsidRDefault="00D058B8" w:rsidP="00D058B8">
      <w:pPr>
        <w:pStyle w:val="LineBottom"/>
      </w:pPr>
    </w:p>
    <w:p w:rsidR="005566B6" w:rsidRPr="005018D5" w:rsidRDefault="000A3502" w:rsidP="005566B6">
      <w:pPr>
        <w:pStyle w:val="ATHeading1"/>
        <w:rPr>
          <w:noProof w:val="0"/>
          <w:lang w:val="et-EE"/>
        </w:rPr>
      </w:pPr>
      <w:bookmarkStart w:id="0" w:name="TANumber"/>
      <w:r>
        <w:rPr>
          <w:noProof w:val="0"/>
          <w:lang w:val="et-EE"/>
        </w:rPr>
        <w:t>P8_TA</w:t>
      </w:r>
      <w:bookmarkStart w:id="1" w:name="_GoBack"/>
      <w:bookmarkEnd w:id="1"/>
      <w:r w:rsidR="005566B6" w:rsidRPr="005018D5">
        <w:rPr>
          <w:noProof w:val="0"/>
          <w:lang w:val="et-EE"/>
        </w:rPr>
        <w:t>(2017)0</w:t>
      </w:r>
      <w:r w:rsidR="00837852">
        <w:rPr>
          <w:noProof w:val="0"/>
          <w:lang w:val="et-EE"/>
        </w:rPr>
        <w:t>248</w:t>
      </w:r>
      <w:bookmarkEnd w:id="0"/>
    </w:p>
    <w:p w:rsidR="005566B6" w:rsidRPr="005018D5" w:rsidRDefault="005566B6" w:rsidP="005566B6">
      <w:pPr>
        <w:pStyle w:val="ATHeading2"/>
        <w:rPr>
          <w:noProof w:val="0"/>
          <w:lang w:val="et-EE"/>
        </w:rPr>
      </w:pPr>
      <w:bookmarkStart w:id="2" w:name="title"/>
      <w:r w:rsidRPr="005018D5">
        <w:rPr>
          <w:noProof w:val="0"/>
          <w:lang w:val="et-EE"/>
        </w:rPr>
        <w:t>Piiriülesed ühinemised ja jagunemised</w:t>
      </w:r>
      <w:bookmarkStart w:id="3" w:name="Etoiles"/>
      <w:bookmarkEnd w:id="2"/>
      <w:bookmarkEnd w:id="3"/>
    </w:p>
    <w:p w:rsidR="005566B6" w:rsidRPr="005018D5" w:rsidRDefault="005566B6" w:rsidP="005566B6">
      <w:pPr>
        <w:rPr>
          <w:i/>
          <w:vanish/>
        </w:rPr>
      </w:pPr>
      <w:r w:rsidRPr="005018D5">
        <w:rPr>
          <w:i/>
        </w:rPr>
        <w:fldChar w:fldCharType="begin"/>
      </w:r>
      <w:r w:rsidRPr="005018D5">
        <w:rPr>
          <w:i/>
        </w:rPr>
        <w:instrText xml:space="preserve"> TC"(</w:instrText>
      </w:r>
      <w:bookmarkStart w:id="4" w:name="DocNumber"/>
      <w:r w:rsidRPr="005018D5">
        <w:rPr>
          <w:i/>
        </w:rPr>
        <w:instrText>A8-0190/2017</w:instrText>
      </w:r>
      <w:bookmarkEnd w:id="4"/>
      <w:r w:rsidRPr="005018D5">
        <w:rPr>
          <w:i/>
        </w:rPr>
        <w:instrText xml:space="preserve"> - Raportöör: Enrico </w:instrText>
      </w:r>
      <w:proofErr w:type="spellStart"/>
      <w:r w:rsidRPr="005018D5">
        <w:rPr>
          <w:i/>
        </w:rPr>
        <w:instrText>Gasbarra</w:instrText>
      </w:r>
      <w:proofErr w:type="spellEnd"/>
      <w:r w:rsidRPr="005018D5">
        <w:rPr>
          <w:i/>
        </w:rPr>
        <w:instrText xml:space="preserve">)"\l3 \n&gt; \* MERGEFORMAT </w:instrText>
      </w:r>
      <w:r w:rsidRPr="005018D5">
        <w:rPr>
          <w:i/>
        </w:rPr>
        <w:fldChar w:fldCharType="end"/>
      </w:r>
    </w:p>
    <w:p w:rsidR="005566B6" w:rsidRPr="005018D5" w:rsidRDefault="005566B6" w:rsidP="005566B6">
      <w:pPr>
        <w:rPr>
          <w:vanish/>
        </w:rPr>
      </w:pPr>
      <w:bookmarkStart w:id="5" w:name="Commission"/>
      <w:r w:rsidRPr="005018D5">
        <w:rPr>
          <w:vanish/>
        </w:rPr>
        <w:t>Õiguskomisjon</w:t>
      </w:r>
      <w:bookmarkEnd w:id="5"/>
    </w:p>
    <w:p w:rsidR="005566B6" w:rsidRPr="005018D5" w:rsidRDefault="005566B6" w:rsidP="005566B6">
      <w:pPr>
        <w:rPr>
          <w:vanish/>
        </w:rPr>
      </w:pPr>
      <w:bookmarkStart w:id="6" w:name="PE"/>
      <w:r w:rsidRPr="005018D5">
        <w:rPr>
          <w:vanish/>
        </w:rPr>
        <w:t>PE595.722</w:t>
      </w:r>
      <w:bookmarkEnd w:id="6"/>
    </w:p>
    <w:p w:rsidR="005566B6" w:rsidRPr="005018D5" w:rsidRDefault="00543C2B" w:rsidP="00B246E8">
      <w:pPr>
        <w:pStyle w:val="ATHeading3"/>
        <w:rPr>
          <w:noProof w:val="0"/>
          <w:lang w:val="et-EE"/>
        </w:rPr>
      </w:pPr>
      <w:bookmarkStart w:id="7" w:name="Sujet"/>
      <w:r w:rsidRPr="005018D5">
        <w:rPr>
          <w:noProof w:val="0"/>
          <w:lang w:val="et-EE"/>
        </w:rPr>
        <w:t>Euroopa Parlamendi 13</w:t>
      </w:r>
      <w:r w:rsidR="005566B6" w:rsidRPr="005018D5">
        <w:rPr>
          <w:noProof w:val="0"/>
          <w:lang w:val="et-EE"/>
        </w:rPr>
        <w:t>.</w:t>
      </w:r>
      <w:r w:rsidR="00B246E8" w:rsidRPr="005018D5">
        <w:rPr>
          <w:noProof w:val="0"/>
          <w:lang w:val="et-EE"/>
        </w:rPr>
        <w:t> juuni 2017. </w:t>
      </w:r>
      <w:r w:rsidR="005566B6" w:rsidRPr="005018D5">
        <w:rPr>
          <w:noProof w:val="0"/>
          <w:lang w:val="et-EE"/>
        </w:rPr>
        <w:t xml:space="preserve">aasta resolutsioon piiriülese ühinemise ja jagunemise rakendamise kohta </w:t>
      </w:r>
      <w:bookmarkStart w:id="8" w:name="References"/>
      <w:bookmarkEnd w:id="7"/>
      <w:r w:rsidR="005566B6" w:rsidRPr="005018D5">
        <w:rPr>
          <w:noProof w:val="0"/>
          <w:lang w:val="et-EE"/>
        </w:rPr>
        <w:t>(2016/2065(INI))</w:t>
      </w:r>
      <w:bookmarkEnd w:id="8"/>
    </w:p>
    <w:p w:rsidR="00FE0CD4" w:rsidRPr="005018D5" w:rsidRDefault="00FE0CD4" w:rsidP="00B246E8">
      <w:pPr>
        <w:pStyle w:val="Normal12"/>
        <w:spacing w:before="360" w:after="120"/>
        <w:ind w:left="720" w:hanging="720"/>
      </w:pPr>
      <w:bookmarkStart w:id="9" w:name="TextBodyBegin"/>
      <w:bookmarkEnd w:id="9"/>
      <w:r w:rsidRPr="005018D5">
        <w:rPr>
          <w:i/>
        </w:rPr>
        <w:t>Euroopa Parlament</w:t>
      </w:r>
      <w:r w:rsidRPr="005018D5">
        <w:t>,</w:t>
      </w:r>
    </w:p>
    <w:p w:rsidR="00FE0CD4" w:rsidRPr="005018D5" w:rsidRDefault="00FE0CD4" w:rsidP="00B246E8">
      <w:pPr>
        <w:pStyle w:val="Normal12Hanging"/>
        <w:spacing w:before="120" w:after="120"/>
        <w:ind w:left="720" w:hanging="720"/>
      </w:pPr>
      <w:r w:rsidRPr="005018D5">
        <w:t>–</w:t>
      </w:r>
      <w:r w:rsidRPr="005018D5">
        <w:tab/>
      </w:r>
      <w:r w:rsidRPr="005018D5">
        <w:rPr>
          <w:rStyle w:val="st1"/>
        </w:rPr>
        <w:t>võttes arvesse Euroopa Liidu toimimise lepingu (ELi toimimise lepi</w:t>
      </w:r>
      <w:r w:rsidR="00B246E8" w:rsidRPr="005018D5">
        <w:rPr>
          <w:rStyle w:val="st1"/>
        </w:rPr>
        <w:t>ng) artikleid 49, 54 ja </w:t>
      </w:r>
      <w:r w:rsidRPr="005018D5">
        <w:rPr>
          <w:rStyle w:val="st1"/>
        </w:rPr>
        <w:t>153,</w:t>
      </w:r>
    </w:p>
    <w:p w:rsidR="00FE0CD4" w:rsidRPr="005018D5" w:rsidRDefault="00B246E8" w:rsidP="00B246E8">
      <w:pPr>
        <w:pStyle w:val="Normal12Hanging"/>
        <w:spacing w:before="120" w:after="120"/>
        <w:ind w:left="720" w:hanging="720"/>
      </w:pPr>
      <w:r w:rsidRPr="005018D5">
        <w:t>–</w:t>
      </w:r>
      <w:r w:rsidRPr="005018D5">
        <w:tab/>
        <w:t>võttes arvesse nõukogu 17. detsembri 1982. </w:t>
      </w:r>
      <w:r w:rsidR="00FE0CD4" w:rsidRPr="005018D5">
        <w:t>aasta kuuendat direktiivi</w:t>
      </w:r>
      <w:r w:rsidR="00543C2B" w:rsidRPr="005018D5">
        <w:t> </w:t>
      </w:r>
      <w:r w:rsidR="00820DD0" w:rsidRPr="005018D5">
        <w:t>82/891/EMÜ</w:t>
      </w:r>
      <w:r w:rsidR="00FE0CD4" w:rsidRPr="005018D5">
        <w:t>, mis käsitleb aktsiaseltside jagunemist lä</w:t>
      </w:r>
      <w:r w:rsidRPr="005018D5">
        <w:t>htuvalt asutamislepingu artikli 54 lõike 3 punktist </w:t>
      </w:r>
      <w:r w:rsidR="00FE0CD4" w:rsidRPr="005018D5">
        <w:t>g</w:t>
      </w:r>
      <w:r w:rsidR="00FE0CD4" w:rsidRPr="005018D5">
        <w:rPr>
          <w:rStyle w:val="FootnoteReference"/>
        </w:rPr>
        <w:footnoteReference w:id="1"/>
      </w:r>
      <w:r w:rsidR="00FE0CD4" w:rsidRPr="005018D5">
        <w:t xml:space="preserve">, </w:t>
      </w:r>
    </w:p>
    <w:p w:rsidR="00FE0CD4" w:rsidRPr="005018D5" w:rsidRDefault="00FE0CD4" w:rsidP="00B246E8">
      <w:pPr>
        <w:pStyle w:val="Normal12Hanging"/>
        <w:spacing w:before="120" w:after="120"/>
        <w:ind w:left="720" w:hanging="720"/>
      </w:pPr>
      <w:r w:rsidRPr="005018D5">
        <w:t>–</w:t>
      </w:r>
      <w:r w:rsidRPr="005018D5">
        <w:tab/>
        <w:t>võttes arvesse Eu</w:t>
      </w:r>
      <w:r w:rsidR="00B246E8" w:rsidRPr="005018D5">
        <w:t>roopa Parlamendi ja nõukogu 26. </w:t>
      </w:r>
      <w:r w:rsidRPr="005018D5">
        <w:t>oktoob</w:t>
      </w:r>
      <w:r w:rsidR="00B246E8" w:rsidRPr="005018D5">
        <w:t>ri 2005. aasta direktiivi </w:t>
      </w:r>
      <w:r w:rsidRPr="005018D5">
        <w:t>2005/56/EÜ piiratud vastutusega äriühingute piiriülese ühinemise kohta</w:t>
      </w:r>
      <w:r w:rsidRPr="005018D5">
        <w:rPr>
          <w:rStyle w:val="FootnoteReference"/>
        </w:rPr>
        <w:footnoteReference w:id="2"/>
      </w:r>
      <w:r w:rsidRPr="005018D5">
        <w:t>,</w:t>
      </w:r>
    </w:p>
    <w:p w:rsidR="00FE0CD4" w:rsidRPr="005018D5" w:rsidRDefault="00B246E8" w:rsidP="00B246E8">
      <w:pPr>
        <w:pStyle w:val="Normal12Hanging"/>
        <w:spacing w:before="120" w:after="120"/>
        <w:ind w:left="720" w:hanging="720"/>
      </w:pPr>
      <w:r w:rsidRPr="005018D5">
        <w:t>–</w:t>
      </w:r>
      <w:r w:rsidRPr="005018D5">
        <w:tab/>
        <w:t>võttes arvesse nõukogu 8. oktoobri 2001. aasta määrust (EÜ) nr </w:t>
      </w:r>
      <w:r w:rsidR="00FE0CD4" w:rsidRPr="005018D5">
        <w:t>2157/2001 Euroopa äriühingu (SE) põhikirja kohta</w:t>
      </w:r>
      <w:r w:rsidR="00FE0CD4" w:rsidRPr="005018D5">
        <w:rPr>
          <w:rStyle w:val="FootnoteReference"/>
        </w:rPr>
        <w:footnoteReference w:id="3"/>
      </w:r>
      <w:r w:rsidR="00FE0CD4" w:rsidRPr="005018D5">
        <w:t xml:space="preserve">, </w:t>
      </w:r>
    </w:p>
    <w:p w:rsidR="00FE0CD4" w:rsidRPr="005018D5" w:rsidRDefault="00B246E8" w:rsidP="00B246E8">
      <w:pPr>
        <w:pStyle w:val="Normal12Hanging"/>
        <w:spacing w:before="120" w:after="120"/>
        <w:ind w:left="720" w:hanging="720"/>
      </w:pPr>
      <w:r w:rsidRPr="005018D5">
        <w:t>–</w:t>
      </w:r>
      <w:r w:rsidRPr="005018D5">
        <w:tab/>
        <w:t>võttes arvesse nõukogu 8. </w:t>
      </w:r>
      <w:r w:rsidR="00FE0CD4" w:rsidRPr="005018D5">
        <w:t xml:space="preserve">oktoobri </w:t>
      </w:r>
      <w:r w:rsidRPr="005018D5">
        <w:t>2001. aasta direktiivi </w:t>
      </w:r>
      <w:r w:rsidR="00FE0CD4" w:rsidRPr="005018D5">
        <w:t>2001/86/EÜ, millega täiendatakse Euroopa äriühingu põhikirja töötajate kaasamise suhtes</w:t>
      </w:r>
      <w:r w:rsidR="00FE0CD4" w:rsidRPr="005018D5">
        <w:rPr>
          <w:rStyle w:val="FootnoteReference"/>
        </w:rPr>
        <w:footnoteReference w:id="4"/>
      </w:r>
      <w:r w:rsidR="00FE0CD4" w:rsidRPr="005018D5">
        <w:t>,</w:t>
      </w:r>
    </w:p>
    <w:p w:rsidR="00FE0CD4" w:rsidRPr="005018D5" w:rsidRDefault="00FE0CD4" w:rsidP="00B246E8">
      <w:pPr>
        <w:pStyle w:val="Normal12Hanging"/>
        <w:spacing w:before="120" w:after="120"/>
        <w:ind w:left="720" w:hanging="720"/>
      </w:pPr>
      <w:r w:rsidRPr="005018D5">
        <w:t>–</w:t>
      </w:r>
      <w:r w:rsidRPr="005018D5">
        <w:tab/>
        <w:t xml:space="preserve">võttes arvesse Euroopa Parlamendi ja nõukogu 11. märtsi 2002. aasta direktiivi 2002/14/EÜ, millega kehtestatakse töötajate teavitamise ja nõustamise </w:t>
      </w:r>
      <w:proofErr w:type="spellStart"/>
      <w:r w:rsidRPr="005018D5">
        <w:t>üldraamistik</w:t>
      </w:r>
      <w:proofErr w:type="spellEnd"/>
      <w:r w:rsidRPr="005018D5">
        <w:t xml:space="preserve"> Euroopa Ühenduses</w:t>
      </w:r>
      <w:r w:rsidRPr="005018D5">
        <w:rPr>
          <w:rStyle w:val="FootnoteReference"/>
        </w:rPr>
        <w:footnoteReference w:id="5"/>
      </w:r>
      <w:r w:rsidRPr="005018D5">
        <w:t>,</w:t>
      </w:r>
    </w:p>
    <w:p w:rsidR="00FE0CD4" w:rsidRPr="005018D5" w:rsidRDefault="00FE0CD4" w:rsidP="00B246E8">
      <w:pPr>
        <w:pStyle w:val="Normal12Hanging"/>
        <w:spacing w:before="120" w:after="120"/>
        <w:ind w:left="720" w:hanging="720"/>
      </w:pPr>
      <w:r w:rsidRPr="005018D5">
        <w:rPr>
          <w:rStyle w:val="Strong"/>
          <w:b w:val="0"/>
        </w:rPr>
        <w:t>–</w:t>
      </w:r>
      <w:r w:rsidRPr="005018D5">
        <w:tab/>
      </w:r>
      <w:r w:rsidR="00B246E8" w:rsidRPr="005018D5">
        <w:rPr>
          <w:rStyle w:val="Strong"/>
          <w:b w:val="0"/>
        </w:rPr>
        <w:t>võttes arvesse komisjoni 12. detsembri 2012. </w:t>
      </w:r>
      <w:r w:rsidRPr="005018D5">
        <w:rPr>
          <w:rStyle w:val="Strong"/>
          <w:b w:val="0"/>
        </w:rPr>
        <w:t>aasta teatist „Tegevuskava:</w:t>
      </w:r>
      <w:r w:rsidRPr="005018D5">
        <w:rPr>
          <w:rStyle w:val="Strong"/>
        </w:rPr>
        <w:t xml:space="preserve"> </w:t>
      </w:r>
      <w:r w:rsidRPr="005018D5">
        <w:t xml:space="preserve">Euroopa äriühinguõigus ja äriühingu üldjuhtimine – ajakohane õigusraamistik kaasatumate </w:t>
      </w:r>
      <w:r w:rsidRPr="005018D5">
        <w:lastRenderedPageBreak/>
        <w:t>aktsionäride ja jätkusuutlike äriühingute jaoks“ (COM(2012)0740),</w:t>
      </w:r>
    </w:p>
    <w:p w:rsidR="00FE0CD4" w:rsidRPr="005018D5" w:rsidRDefault="00B246E8" w:rsidP="00B246E8">
      <w:pPr>
        <w:pStyle w:val="Normal12Hanging"/>
        <w:spacing w:before="120" w:after="120"/>
        <w:ind w:left="720" w:hanging="720"/>
      </w:pPr>
      <w:r w:rsidRPr="005018D5">
        <w:t>–</w:t>
      </w:r>
      <w:r w:rsidRPr="005018D5">
        <w:tab/>
        <w:t>võttes arvesse oma 14. juuni 2012. </w:t>
      </w:r>
      <w:r w:rsidR="00FE0CD4" w:rsidRPr="005018D5">
        <w:t>aasta resolutsiooni Euroopa äriühinguõiguse tuleviku kohta</w:t>
      </w:r>
      <w:r w:rsidR="00FE0CD4" w:rsidRPr="005018D5">
        <w:rPr>
          <w:rStyle w:val="FootnoteReference"/>
        </w:rPr>
        <w:footnoteReference w:id="6"/>
      </w:r>
      <w:r w:rsidR="00FE0CD4" w:rsidRPr="005018D5">
        <w:t>,</w:t>
      </w:r>
    </w:p>
    <w:p w:rsidR="00FE0CD4" w:rsidRPr="005018D5" w:rsidRDefault="00B246E8" w:rsidP="00B246E8">
      <w:pPr>
        <w:pStyle w:val="Normal12Hanging"/>
        <w:spacing w:before="120" w:after="120"/>
        <w:ind w:left="720" w:hanging="720"/>
      </w:pPr>
      <w:r w:rsidRPr="005018D5">
        <w:t>–</w:t>
      </w:r>
      <w:r w:rsidRPr="005018D5">
        <w:tab/>
        <w:t>võttes arvesse oma 10. märtsi 2009. </w:t>
      </w:r>
      <w:r w:rsidR="00FE0CD4" w:rsidRPr="005018D5">
        <w:t>aasta resolutsiooni soovitustega komisjonile äriühingu registrijärgse asukoha piiriülese muutmise kohta</w:t>
      </w:r>
      <w:r w:rsidR="00FE0CD4" w:rsidRPr="005018D5">
        <w:rPr>
          <w:rStyle w:val="FootnoteReference"/>
        </w:rPr>
        <w:footnoteReference w:id="7"/>
      </w:r>
      <w:r w:rsidR="00FE0CD4" w:rsidRPr="005018D5">
        <w:t>,</w:t>
      </w:r>
    </w:p>
    <w:p w:rsidR="00FE0CD4" w:rsidRPr="005018D5" w:rsidRDefault="00FE0CD4" w:rsidP="00B246E8">
      <w:pPr>
        <w:pStyle w:val="Normal12Hanging"/>
        <w:spacing w:before="120" w:after="120"/>
        <w:ind w:left="720" w:hanging="720"/>
        <w:rPr>
          <w:rStyle w:val="Strong"/>
          <w:b w:val="0"/>
          <w:szCs w:val="24"/>
        </w:rPr>
      </w:pPr>
      <w:r w:rsidRPr="005018D5">
        <w:rPr>
          <w:rStyle w:val="Strong"/>
        </w:rPr>
        <w:t>–</w:t>
      </w:r>
      <w:r w:rsidRPr="005018D5">
        <w:rPr>
          <w:rStyle w:val="Strong"/>
        </w:rPr>
        <w:tab/>
      </w:r>
      <w:r w:rsidR="00B246E8" w:rsidRPr="005018D5">
        <w:t>võttes arvesse komisjoni 25. oktoobri 2016. </w:t>
      </w:r>
      <w:r w:rsidRPr="005018D5">
        <w:t>aasta teatist „Õiglase, konkurentsivõimelise ja stabiilse äriühingute tulumaksu süsteemi loomine ELis“ (COM(2016)0682),</w:t>
      </w:r>
    </w:p>
    <w:p w:rsidR="00FE0CD4" w:rsidRPr="005018D5" w:rsidRDefault="00FE0CD4" w:rsidP="00B246E8">
      <w:pPr>
        <w:pStyle w:val="Normal12Hanging"/>
        <w:spacing w:before="120" w:after="120"/>
        <w:ind w:left="720" w:hanging="720"/>
        <w:rPr>
          <w:rStyle w:val="Strong"/>
          <w:b w:val="0"/>
          <w:szCs w:val="24"/>
        </w:rPr>
      </w:pPr>
      <w:r w:rsidRPr="005018D5">
        <w:t>–</w:t>
      </w:r>
      <w:r w:rsidRPr="005018D5">
        <w:tab/>
        <w:t xml:space="preserve">võttes arvesse Euroopa Liidu Kohtu otsuseid, mis käsitlevad asutamisvabadust, eelkõige kohtuasjades SEVIC </w:t>
      </w:r>
      <w:proofErr w:type="spellStart"/>
      <w:r w:rsidRPr="005018D5">
        <w:t>Systems</w:t>
      </w:r>
      <w:proofErr w:type="spellEnd"/>
      <w:r w:rsidRPr="005018D5">
        <w:t xml:space="preserve"> AG</w:t>
      </w:r>
      <w:r w:rsidRPr="005018D5">
        <w:rPr>
          <w:snapToGrid w:val="0"/>
          <w:vertAlign w:val="superscript"/>
        </w:rPr>
        <w:footnoteReference w:id="8"/>
      </w:r>
      <w:r w:rsidRPr="005018D5">
        <w:t xml:space="preserve">, </w:t>
      </w:r>
      <w:proofErr w:type="spellStart"/>
      <w:r w:rsidRPr="005018D5">
        <w:t>Cadbury</w:t>
      </w:r>
      <w:proofErr w:type="spellEnd"/>
      <w:r w:rsidRPr="005018D5">
        <w:t xml:space="preserve"> </w:t>
      </w:r>
      <w:proofErr w:type="spellStart"/>
      <w:r w:rsidRPr="005018D5">
        <w:t>Schweppes</w:t>
      </w:r>
      <w:proofErr w:type="spellEnd"/>
      <w:r w:rsidRPr="005018D5">
        <w:t xml:space="preserve"> </w:t>
      </w:r>
      <w:proofErr w:type="spellStart"/>
      <w:r w:rsidRPr="005018D5">
        <w:t>plc</w:t>
      </w:r>
      <w:proofErr w:type="spellEnd"/>
      <w:r w:rsidRPr="005018D5">
        <w:t xml:space="preserve"> ja </w:t>
      </w:r>
      <w:proofErr w:type="spellStart"/>
      <w:r w:rsidRPr="005018D5">
        <w:t>Cadbury</w:t>
      </w:r>
      <w:proofErr w:type="spellEnd"/>
      <w:r w:rsidRPr="005018D5">
        <w:t xml:space="preserve"> </w:t>
      </w:r>
      <w:proofErr w:type="spellStart"/>
      <w:r w:rsidRPr="005018D5">
        <w:t>Schweppes</w:t>
      </w:r>
      <w:proofErr w:type="spellEnd"/>
      <w:r w:rsidRPr="005018D5">
        <w:t xml:space="preserve"> </w:t>
      </w:r>
      <w:proofErr w:type="spellStart"/>
      <w:r w:rsidRPr="005018D5">
        <w:t>Overseas</w:t>
      </w:r>
      <w:proofErr w:type="spellEnd"/>
      <w:r w:rsidRPr="005018D5">
        <w:t xml:space="preserve"> </w:t>
      </w:r>
      <w:proofErr w:type="spellStart"/>
      <w:r w:rsidRPr="005018D5">
        <w:t>Ltd</w:t>
      </w:r>
      <w:proofErr w:type="spellEnd"/>
      <w:r w:rsidRPr="005018D5">
        <w:t xml:space="preserve"> </w:t>
      </w:r>
      <w:r w:rsidRPr="005018D5">
        <w:rPr>
          <w:i/>
        </w:rPr>
        <w:t>vs.</w:t>
      </w:r>
      <w:r w:rsidRPr="005018D5">
        <w:t xml:space="preserve"> </w:t>
      </w:r>
      <w:proofErr w:type="spellStart"/>
      <w:r w:rsidRPr="005018D5">
        <w:t>Commissioners</w:t>
      </w:r>
      <w:proofErr w:type="spellEnd"/>
      <w:r w:rsidRPr="005018D5">
        <w:t xml:space="preserve"> of </w:t>
      </w:r>
      <w:proofErr w:type="spellStart"/>
      <w:r w:rsidRPr="005018D5">
        <w:t>Inland</w:t>
      </w:r>
      <w:proofErr w:type="spellEnd"/>
      <w:r w:rsidRPr="005018D5">
        <w:t xml:space="preserve"> </w:t>
      </w:r>
      <w:proofErr w:type="spellStart"/>
      <w:r w:rsidRPr="005018D5">
        <w:t>Revenue</w:t>
      </w:r>
      <w:proofErr w:type="spellEnd"/>
      <w:r w:rsidRPr="005018D5">
        <w:rPr>
          <w:snapToGrid w:val="0"/>
          <w:vertAlign w:val="superscript"/>
        </w:rPr>
        <w:footnoteReference w:id="9"/>
      </w:r>
      <w:r w:rsidRPr="005018D5">
        <w:t xml:space="preserve">, CARTESIO </w:t>
      </w:r>
      <w:proofErr w:type="spellStart"/>
      <w:r w:rsidRPr="005018D5">
        <w:t>Oktató</w:t>
      </w:r>
      <w:proofErr w:type="spellEnd"/>
      <w:r w:rsidRPr="005018D5">
        <w:t xml:space="preserve"> </w:t>
      </w:r>
      <w:proofErr w:type="spellStart"/>
      <w:r w:rsidRPr="005018D5">
        <w:t>és</w:t>
      </w:r>
      <w:proofErr w:type="spellEnd"/>
      <w:r w:rsidRPr="005018D5">
        <w:t xml:space="preserve"> </w:t>
      </w:r>
      <w:proofErr w:type="spellStart"/>
      <w:r w:rsidRPr="005018D5">
        <w:t>Szolgáltató</w:t>
      </w:r>
      <w:proofErr w:type="spellEnd"/>
      <w:r w:rsidRPr="005018D5">
        <w:t xml:space="preserve"> </w:t>
      </w:r>
      <w:proofErr w:type="spellStart"/>
      <w:r w:rsidRPr="005018D5">
        <w:t>bt</w:t>
      </w:r>
      <w:proofErr w:type="spellEnd"/>
      <w:r w:rsidRPr="005018D5">
        <w:t>.</w:t>
      </w:r>
      <w:r w:rsidRPr="005018D5">
        <w:rPr>
          <w:snapToGrid w:val="0"/>
          <w:vertAlign w:val="superscript"/>
        </w:rPr>
        <w:footnoteReference w:id="10"/>
      </w:r>
      <w:r w:rsidRPr="005018D5">
        <w:t xml:space="preserve">, VALE </w:t>
      </w:r>
      <w:proofErr w:type="spellStart"/>
      <w:r w:rsidRPr="005018D5">
        <w:t>Építési</w:t>
      </w:r>
      <w:proofErr w:type="spellEnd"/>
      <w:r w:rsidRPr="005018D5">
        <w:t xml:space="preserve"> </w:t>
      </w:r>
      <w:proofErr w:type="spellStart"/>
      <w:r w:rsidRPr="005018D5">
        <w:t>kft</w:t>
      </w:r>
      <w:proofErr w:type="spellEnd"/>
      <w:r w:rsidRPr="005018D5">
        <w:t>.</w:t>
      </w:r>
      <w:r w:rsidRPr="005018D5">
        <w:rPr>
          <w:snapToGrid w:val="0"/>
          <w:vertAlign w:val="superscript"/>
        </w:rPr>
        <w:footnoteReference w:id="11"/>
      </w:r>
      <w:r w:rsidRPr="005018D5">
        <w:t xml:space="preserve">, KA </w:t>
      </w:r>
      <w:proofErr w:type="spellStart"/>
      <w:r w:rsidRPr="005018D5">
        <w:t>Finanz</w:t>
      </w:r>
      <w:proofErr w:type="spellEnd"/>
      <w:r w:rsidRPr="005018D5">
        <w:t xml:space="preserve"> AG </w:t>
      </w:r>
      <w:r w:rsidRPr="005018D5">
        <w:rPr>
          <w:i/>
        </w:rPr>
        <w:t>vs.</w:t>
      </w:r>
      <w:r w:rsidRPr="005018D5">
        <w:t xml:space="preserve"> </w:t>
      </w:r>
      <w:proofErr w:type="spellStart"/>
      <w:r w:rsidRPr="005018D5">
        <w:t>Sparkassen</w:t>
      </w:r>
      <w:proofErr w:type="spellEnd"/>
      <w:r w:rsidRPr="005018D5">
        <w:t xml:space="preserve"> </w:t>
      </w:r>
      <w:proofErr w:type="spellStart"/>
      <w:r w:rsidRPr="005018D5">
        <w:t>Versicherung</w:t>
      </w:r>
      <w:proofErr w:type="spellEnd"/>
      <w:r w:rsidRPr="005018D5">
        <w:t xml:space="preserve"> AG </w:t>
      </w:r>
      <w:proofErr w:type="spellStart"/>
      <w:r w:rsidRPr="005018D5">
        <w:t>Vienna</w:t>
      </w:r>
      <w:proofErr w:type="spellEnd"/>
      <w:r w:rsidRPr="005018D5">
        <w:t xml:space="preserve"> </w:t>
      </w:r>
      <w:proofErr w:type="spellStart"/>
      <w:r w:rsidRPr="005018D5">
        <w:t>Insurance</w:t>
      </w:r>
      <w:proofErr w:type="spellEnd"/>
      <w:r w:rsidRPr="005018D5">
        <w:t xml:space="preserve"> </w:t>
      </w:r>
      <w:proofErr w:type="spellStart"/>
      <w:r w:rsidRPr="005018D5">
        <w:t>Group</w:t>
      </w:r>
      <w:proofErr w:type="spellEnd"/>
      <w:r w:rsidRPr="005018D5">
        <w:rPr>
          <w:snapToGrid w:val="0"/>
          <w:vertAlign w:val="superscript"/>
        </w:rPr>
        <w:footnoteReference w:id="12"/>
      </w:r>
      <w:r w:rsidRPr="005018D5">
        <w:t xml:space="preserve">, </w:t>
      </w:r>
      <w:proofErr w:type="spellStart"/>
      <w:r w:rsidRPr="005018D5">
        <w:t>Kamer</w:t>
      </w:r>
      <w:proofErr w:type="spellEnd"/>
      <w:r w:rsidRPr="005018D5">
        <w:t xml:space="preserve"> van </w:t>
      </w:r>
      <w:proofErr w:type="spellStart"/>
      <w:r w:rsidRPr="005018D5">
        <w:t>Koophandel</w:t>
      </w:r>
      <w:proofErr w:type="spellEnd"/>
      <w:r w:rsidRPr="005018D5">
        <w:t xml:space="preserve"> </w:t>
      </w:r>
      <w:proofErr w:type="spellStart"/>
      <w:r w:rsidRPr="005018D5">
        <w:t>en</w:t>
      </w:r>
      <w:proofErr w:type="spellEnd"/>
      <w:r w:rsidRPr="005018D5">
        <w:t xml:space="preserve"> </w:t>
      </w:r>
      <w:proofErr w:type="spellStart"/>
      <w:r w:rsidRPr="005018D5">
        <w:t>Fabrieken</w:t>
      </w:r>
      <w:proofErr w:type="spellEnd"/>
      <w:r w:rsidRPr="005018D5">
        <w:t xml:space="preserve"> voor Amsterdam </w:t>
      </w:r>
      <w:r w:rsidRPr="005018D5">
        <w:rPr>
          <w:i/>
        </w:rPr>
        <w:t>vs.</w:t>
      </w:r>
      <w:r w:rsidRPr="005018D5">
        <w:t xml:space="preserve"> Inspire Art </w:t>
      </w:r>
      <w:proofErr w:type="spellStart"/>
      <w:r w:rsidRPr="005018D5">
        <w:t>Ltd</w:t>
      </w:r>
      <w:proofErr w:type="spellEnd"/>
      <w:r w:rsidRPr="005018D5">
        <w:t>.</w:t>
      </w:r>
      <w:r w:rsidRPr="005018D5">
        <w:rPr>
          <w:snapToGrid w:val="0"/>
          <w:vertAlign w:val="superscript"/>
        </w:rPr>
        <w:footnoteReference w:id="13"/>
      </w:r>
      <w:r w:rsidRPr="005018D5">
        <w:t xml:space="preserve">, </w:t>
      </w:r>
      <w:proofErr w:type="spellStart"/>
      <w:r w:rsidRPr="005018D5">
        <w:t>Überseering</w:t>
      </w:r>
      <w:proofErr w:type="spellEnd"/>
      <w:r w:rsidRPr="005018D5">
        <w:t xml:space="preserve"> BV </w:t>
      </w:r>
      <w:r w:rsidRPr="005018D5">
        <w:rPr>
          <w:i/>
        </w:rPr>
        <w:t>vs.</w:t>
      </w:r>
      <w:r w:rsidRPr="005018D5">
        <w:t xml:space="preserve"> </w:t>
      </w:r>
      <w:proofErr w:type="spellStart"/>
      <w:r w:rsidRPr="005018D5">
        <w:t>Nordic</w:t>
      </w:r>
      <w:proofErr w:type="spellEnd"/>
      <w:r w:rsidRPr="005018D5">
        <w:t xml:space="preserve"> </w:t>
      </w:r>
      <w:proofErr w:type="spellStart"/>
      <w:r w:rsidRPr="005018D5">
        <w:t>Construction</w:t>
      </w:r>
      <w:proofErr w:type="spellEnd"/>
      <w:r w:rsidRPr="005018D5">
        <w:t xml:space="preserve"> </w:t>
      </w:r>
      <w:proofErr w:type="spellStart"/>
      <w:r w:rsidRPr="005018D5">
        <w:t>Company</w:t>
      </w:r>
      <w:proofErr w:type="spellEnd"/>
      <w:r w:rsidRPr="005018D5">
        <w:t xml:space="preserve"> </w:t>
      </w:r>
      <w:proofErr w:type="spellStart"/>
      <w:r w:rsidRPr="005018D5">
        <w:t>Baumanagement</w:t>
      </w:r>
      <w:proofErr w:type="spellEnd"/>
      <w:r w:rsidRPr="005018D5">
        <w:t xml:space="preserve"> </w:t>
      </w:r>
      <w:proofErr w:type="spellStart"/>
      <w:r w:rsidRPr="005018D5">
        <w:t>GmbH</w:t>
      </w:r>
      <w:proofErr w:type="spellEnd"/>
      <w:r w:rsidRPr="005018D5">
        <w:t xml:space="preserve"> (NCC)</w:t>
      </w:r>
      <w:r w:rsidRPr="005018D5">
        <w:rPr>
          <w:snapToGrid w:val="0"/>
          <w:vertAlign w:val="superscript"/>
        </w:rPr>
        <w:footnoteReference w:id="14"/>
      </w:r>
      <w:r w:rsidRPr="005018D5">
        <w:t xml:space="preserve">, </w:t>
      </w:r>
      <w:proofErr w:type="spellStart"/>
      <w:r w:rsidRPr="005018D5">
        <w:t>Centros</w:t>
      </w:r>
      <w:proofErr w:type="spellEnd"/>
      <w:r w:rsidRPr="005018D5">
        <w:t xml:space="preserve"> </w:t>
      </w:r>
      <w:proofErr w:type="spellStart"/>
      <w:r w:rsidRPr="005018D5">
        <w:t>Ltd</w:t>
      </w:r>
      <w:proofErr w:type="spellEnd"/>
      <w:r w:rsidRPr="005018D5">
        <w:t xml:space="preserve"> </w:t>
      </w:r>
      <w:r w:rsidRPr="005018D5">
        <w:rPr>
          <w:i/>
        </w:rPr>
        <w:t>vs.</w:t>
      </w:r>
      <w:r w:rsidRPr="005018D5">
        <w:t xml:space="preserve"> </w:t>
      </w:r>
      <w:proofErr w:type="spellStart"/>
      <w:r w:rsidRPr="005018D5">
        <w:t>Erhvervs</w:t>
      </w:r>
      <w:proofErr w:type="spellEnd"/>
      <w:r w:rsidRPr="005018D5">
        <w:t xml:space="preserve">- </w:t>
      </w:r>
      <w:proofErr w:type="spellStart"/>
      <w:r w:rsidRPr="005018D5">
        <w:t>og</w:t>
      </w:r>
      <w:proofErr w:type="spellEnd"/>
      <w:r w:rsidRPr="005018D5">
        <w:t xml:space="preserve"> </w:t>
      </w:r>
      <w:proofErr w:type="spellStart"/>
      <w:r w:rsidRPr="005018D5">
        <w:t>Selskabsstyrelsen</w:t>
      </w:r>
      <w:proofErr w:type="spellEnd"/>
      <w:r w:rsidRPr="005018D5">
        <w:rPr>
          <w:snapToGrid w:val="0"/>
          <w:vertAlign w:val="superscript"/>
        </w:rPr>
        <w:footnoteReference w:id="15"/>
      </w:r>
      <w:r w:rsidRPr="005018D5">
        <w:t xml:space="preserve"> ning </w:t>
      </w:r>
      <w:proofErr w:type="spellStart"/>
      <w:r w:rsidRPr="005018D5">
        <w:t>The</w:t>
      </w:r>
      <w:proofErr w:type="spellEnd"/>
      <w:r w:rsidRPr="005018D5">
        <w:t xml:space="preserve"> </w:t>
      </w:r>
      <w:proofErr w:type="spellStart"/>
      <w:r w:rsidRPr="005018D5">
        <w:t>Queen</w:t>
      </w:r>
      <w:proofErr w:type="spellEnd"/>
      <w:r w:rsidRPr="005018D5">
        <w:t xml:space="preserve"> </w:t>
      </w:r>
      <w:r w:rsidRPr="005018D5">
        <w:rPr>
          <w:i/>
        </w:rPr>
        <w:t>vs.</w:t>
      </w:r>
      <w:r w:rsidRPr="005018D5">
        <w:t xml:space="preserve"> H. M. </w:t>
      </w:r>
      <w:proofErr w:type="spellStart"/>
      <w:r w:rsidRPr="005018D5">
        <w:t>Treasury</w:t>
      </w:r>
      <w:proofErr w:type="spellEnd"/>
      <w:r w:rsidRPr="005018D5">
        <w:t xml:space="preserve"> and </w:t>
      </w:r>
      <w:proofErr w:type="spellStart"/>
      <w:r w:rsidRPr="005018D5">
        <w:t>Commissioners</w:t>
      </w:r>
      <w:proofErr w:type="spellEnd"/>
      <w:r w:rsidRPr="005018D5">
        <w:t xml:space="preserve"> of </w:t>
      </w:r>
      <w:proofErr w:type="spellStart"/>
      <w:r w:rsidRPr="005018D5">
        <w:t>Inland</w:t>
      </w:r>
      <w:proofErr w:type="spellEnd"/>
      <w:r w:rsidRPr="005018D5">
        <w:t xml:space="preserve"> </w:t>
      </w:r>
      <w:proofErr w:type="spellStart"/>
      <w:r w:rsidRPr="005018D5">
        <w:t>Revenue</w:t>
      </w:r>
      <w:proofErr w:type="spellEnd"/>
      <w:r w:rsidRPr="005018D5">
        <w:t xml:space="preserve">, </w:t>
      </w:r>
      <w:proofErr w:type="spellStart"/>
      <w:r w:rsidRPr="005018D5">
        <w:t>ex</w:t>
      </w:r>
      <w:proofErr w:type="spellEnd"/>
      <w:r w:rsidRPr="005018D5">
        <w:t xml:space="preserve"> parte </w:t>
      </w:r>
      <w:proofErr w:type="spellStart"/>
      <w:r w:rsidRPr="005018D5">
        <w:t>Daily</w:t>
      </w:r>
      <w:proofErr w:type="spellEnd"/>
      <w:r w:rsidRPr="005018D5">
        <w:t xml:space="preserve"> Mail and General Trust </w:t>
      </w:r>
      <w:proofErr w:type="spellStart"/>
      <w:r w:rsidRPr="005018D5">
        <w:t>plc</w:t>
      </w:r>
      <w:proofErr w:type="spellEnd"/>
      <w:r w:rsidRPr="005018D5">
        <w:t>.</w:t>
      </w:r>
      <w:r w:rsidRPr="005018D5">
        <w:rPr>
          <w:snapToGrid w:val="0"/>
          <w:vertAlign w:val="superscript"/>
        </w:rPr>
        <w:footnoteReference w:id="16"/>
      </w:r>
      <w:r w:rsidRPr="005018D5">
        <w:t>,</w:t>
      </w:r>
    </w:p>
    <w:p w:rsidR="00FE0CD4" w:rsidRPr="005018D5" w:rsidRDefault="00FE0CD4" w:rsidP="00B246E8">
      <w:pPr>
        <w:pStyle w:val="Normal12Hanging"/>
        <w:spacing w:before="120" w:after="120"/>
        <w:ind w:left="720" w:hanging="720"/>
        <w:rPr>
          <w:rStyle w:val="Strong"/>
          <w:b w:val="0"/>
          <w:szCs w:val="24"/>
        </w:rPr>
      </w:pPr>
      <w:r w:rsidRPr="005018D5">
        <w:t>–</w:t>
      </w:r>
      <w:r w:rsidRPr="005018D5">
        <w:tab/>
        <w:t xml:space="preserve">võttes </w:t>
      </w:r>
      <w:r w:rsidR="00B246E8" w:rsidRPr="005018D5">
        <w:t>arvesse Euroopa Komisjoni 2015. </w:t>
      </w:r>
      <w:r w:rsidRPr="005018D5">
        <w:t>aasta oktoobri tagasiside aruannet, milles te</w:t>
      </w:r>
      <w:r w:rsidR="00B246E8" w:rsidRPr="005018D5">
        <w:t>hakse kokkuvõte ajavahemikus 8. septembrist 2014 kuni 2. veebruarini </w:t>
      </w:r>
      <w:r w:rsidRPr="005018D5">
        <w:t>2015 toimunud piiriülest ühinemist ja jagunemist käsitlenud avaliku konsultatsiooni käigus saadud vastustest</w:t>
      </w:r>
      <w:r w:rsidRPr="005018D5">
        <w:rPr>
          <w:rStyle w:val="FootnoteReference"/>
        </w:rPr>
        <w:footnoteReference w:id="17"/>
      </w:r>
      <w:r w:rsidRPr="005018D5">
        <w:t>,</w:t>
      </w:r>
    </w:p>
    <w:p w:rsidR="00FE0CD4" w:rsidRPr="005018D5" w:rsidRDefault="00FE0CD4" w:rsidP="00B246E8">
      <w:pPr>
        <w:pStyle w:val="Normal12Hanging"/>
        <w:spacing w:before="120" w:after="120"/>
        <w:ind w:left="720" w:hanging="720"/>
        <w:rPr>
          <w:rStyle w:val="Strong"/>
          <w:b w:val="0"/>
          <w:szCs w:val="24"/>
        </w:rPr>
      </w:pPr>
      <w:r w:rsidRPr="005018D5">
        <w:t>–</w:t>
      </w:r>
      <w:r w:rsidRPr="005018D5">
        <w:tab/>
        <w:t>võttes arvesse Euroo</w:t>
      </w:r>
      <w:r w:rsidR="00B246E8" w:rsidRPr="005018D5">
        <w:t>pa Parlamendi poliitikaosakonna </w:t>
      </w:r>
      <w:r w:rsidRPr="005018D5">
        <w:t>C: kodanike õigus</w:t>
      </w:r>
      <w:r w:rsidR="00B246E8" w:rsidRPr="005018D5">
        <w:t>ed ja põhiseadusküsimused 2016. </w:t>
      </w:r>
      <w:r w:rsidRPr="005018D5">
        <w:t>aasta juunis tehtud uurimust pealkirjaga „</w:t>
      </w:r>
      <w:proofErr w:type="spellStart"/>
      <w:r w:rsidRPr="005018D5">
        <w:t>Cross-border</w:t>
      </w:r>
      <w:proofErr w:type="spellEnd"/>
      <w:r w:rsidRPr="005018D5">
        <w:t xml:space="preserve"> </w:t>
      </w:r>
      <w:proofErr w:type="spellStart"/>
      <w:r w:rsidRPr="005018D5">
        <w:t>mergers</w:t>
      </w:r>
      <w:proofErr w:type="spellEnd"/>
      <w:r w:rsidRPr="005018D5">
        <w:t xml:space="preserve"> and </w:t>
      </w:r>
      <w:proofErr w:type="spellStart"/>
      <w:r w:rsidRPr="005018D5">
        <w:t>divisions</w:t>
      </w:r>
      <w:proofErr w:type="spellEnd"/>
      <w:r w:rsidRPr="005018D5">
        <w:t xml:space="preserve">, </w:t>
      </w:r>
      <w:proofErr w:type="spellStart"/>
      <w:r w:rsidRPr="005018D5">
        <w:t>transfers</w:t>
      </w:r>
      <w:proofErr w:type="spellEnd"/>
      <w:r w:rsidRPr="005018D5">
        <w:t xml:space="preserve"> of </w:t>
      </w:r>
      <w:proofErr w:type="spellStart"/>
      <w:r w:rsidRPr="005018D5">
        <w:t>seat</w:t>
      </w:r>
      <w:proofErr w:type="spellEnd"/>
      <w:r w:rsidRPr="005018D5">
        <w:t xml:space="preserve">: </w:t>
      </w:r>
      <w:proofErr w:type="spellStart"/>
      <w:r w:rsidRPr="005018D5">
        <w:t>is</w:t>
      </w:r>
      <w:proofErr w:type="spellEnd"/>
      <w:r w:rsidRPr="005018D5">
        <w:t xml:space="preserve"> </w:t>
      </w:r>
      <w:proofErr w:type="spellStart"/>
      <w:r w:rsidRPr="005018D5">
        <w:t>there</w:t>
      </w:r>
      <w:proofErr w:type="spellEnd"/>
      <w:r w:rsidRPr="005018D5">
        <w:t xml:space="preserve"> a need </w:t>
      </w:r>
      <w:proofErr w:type="spellStart"/>
      <w:r w:rsidRPr="005018D5">
        <w:t>to</w:t>
      </w:r>
      <w:proofErr w:type="spellEnd"/>
      <w:r w:rsidRPr="005018D5">
        <w:t xml:space="preserve"> </w:t>
      </w:r>
      <w:proofErr w:type="spellStart"/>
      <w:r w:rsidRPr="005018D5">
        <w:t>legislate</w:t>
      </w:r>
      <w:proofErr w:type="spellEnd"/>
      <w:r w:rsidRPr="005018D5">
        <w:t xml:space="preserve">?“ (Piiriülesed </w:t>
      </w:r>
      <w:r w:rsidRPr="005018D5">
        <w:lastRenderedPageBreak/>
        <w:t>ühinemised ja jagunemised, asukoha üleviimine – kas on vajadust õigusloomeks?)</w:t>
      </w:r>
      <w:r w:rsidRPr="005018D5">
        <w:rPr>
          <w:rStyle w:val="FootnoteReference"/>
        </w:rPr>
        <w:footnoteReference w:id="18"/>
      </w:r>
      <w:r w:rsidRPr="005018D5">
        <w:t>;</w:t>
      </w:r>
    </w:p>
    <w:p w:rsidR="00FE0CD4" w:rsidRPr="005018D5" w:rsidRDefault="00FE0CD4" w:rsidP="00B246E8">
      <w:pPr>
        <w:pStyle w:val="Normal12Hanging"/>
        <w:spacing w:before="120" w:after="120"/>
        <w:ind w:left="720" w:hanging="720"/>
        <w:rPr>
          <w:rStyle w:val="Strong"/>
          <w:b w:val="0"/>
          <w:szCs w:val="24"/>
        </w:rPr>
      </w:pPr>
      <w:r w:rsidRPr="005018D5">
        <w:t>–</w:t>
      </w:r>
      <w:r w:rsidRPr="005018D5">
        <w:tab/>
        <w:t>võttes arvesse Euroopa Par</w:t>
      </w:r>
      <w:r w:rsidR="00B246E8" w:rsidRPr="005018D5">
        <w:t>lamendi uuringuteenistuse 2016. </w:t>
      </w:r>
      <w:r w:rsidRPr="005018D5">
        <w:t>aasta detsembri uurimust „</w:t>
      </w:r>
      <w:proofErr w:type="spellStart"/>
      <w:r w:rsidRPr="005018D5">
        <w:t>Ex-post</w:t>
      </w:r>
      <w:proofErr w:type="spellEnd"/>
      <w:r w:rsidRPr="005018D5">
        <w:t xml:space="preserve"> </w:t>
      </w:r>
      <w:proofErr w:type="spellStart"/>
      <w:r w:rsidRPr="005018D5">
        <w:t>analysis</w:t>
      </w:r>
      <w:proofErr w:type="spellEnd"/>
      <w:r w:rsidRPr="005018D5">
        <w:t xml:space="preserve"> of </w:t>
      </w:r>
      <w:proofErr w:type="spellStart"/>
      <w:r w:rsidRPr="005018D5">
        <w:t>the</w:t>
      </w:r>
      <w:proofErr w:type="spellEnd"/>
      <w:r w:rsidRPr="005018D5">
        <w:t xml:space="preserve"> EU </w:t>
      </w:r>
      <w:proofErr w:type="spellStart"/>
      <w:r w:rsidRPr="005018D5">
        <w:t>framewor</w:t>
      </w:r>
      <w:r w:rsidR="00820DD0" w:rsidRPr="005018D5">
        <w:t>k</w:t>
      </w:r>
      <w:proofErr w:type="spellEnd"/>
      <w:r w:rsidR="00820DD0" w:rsidRPr="005018D5">
        <w:t xml:space="preserve"> in </w:t>
      </w:r>
      <w:proofErr w:type="spellStart"/>
      <w:r w:rsidR="00820DD0" w:rsidRPr="005018D5">
        <w:t>the</w:t>
      </w:r>
      <w:proofErr w:type="spellEnd"/>
      <w:r w:rsidR="00820DD0" w:rsidRPr="005018D5">
        <w:t xml:space="preserve"> </w:t>
      </w:r>
      <w:proofErr w:type="spellStart"/>
      <w:r w:rsidR="00820DD0" w:rsidRPr="005018D5">
        <w:t>area</w:t>
      </w:r>
      <w:proofErr w:type="spellEnd"/>
      <w:r w:rsidR="00820DD0" w:rsidRPr="005018D5">
        <w:t xml:space="preserve"> of </w:t>
      </w:r>
      <w:proofErr w:type="spellStart"/>
      <w:r w:rsidR="00820DD0" w:rsidRPr="005018D5">
        <w:t>Cross</w:t>
      </w:r>
      <w:r w:rsidR="00820DD0" w:rsidRPr="005018D5">
        <w:noBreakHyphen/>
      </w:r>
      <w:r w:rsidRPr="005018D5">
        <w:t>border</w:t>
      </w:r>
      <w:proofErr w:type="spellEnd"/>
      <w:r w:rsidRPr="005018D5">
        <w:t xml:space="preserve"> </w:t>
      </w:r>
      <w:proofErr w:type="spellStart"/>
      <w:r w:rsidRPr="005018D5">
        <w:t>mergers</w:t>
      </w:r>
      <w:proofErr w:type="spellEnd"/>
      <w:r w:rsidRPr="005018D5">
        <w:t xml:space="preserve"> and </w:t>
      </w:r>
      <w:proofErr w:type="spellStart"/>
      <w:r w:rsidRPr="005018D5">
        <w:t>divisions</w:t>
      </w:r>
      <w:proofErr w:type="spellEnd"/>
      <w:r w:rsidRPr="005018D5">
        <w:t xml:space="preserve">“ (Piiriülest ühinemist ja jagunemist käsitleva ELi raamistiku </w:t>
      </w:r>
      <w:proofErr w:type="spellStart"/>
      <w:r w:rsidRPr="005018D5">
        <w:t>järelanalüüs</w:t>
      </w:r>
      <w:proofErr w:type="spellEnd"/>
      <w:r w:rsidRPr="005018D5">
        <w:t>)</w:t>
      </w:r>
      <w:r w:rsidRPr="005018D5">
        <w:rPr>
          <w:rStyle w:val="FootnoteReference"/>
        </w:rPr>
        <w:footnoteReference w:id="19"/>
      </w:r>
      <w:r w:rsidRPr="005018D5">
        <w:t>,</w:t>
      </w:r>
    </w:p>
    <w:p w:rsidR="00FE0CD4" w:rsidRPr="005018D5" w:rsidRDefault="00FE0CD4" w:rsidP="00B246E8">
      <w:pPr>
        <w:pStyle w:val="Normal12Hanging"/>
        <w:spacing w:before="120" w:after="120"/>
        <w:ind w:left="720" w:hanging="720"/>
        <w:rPr>
          <w:bCs/>
          <w:szCs w:val="24"/>
        </w:rPr>
      </w:pPr>
      <w:r w:rsidRPr="005018D5">
        <w:t>–</w:t>
      </w:r>
      <w:r w:rsidR="00820DD0" w:rsidRPr="005018D5">
        <w:tab/>
        <w:t>võttes arvesse komisjoni 2017. </w:t>
      </w:r>
      <w:r w:rsidRPr="005018D5">
        <w:t>aasta tööprogrammi „Luues Euroopat, mis hoiab, kaitseb ja</w:t>
      </w:r>
      <w:r w:rsidR="00820DD0" w:rsidRPr="005018D5">
        <w:t xml:space="preserve"> avardab võimalusi“ ja selle II </w:t>
      </w:r>
      <w:r w:rsidRPr="005018D5">
        <w:t>peat</w:t>
      </w:r>
      <w:r w:rsidR="00820DD0" w:rsidRPr="005018D5">
        <w:t>üki punkti </w:t>
      </w:r>
      <w:r w:rsidRPr="005018D5">
        <w:t>4 (COM(2016)0710),</w:t>
      </w:r>
    </w:p>
    <w:p w:rsidR="00FE0CD4" w:rsidRPr="005018D5" w:rsidRDefault="00FE0CD4" w:rsidP="00B246E8">
      <w:pPr>
        <w:pStyle w:val="Normal12Hanging"/>
        <w:spacing w:before="120" w:after="120"/>
        <w:ind w:left="720" w:hanging="720"/>
      </w:pPr>
      <w:r w:rsidRPr="005018D5">
        <w:t>–</w:t>
      </w:r>
      <w:r w:rsidRPr="005018D5">
        <w:tab/>
        <w:t>võttes arvesse kodukorra artiklit 52 ning esimeeste konverentsi 12. detsembri 2002. aasta otsuse (mis käsitleb algatusraportite koostamise loa andmise korda) artikli 1 lõike 1 punkti e ja 3. lisa,</w:t>
      </w:r>
    </w:p>
    <w:p w:rsidR="00FE0CD4" w:rsidRPr="005018D5" w:rsidRDefault="00FE0CD4" w:rsidP="00B246E8">
      <w:pPr>
        <w:pStyle w:val="Normal12Hanging"/>
        <w:spacing w:before="120" w:after="120"/>
        <w:ind w:left="720" w:hanging="720"/>
      </w:pPr>
      <w:r w:rsidRPr="005018D5">
        <w:t>–</w:t>
      </w:r>
      <w:r w:rsidRPr="005018D5">
        <w:tab/>
        <w:t>võttes arvesse õiguskomis</w:t>
      </w:r>
      <w:r w:rsidR="00820DD0" w:rsidRPr="005018D5">
        <w:t>joni raportit (A8</w:t>
      </w:r>
      <w:r w:rsidR="00820DD0" w:rsidRPr="005018D5">
        <w:noBreakHyphen/>
      </w:r>
      <w:r w:rsidRPr="005018D5">
        <w:t>0190/2017),</w:t>
      </w:r>
    </w:p>
    <w:p w:rsidR="00FE0CD4" w:rsidRPr="005018D5" w:rsidRDefault="00FE0CD4" w:rsidP="00B246E8">
      <w:pPr>
        <w:pStyle w:val="Normal12Hanging"/>
        <w:spacing w:before="120" w:after="120"/>
        <w:ind w:left="720" w:hanging="720"/>
        <w:rPr>
          <w:bCs/>
          <w:szCs w:val="24"/>
        </w:rPr>
      </w:pPr>
      <w:r w:rsidRPr="005018D5">
        <w:t>A.</w:t>
      </w:r>
      <w:r w:rsidRPr="005018D5">
        <w:tab/>
        <w:t>arvestades äriühinguõiguse laiaulatusliku reformi olulist mõju Euroopa konkurentsivõimele ning tõkkeid, mis takistavad piiriülese ühinemise direktiivi täielikku rakendamist;</w:t>
      </w:r>
    </w:p>
    <w:p w:rsidR="00FE0CD4" w:rsidRPr="005018D5" w:rsidRDefault="00FE0CD4" w:rsidP="00B246E8">
      <w:pPr>
        <w:pStyle w:val="Normal12Hanging"/>
        <w:spacing w:before="120" w:after="120"/>
        <w:ind w:left="720" w:hanging="720"/>
        <w:rPr>
          <w:bCs/>
          <w:szCs w:val="24"/>
        </w:rPr>
      </w:pPr>
      <w:r w:rsidRPr="005018D5">
        <w:t>B.</w:t>
      </w:r>
      <w:r w:rsidRPr="005018D5">
        <w:tab/>
        <w:t>arvestades, et äriühingute piiriülest jagunemist ei ole seni veel reguleeritud Euroopa Liidu õigusaktidega; arvestades, et praegune olukord toob asjaomastele äriühingutele kaasa selged menetluslikud, haldus- ja rahalised raskused ning kuritarvitamise ja dumpinguga seotud ohud;</w:t>
      </w:r>
    </w:p>
    <w:p w:rsidR="00FE0CD4" w:rsidRPr="005018D5" w:rsidRDefault="00FE0CD4" w:rsidP="00B246E8">
      <w:pPr>
        <w:pStyle w:val="Normal12Hanging"/>
        <w:spacing w:before="120" w:after="120"/>
        <w:ind w:left="720" w:hanging="720"/>
      </w:pPr>
      <w:r w:rsidRPr="005018D5">
        <w:t>C.</w:t>
      </w:r>
      <w:r w:rsidRPr="005018D5">
        <w:tab/>
        <w:t>arvestades, et Euroopa Parlament on kindlalt ja pidevalt nõudnud Euroopa õigusakti kehtestamist äriühingute registrijärgse või tegeliku asukoha piiriülese muutmise kohta; arvestades, et suurem osa sidusrühmadest toetavad üldiselt Euroopa Parlamendi nõudmisi;</w:t>
      </w:r>
    </w:p>
    <w:p w:rsidR="00FE0CD4" w:rsidRPr="005018D5" w:rsidRDefault="00FE0CD4" w:rsidP="00B246E8">
      <w:pPr>
        <w:pStyle w:val="Normal12Hanging"/>
        <w:spacing w:before="120" w:after="120"/>
        <w:ind w:left="720" w:hanging="720"/>
      </w:pPr>
      <w:r w:rsidRPr="005018D5">
        <w:t>D.</w:t>
      </w:r>
      <w:r w:rsidRPr="005018D5">
        <w:tab/>
        <w:t>arvestades, et ettevõtjate liikuvuse suurendamiseks ELis on oluline, et äriühingute ühinemiste, jagunemiste ja üleviimiste jaoks oleks ühtne õigusraamistik;</w:t>
      </w:r>
    </w:p>
    <w:p w:rsidR="00FE0CD4" w:rsidRPr="005018D5" w:rsidRDefault="00FE0CD4" w:rsidP="00B246E8">
      <w:pPr>
        <w:pStyle w:val="Normal12Hanging"/>
        <w:spacing w:before="120" w:after="120"/>
        <w:ind w:left="720" w:hanging="720"/>
        <w:rPr>
          <w:bCs/>
          <w:szCs w:val="24"/>
        </w:rPr>
      </w:pPr>
      <w:r w:rsidRPr="005018D5">
        <w:t>E.</w:t>
      </w:r>
      <w:r w:rsidRPr="005018D5">
        <w:tab/>
        <w:t>arvestades, et mitte kõikides liikmesriikides, kus tehakse piiriüleseid ühinemis- ja jagunemistoiminguid või registrijärgse või tegeliku asukoha muutmise toiminguid, ei ole olemas eeskirju, millega tagatakse töötajatele õigus teavitamisele ja nendega konsulteerimisele ning osalemisele ühises otsustamises;</w:t>
      </w:r>
    </w:p>
    <w:p w:rsidR="00FE0CD4" w:rsidRPr="005018D5" w:rsidRDefault="00FE0CD4" w:rsidP="00B246E8">
      <w:pPr>
        <w:pStyle w:val="Normal12Hanging"/>
        <w:spacing w:before="120" w:after="120"/>
        <w:ind w:left="720" w:hanging="720"/>
        <w:rPr>
          <w:bCs/>
          <w:szCs w:val="24"/>
        </w:rPr>
      </w:pPr>
      <w:r w:rsidRPr="005018D5">
        <w:t>F.</w:t>
      </w:r>
      <w:r w:rsidRPr="005018D5">
        <w:tab/>
        <w:t>arvestades, et registrijärgse asukoha üleviimine ei tohiks võimaldada Euroopa Liidu ja päritoluliikmesriigi õigusaktidega ette nähtud õiguslikest, sotsiaalsetest ja rahanduslikest nõuetest kõrvale hoida, vaid selle eesmärk peaks olema kehtestada ühtne õigusraamistik, mis tagab maksimaalse läbipaistvuse ja menetluste lihtsustamise ning mille abil saab võidelda maksupettuste vastu;</w:t>
      </w:r>
    </w:p>
    <w:p w:rsidR="00FE0CD4" w:rsidRPr="005018D5" w:rsidRDefault="00FE0CD4" w:rsidP="00B246E8">
      <w:pPr>
        <w:pStyle w:val="Normal12Hanging"/>
        <w:spacing w:before="120" w:after="120"/>
        <w:ind w:left="720" w:hanging="720"/>
      </w:pPr>
      <w:r w:rsidRPr="005018D5">
        <w:t>G.</w:t>
      </w:r>
      <w:r w:rsidRPr="005018D5">
        <w:tab/>
        <w:t xml:space="preserve">arvestades, et asjakohases ELi õigustikus on töötajatele ette nähtud mitmesugused teavitamis-, konsulteerimis- ja osalemisõigused; arvestades, et </w:t>
      </w:r>
      <w:r w:rsidRPr="005018D5">
        <w:lastRenderedPageBreak/>
        <w:t>direktiiviga</w:t>
      </w:r>
      <w:r w:rsidR="00820DD0" w:rsidRPr="005018D5">
        <w:t> </w:t>
      </w:r>
      <w:r w:rsidRPr="005018D5">
        <w:t>2009/38/EÜ</w:t>
      </w:r>
      <w:r w:rsidRPr="005018D5">
        <w:rPr>
          <w:rStyle w:val="SupBoldItalic"/>
        </w:rPr>
        <w:footnoteReference w:id="20"/>
      </w:r>
      <w:r w:rsidRPr="005018D5">
        <w:t xml:space="preserve"> ja direktiiv</w:t>
      </w:r>
      <w:r w:rsidR="00820DD0" w:rsidRPr="005018D5">
        <w:t>iga </w:t>
      </w:r>
      <w:r w:rsidRPr="005018D5">
        <w:t>2005/56/EÜ tagatakse piiriüleste töötajate osalemine ja kehtestatakse olemasolevate õiguste põhimõte; arvestades, et eeldatakse nende töötajate õiguste kaitset ka asukoha üleviimise korral;</w:t>
      </w:r>
    </w:p>
    <w:p w:rsidR="00FE0CD4" w:rsidRPr="005018D5" w:rsidRDefault="00FE0CD4" w:rsidP="00B246E8">
      <w:pPr>
        <w:pStyle w:val="Normal12Hanging"/>
        <w:spacing w:before="120" w:after="120"/>
        <w:ind w:left="720" w:hanging="720"/>
      </w:pPr>
      <w:r w:rsidRPr="005018D5">
        <w:t>H.</w:t>
      </w:r>
      <w:r w:rsidRPr="005018D5">
        <w:tab/>
        <w:t>arvestades, et kõik uued algatused Euroopa äriühinguõiguses peaksid põhinema kehtivate äriühinguõiguse vormide põhjalikul hindamisel, Euroopa Liidu Kohtu asjakohastel otsustel äriühingute piiriülese liikuvuse kohta ning mõjuhinnangutel, mis kajastavad kõikide sidusrühmade huve, kelle hulka kuuluvad aktsionärid, võlausaldajad, investorid ja töötajad, eesmärgiga tagada subsidiaarsuse ja proportsionaalsuse põhimõtete järgimine;</w:t>
      </w:r>
    </w:p>
    <w:p w:rsidR="00FE0CD4" w:rsidRPr="005018D5" w:rsidRDefault="00FE0CD4" w:rsidP="00B246E8">
      <w:pPr>
        <w:pStyle w:val="NormalBoldItalcs12a12b"/>
        <w:spacing w:before="120" w:after="120"/>
        <w:ind w:left="720" w:hanging="720"/>
      </w:pPr>
      <w:r w:rsidRPr="005018D5">
        <w:t>Horisontaalsed küsimused</w:t>
      </w:r>
    </w:p>
    <w:p w:rsidR="00FE0CD4" w:rsidRPr="005018D5" w:rsidRDefault="00FE0CD4" w:rsidP="00B246E8">
      <w:pPr>
        <w:pStyle w:val="Normal12Hanging"/>
        <w:spacing w:before="120" w:after="120"/>
        <w:ind w:left="720" w:hanging="720"/>
      </w:pPr>
      <w:r w:rsidRPr="005018D5">
        <w:t>1.</w:t>
      </w:r>
      <w:r w:rsidRPr="005018D5">
        <w:tab/>
        <w:t>juhib tähelepanu sellele, kui oluline on kehtestada raamistik, millega reguleeritakse põhjalikult äriühingute liikuvust Euroopa tasandil, et lihtsustada üleviimis-, jagunemis- ja ühinemismenetlusi ja -nõudeid ning vältida kuritarvitamist ja sotsiaalse või maksudumpingu eesmärgil toimuvat fiktiivset üleviimist;</w:t>
      </w:r>
    </w:p>
    <w:p w:rsidR="00FE0CD4" w:rsidRPr="005018D5" w:rsidRDefault="00FE0CD4" w:rsidP="00B246E8">
      <w:pPr>
        <w:pStyle w:val="Normal12Hanging"/>
        <w:spacing w:before="120" w:after="120"/>
        <w:ind w:left="720" w:hanging="720"/>
      </w:pPr>
      <w:r w:rsidRPr="005018D5">
        <w:t>2.</w:t>
      </w:r>
      <w:r w:rsidRPr="005018D5">
        <w:tab/>
        <w:t xml:space="preserve">kutsub komisjoni üles pöörama tähelepanu ajavahemikus </w:t>
      </w:r>
      <w:r w:rsidR="00820DD0" w:rsidRPr="005018D5">
        <w:t>8. septembrist 2014 kuni 2. veebruarini </w:t>
      </w:r>
      <w:r w:rsidRPr="005018D5">
        <w:t>2015 toimunud avaliku konsultatsioon</w:t>
      </w:r>
      <w:r w:rsidR="00820DD0" w:rsidRPr="005018D5">
        <w:t>i tulemustele seoses direktiivi </w:t>
      </w:r>
      <w:r w:rsidRPr="005018D5">
        <w:t>2005/56/EÜ võimaliku läbivaatamisega ja piiriülest jagunemist reguleeriva õigusraamistiku võimaliku kehtestamisega; tuletab meelde, et konsultatsiooni tulemused näitasid piiriülese ühinemise ja jagunemisega seotud õigusloome prioriteetide suhtes valitsevat teatavat üksmeelt selles osas, mis puudutab siseturu tugevdamise ja töötajate õiguste edendamise eesmärke;</w:t>
      </w:r>
    </w:p>
    <w:p w:rsidR="00FE0CD4" w:rsidRPr="005018D5" w:rsidRDefault="00FE0CD4" w:rsidP="00B246E8">
      <w:pPr>
        <w:pStyle w:val="Normal12Hanging"/>
        <w:spacing w:before="120" w:after="120"/>
        <w:ind w:left="720" w:hanging="720"/>
      </w:pPr>
      <w:r w:rsidRPr="005018D5">
        <w:t>3.</w:t>
      </w:r>
      <w:r w:rsidRPr="005018D5">
        <w:tab/>
        <w:t>peab oluliseks, et tulevastes õigusakti ettepanekutes äriühingute liikuvuse kohta nähakse ette sätted maksimaalseks ühtlustamiseks eelkõige menetlusnõuete alal, äriühingu üldjuhtimises osalejate ja eriti väiksemate osalejate õiguste alal ning kohaldamise kõigil</w:t>
      </w:r>
      <w:r w:rsidR="00820DD0" w:rsidRPr="005018D5">
        <w:t>e ELi toimimise lepingu artikli </w:t>
      </w:r>
      <w:r w:rsidRPr="005018D5">
        <w:t>54 mõistes määratletud äriühingutele laiendamise alal, millele järgnevad muud valdkonnaspetsiifilised eeskirjad, näiteks töötajate õiguste kohta;</w:t>
      </w:r>
    </w:p>
    <w:p w:rsidR="00FE0CD4" w:rsidRPr="005018D5" w:rsidRDefault="00FE0CD4" w:rsidP="00B246E8">
      <w:pPr>
        <w:pStyle w:val="Normal12Hanging"/>
        <w:spacing w:before="120" w:after="120"/>
        <w:ind w:left="720" w:hanging="720"/>
      </w:pPr>
      <w:r w:rsidRPr="005018D5">
        <w:t>4.</w:t>
      </w:r>
      <w:r w:rsidRPr="005018D5">
        <w:tab/>
        <w:t xml:space="preserve">on arvamusel, et uued eeskirjad ühinemise, jagunemise ja asukoha üleviimise kohta peaksid hõlbustama ettevõtjate liikuvust liidus, võttes arvesse nende ärialaseid vajadusi restruktureerimise järele, et kasutada paremini ära siseturu võimalusi, ning selleks, et pakkuda ettevõtetele suuremat tegevuse korraldamise vabadust, austades samas töötajate esindusõigust; juhib sellega seoses tähelepanu asjaolule, kui oluline on kõrvaldada tõkked, mille põhjuseks on õigusaktide konflikt, et määrata kindlaks kohaldatav siseriiklik õigus; on seisukohal, et töötajate õiguste kaitset tuleks käsitleda erinevates ELi õigusaktides, eelkõige ettepanekus direktiivi kohta, mis käsitleb miinimumnõudeid töötajatele ning töötajate osalemist Euroopa äriühinguõiguse vormides ja Euroopa õiguse alusel loodud nõukogudes; </w:t>
      </w:r>
    </w:p>
    <w:p w:rsidR="00FE0CD4" w:rsidRPr="005018D5" w:rsidRDefault="00FE0CD4" w:rsidP="00B246E8">
      <w:pPr>
        <w:pStyle w:val="NormalBoldItalcs12a12b"/>
        <w:spacing w:before="120" w:after="120"/>
        <w:ind w:left="720" w:hanging="720"/>
      </w:pPr>
      <w:r w:rsidRPr="005018D5">
        <w:t>Piiriülene ühinemine</w:t>
      </w:r>
    </w:p>
    <w:p w:rsidR="00FE0CD4" w:rsidRPr="005018D5" w:rsidRDefault="00FE0CD4" w:rsidP="00B246E8">
      <w:pPr>
        <w:pStyle w:val="Normal12Hanging"/>
        <w:spacing w:before="120" w:after="120"/>
        <w:ind w:left="720" w:hanging="720"/>
        <w:rPr>
          <w:szCs w:val="24"/>
        </w:rPr>
      </w:pPr>
      <w:r w:rsidRPr="005018D5">
        <w:t>5.</w:t>
      </w:r>
      <w:r w:rsidRPr="005018D5">
        <w:tab/>
        <w:t xml:space="preserve">rõhutab positiivset mõju, mida avaldab piiratud vastutusega äriühingute piiriülest </w:t>
      </w:r>
      <w:r w:rsidR="00820DD0" w:rsidRPr="005018D5">
        <w:lastRenderedPageBreak/>
        <w:t>ühinemist käsitlev direktiiv </w:t>
      </w:r>
      <w:r w:rsidRPr="005018D5">
        <w:t xml:space="preserve">2005/56/EÜ, mis on aidanud hõlbustada piiratud vastutusega äriühingute piiriülest ühinemist Euroopa Liidus – nagu nähtub ametlikest andmetest, mille kohaselt on viimastel aastatel piiriüleste ühinemist arv märgatavalt kasvanud – ning vähendada seotud halduskulusid ja -menetlusi; </w:t>
      </w:r>
    </w:p>
    <w:p w:rsidR="00FE0CD4" w:rsidRPr="005018D5" w:rsidRDefault="00FE0CD4" w:rsidP="00B246E8">
      <w:pPr>
        <w:pStyle w:val="Normal12Hanging"/>
        <w:spacing w:before="120" w:after="120"/>
        <w:ind w:left="720" w:hanging="720"/>
        <w:rPr>
          <w:szCs w:val="24"/>
        </w:rPr>
      </w:pPr>
      <w:r w:rsidRPr="005018D5">
        <w:t>6.</w:t>
      </w:r>
      <w:r w:rsidRPr="005018D5">
        <w:tab/>
      </w:r>
      <w:r w:rsidR="00820DD0" w:rsidRPr="005018D5">
        <w:t>peab vajalikuks direktiivi </w:t>
      </w:r>
      <w:r w:rsidRPr="005018D5">
        <w:t>2005/56/EÜ läbivaatamist, et parandada selle rakendamist ja võtta arvesse äriühingute asutamisvabadust käsitlevas Euroopa Liidu Kohtu kohtupraktikas ja Euroopa äriühinguõiguses toimunud hiljutist arengut; on seisukohal, et tulevane seadusandlik ettepanek</w:t>
      </w:r>
      <w:r w:rsidR="00820DD0" w:rsidRPr="005018D5">
        <w:t>, millega muudetakse direktiivi </w:t>
      </w:r>
      <w:r w:rsidRPr="005018D5">
        <w:t xml:space="preserve">2005/56/EÜ, peaks sisaldama uusi eeskirju äriühingute jagunemise kohta ja kehtestama suunised ettevõtjate liikuvust käsitlevate täiendavate õigusaktide väljatöötamiseks; </w:t>
      </w:r>
    </w:p>
    <w:p w:rsidR="00FE0CD4" w:rsidRPr="005018D5" w:rsidRDefault="00FE0CD4" w:rsidP="00B246E8">
      <w:pPr>
        <w:pStyle w:val="Normal12Hanging"/>
        <w:spacing w:before="120" w:after="120"/>
        <w:ind w:left="720" w:hanging="720"/>
        <w:rPr>
          <w:szCs w:val="24"/>
        </w:rPr>
      </w:pPr>
      <w:r w:rsidRPr="005018D5">
        <w:t>7.</w:t>
      </w:r>
      <w:r w:rsidRPr="005018D5">
        <w:tab/>
        <w:t>kutsub komisjoni üles võt</w:t>
      </w:r>
      <w:r w:rsidR="00820DD0" w:rsidRPr="005018D5">
        <w:t>ma arvesse 2015. </w:t>
      </w:r>
      <w:r w:rsidRPr="005018D5">
        <w:t>aasta oktoobri konsultatsiooni tulemusi, milles eelkõige ilmneb vajadus ühtlustada maksimaalselt kriteeriume, mis määravad ühinemise mõju äriühingu eri sidusrühmadele;</w:t>
      </w:r>
    </w:p>
    <w:p w:rsidR="00FE0CD4" w:rsidRPr="005018D5" w:rsidRDefault="00FE0CD4" w:rsidP="00B246E8">
      <w:pPr>
        <w:pStyle w:val="Normal12Hanging"/>
        <w:spacing w:before="120" w:after="120"/>
        <w:ind w:left="720" w:hanging="720"/>
        <w:rPr>
          <w:szCs w:val="24"/>
        </w:rPr>
      </w:pPr>
      <w:r w:rsidRPr="005018D5">
        <w:t>8.</w:t>
      </w:r>
      <w:r w:rsidRPr="005018D5">
        <w:tab/>
        <w:t xml:space="preserve">peab esmatähtsaks, et sätestatakse äriühingute üldjuhtimises osalejate ja selle kategooriate rühmi käsitlevad täpsemad eeskirjad ning et neid eeskirju saaks kasutada ka piiriülese jagunemise ja registrijärgse või tegeliku asukoha muutmise tulevaste ühiste mudelite jaoks; peab ülioluliseks lihtsustada piiriülese ühinemise toiminguid juriidiliste dokumentide normide parema määratlemise abil – alustades aktsionäre puudutava teabe teemast ja ühinemisdokumentide kogumisest – ning uute </w:t>
      </w:r>
      <w:proofErr w:type="spellStart"/>
      <w:r w:rsidRPr="005018D5">
        <w:t>digiteerimistavade</w:t>
      </w:r>
      <w:proofErr w:type="spellEnd"/>
      <w:r w:rsidRPr="005018D5">
        <w:t xml:space="preserve"> kasutuselevõtmisega, tingimuse</w:t>
      </w:r>
      <w:r w:rsidR="00820DD0" w:rsidRPr="005018D5">
        <w:t>l et peetakse kinni direktiivis </w:t>
      </w:r>
      <w:r w:rsidRPr="005018D5">
        <w:t>2005/56/EÜ sätestatud põhilistest menetluslikest normidest ja nõuetest (kaasa arvatud ühinemiseelse tõendi väljastamine ja ühinemise õiguspärasuse kontrollimine k</w:t>
      </w:r>
      <w:r w:rsidR="00820DD0" w:rsidRPr="005018D5">
        <w:t>ooskõlas direktiivi artiklitega 10 ja </w:t>
      </w:r>
      <w:r w:rsidRPr="005018D5">
        <w:t>11) ning et säilitatakse avalikku huvi pakkuvad nõuded, nagu õiguskindlus ja äriregistrite usaldusväärsus;</w:t>
      </w:r>
    </w:p>
    <w:p w:rsidR="00FE0CD4" w:rsidRPr="005018D5" w:rsidRDefault="00FE0CD4" w:rsidP="00B246E8">
      <w:pPr>
        <w:pStyle w:val="Normal12Hanging"/>
        <w:spacing w:before="120" w:after="120"/>
        <w:ind w:left="720" w:hanging="720"/>
        <w:rPr>
          <w:szCs w:val="24"/>
        </w:rPr>
      </w:pPr>
      <w:r w:rsidRPr="005018D5">
        <w:t>9.</w:t>
      </w:r>
      <w:r w:rsidRPr="005018D5">
        <w:tab/>
        <w:t>eeldab, et töötajate õiguste sätted määratletakse nii, et on võimalik vältida piiriülese ühinemise direktiivi kasutamist teatavate äriühingute poolt üksnes eesmärgiga viia registrijärgne või tegelik asukoht üle vääratel maksualastel, sotsiaalsetel või õiguslikel põhjustel; rõhutab vajadust vältida ebamäärasust riiklike karistuste kohaldamisel töötajate õiguste alaste õigusaktide mittejärgimise korral;</w:t>
      </w:r>
    </w:p>
    <w:p w:rsidR="00FE0CD4" w:rsidRPr="005018D5" w:rsidRDefault="00FE0CD4" w:rsidP="00B246E8">
      <w:pPr>
        <w:spacing w:before="120" w:after="120"/>
        <w:ind w:left="720" w:hanging="720"/>
      </w:pPr>
      <w:r w:rsidRPr="005018D5">
        <w:t>10.</w:t>
      </w:r>
      <w:r w:rsidRPr="005018D5">
        <w:tab/>
        <w:t>peab tähtsaks paranduste tegemist teatavates olulistes aspektides:</w:t>
      </w:r>
    </w:p>
    <w:p w:rsidR="00FE0CD4" w:rsidRPr="005018D5" w:rsidRDefault="00B246E8" w:rsidP="00B246E8">
      <w:pPr>
        <w:autoSpaceDE w:val="0"/>
        <w:autoSpaceDN w:val="0"/>
        <w:adjustRightInd w:val="0"/>
        <w:spacing w:before="120" w:after="120"/>
        <w:ind w:left="1287" w:hanging="567"/>
      </w:pPr>
      <w:r w:rsidRPr="005018D5">
        <w:t>–</w:t>
      </w:r>
      <w:r w:rsidRPr="005018D5">
        <w:tab/>
      </w:r>
      <w:r w:rsidR="00FE0CD4" w:rsidRPr="005018D5">
        <w:t>varade ja kohustuste haldamine;</w:t>
      </w:r>
    </w:p>
    <w:p w:rsidR="00FE0CD4" w:rsidRPr="005018D5" w:rsidRDefault="00B246E8" w:rsidP="00B246E8">
      <w:pPr>
        <w:autoSpaceDE w:val="0"/>
        <w:autoSpaceDN w:val="0"/>
        <w:adjustRightInd w:val="0"/>
        <w:spacing w:before="120" w:after="120"/>
        <w:ind w:left="1287" w:hanging="567"/>
      </w:pPr>
      <w:r w:rsidRPr="005018D5">
        <w:t>–</w:t>
      </w:r>
      <w:r w:rsidRPr="005018D5">
        <w:tab/>
      </w:r>
      <w:r w:rsidR="00FE0CD4" w:rsidRPr="005018D5">
        <w:t>varade hindamismeetod;</w:t>
      </w:r>
    </w:p>
    <w:p w:rsidR="00FE0CD4" w:rsidRPr="005018D5" w:rsidRDefault="00B246E8" w:rsidP="00B246E8">
      <w:pPr>
        <w:autoSpaceDE w:val="0"/>
        <w:autoSpaceDN w:val="0"/>
        <w:adjustRightInd w:val="0"/>
        <w:spacing w:before="120" w:after="120"/>
        <w:ind w:left="1287" w:hanging="567"/>
      </w:pPr>
      <w:r w:rsidRPr="005018D5">
        <w:t>–</w:t>
      </w:r>
      <w:r w:rsidRPr="005018D5">
        <w:tab/>
      </w:r>
      <w:r w:rsidR="00FE0CD4" w:rsidRPr="005018D5">
        <w:t>võlausaldajate kaitse eeskirjad;</w:t>
      </w:r>
    </w:p>
    <w:p w:rsidR="00FE0CD4" w:rsidRPr="005018D5" w:rsidRDefault="00B246E8" w:rsidP="00B246E8">
      <w:pPr>
        <w:autoSpaceDE w:val="0"/>
        <w:autoSpaceDN w:val="0"/>
        <w:adjustRightInd w:val="0"/>
        <w:spacing w:before="120" w:after="120"/>
        <w:ind w:left="1287" w:hanging="567"/>
      </w:pPr>
      <w:r w:rsidRPr="005018D5">
        <w:t>–</w:t>
      </w:r>
      <w:r w:rsidRPr="005018D5">
        <w:tab/>
      </w:r>
      <w:r w:rsidR="00FE0CD4" w:rsidRPr="005018D5">
        <w:t>võlausaldajate kaitse ajavahemiku alguskuupäev ja kestus kooskõlas üldkoosolekule vastutuse panemise põhimõttega;</w:t>
      </w:r>
    </w:p>
    <w:p w:rsidR="00FE0CD4" w:rsidRPr="005018D5" w:rsidRDefault="00B246E8" w:rsidP="00B246E8">
      <w:pPr>
        <w:autoSpaceDE w:val="0"/>
        <w:autoSpaceDN w:val="0"/>
        <w:adjustRightInd w:val="0"/>
        <w:spacing w:before="120" w:after="120"/>
        <w:ind w:left="1287" w:hanging="567"/>
      </w:pPr>
      <w:r w:rsidRPr="005018D5">
        <w:t>–</w:t>
      </w:r>
      <w:r w:rsidRPr="005018D5">
        <w:tab/>
      </w:r>
      <w:r w:rsidR="00FE0CD4" w:rsidRPr="005018D5">
        <w:t xml:space="preserve">äriühinguteabe edastamine liikmesriikide ühendatud ja standarditud registrite kaudu; </w:t>
      </w:r>
    </w:p>
    <w:p w:rsidR="00FE0CD4" w:rsidRPr="005018D5" w:rsidRDefault="00B246E8" w:rsidP="00B246E8">
      <w:pPr>
        <w:autoSpaceDE w:val="0"/>
        <w:autoSpaceDN w:val="0"/>
        <w:adjustRightInd w:val="0"/>
        <w:spacing w:before="120" w:after="120"/>
        <w:ind w:left="1287" w:hanging="567"/>
      </w:pPr>
      <w:r w:rsidRPr="005018D5">
        <w:t>–</w:t>
      </w:r>
      <w:r w:rsidRPr="005018D5">
        <w:tab/>
      </w:r>
      <w:r w:rsidR="00FE0CD4" w:rsidRPr="005018D5">
        <w:t>vähemusaktsionäride õigused;</w:t>
      </w:r>
    </w:p>
    <w:p w:rsidR="00FE0CD4" w:rsidRPr="005018D5" w:rsidRDefault="00B246E8" w:rsidP="00B246E8">
      <w:pPr>
        <w:autoSpaceDE w:val="0"/>
        <w:autoSpaceDN w:val="0"/>
        <w:adjustRightInd w:val="0"/>
        <w:spacing w:before="120" w:after="120"/>
        <w:ind w:left="1287" w:hanging="567"/>
      </w:pPr>
      <w:r w:rsidRPr="005018D5">
        <w:t>–</w:t>
      </w:r>
      <w:r w:rsidRPr="005018D5">
        <w:tab/>
      </w:r>
      <w:r w:rsidR="00FE0CD4" w:rsidRPr="005018D5">
        <w:t>miinimumnõuete kehtestamine töötajate teavitamisele, nendega konsulteerimisele ja töötajate osalemisele ühises otsustamises;</w:t>
      </w:r>
    </w:p>
    <w:p w:rsidR="00FE0CD4" w:rsidRPr="005018D5" w:rsidRDefault="00B246E8" w:rsidP="00B246E8">
      <w:pPr>
        <w:pStyle w:val="Normal12Hanging"/>
        <w:spacing w:before="120" w:after="120"/>
        <w:ind w:left="1287"/>
        <w:rPr>
          <w:szCs w:val="24"/>
        </w:rPr>
      </w:pPr>
      <w:r w:rsidRPr="005018D5">
        <w:lastRenderedPageBreak/>
        <w:t>–</w:t>
      </w:r>
      <w:r w:rsidRPr="005018D5">
        <w:tab/>
      </w:r>
      <w:r w:rsidR="00FE0CD4" w:rsidRPr="005018D5">
        <w:t xml:space="preserve">teatavad konkreetsed erandid menetlusnõuetest; </w:t>
      </w:r>
    </w:p>
    <w:p w:rsidR="00FE0CD4" w:rsidRPr="005018D5" w:rsidRDefault="00FE0CD4" w:rsidP="00B246E8">
      <w:pPr>
        <w:pStyle w:val="Normal12Hanging"/>
        <w:spacing w:before="120" w:after="120"/>
        <w:ind w:left="720" w:hanging="720"/>
        <w:rPr>
          <w:szCs w:val="24"/>
        </w:rPr>
      </w:pPr>
      <w:r w:rsidRPr="005018D5">
        <w:t>11.</w:t>
      </w:r>
      <w:r w:rsidRPr="005018D5">
        <w:tab/>
        <w:t>peab väga oluliseks kaitsta vähemusaktsionäride teatavaid õigusi, nagu õigust uurida ühinemist, aktsionäri õigust hüvitisele äriühingust lahkumise korral ühinemisele vastuseisu tõttu ning õigust vaidlustada vahetuskursi täpsust;</w:t>
      </w:r>
    </w:p>
    <w:p w:rsidR="00FE0CD4" w:rsidRPr="005018D5" w:rsidRDefault="00FE0CD4" w:rsidP="00B246E8">
      <w:pPr>
        <w:pStyle w:val="Normal12Hanging"/>
        <w:spacing w:before="120" w:after="120"/>
        <w:ind w:left="720" w:hanging="720"/>
      </w:pPr>
      <w:r w:rsidRPr="005018D5">
        <w:t>12.</w:t>
      </w:r>
      <w:r w:rsidRPr="005018D5">
        <w:tab/>
        <w:t>toetab võimalust kehtestada kiirendatud piiriülesed menetlused kõigi aktsionäride nõusoleku, töötajate puudumise või võlausaldajatele kaduvväikese mõju korral;</w:t>
      </w:r>
    </w:p>
    <w:p w:rsidR="00FE0CD4" w:rsidRPr="005018D5" w:rsidRDefault="00FE0CD4" w:rsidP="00B246E8">
      <w:pPr>
        <w:pStyle w:val="NormalBoldItalcs12a12b"/>
        <w:spacing w:before="120" w:after="120"/>
        <w:ind w:left="720" w:hanging="720"/>
      </w:pPr>
      <w:r w:rsidRPr="005018D5">
        <w:t>Piiriülene jagunemine</w:t>
      </w:r>
    </w:p>
    <w:p w:rsidR="00FE0CD4" w:rsidRPr="005018D5" w:rsidRDefault="00FE0CD4" w:rsidP="00B246E8">
      <w:pPr>
        <w:pStyle w:val="Normal12Hanging"/>
        <w:spacing w:before="120" w:after="120"/>
        <w:ind w:left="720" w:hanging="720"/>
        <w:rPr>
          <w:szCs w:val="24"/>
        </w:rPr>
      </w:pPr>
      <w:r w:rsidRPr="005018D5">
        <w:t>13.</w:t>
      </w:r>
      <w:r w:rsidRPr="005018D5">
        <w:tab/>
      </w:r>
      <w:r w:rsidR="00820DD0" w:rsidRPr="005018D5">
        <w:t>tuletab meelde, et direktiiviga </w:t>
      </w:r>
      <w:r w:rsidRPr="005018D5">
        <w:t>82/891/EMÜ reguleeritakse ainult äriühingute jagunemist ühe liikmesriigi piires; märgib, et kuigi äriühingute jagunemised eri liikmesriikide vahel on haruldasem</w:t>
      </w:r>
      <w:r w:rsidR="00820DD0" w:rsidRPr="005018D5">
        <w:t>ad, nagu ilmneb komisjoni 2015. </w:t>
      </w:r>
      <w:r w:rsidRPr="005018D5">
        <w:t>aasta konsulteerimises, näitavad riigisiseste jagunemiste andmed tõelist vajadust kehtestada eraldi ELi raamistik piiriülese jagunemise kohta;</w:t>
      </w:r>
      <w:r w:rsidRPr="005018D5">
        <w:rPr>
          <w:color w:val="000000"/>
        </w:rPr>
        <w:t xml:space="preserve"> rõhutab, et ühtki uut direktiivi ei tohiks kasutada ametliku vahendina äriühingu jagunemiseks meelepärase kohtualluvuse valimise eesmärgil, et vältida siseriiklike õigusaktide kohaseid juriidilisi kohustusi;</w:t>
      </w:r>
    </w:p>
    <w:p w:rsidR="00FE0CD4" w:rsidRPr="005018D5" w:rsidRDefault="00FE0CD4" w:rsidP="00B246E8">
      <w:pPr>
        <w:pStyle w:val="Normal12Hanging"/>
        <w:spacing w:before="120" w:after="120"/>
        <w:ind w:left="720" w:hanging="720"/>
        <w:rPr>
          <w:szCs w:val="24"/>
        </w:rPr>
      </w:pPr>
      <w:r w:rsidRPr="005018D5">
        <w:t>14.</w:t>
      </w:r>
      <w:r w:rsidRPr="005018D5">
        <w:tab/>
        <w:t>kutsub komisjoni üles kaaluma piiriülese jagunemise reguleerimisest tulenevat märkimisväärset majanduslikku mõju, nagu organisatsiooni struktuuri lihtsustumine, kohanemisvõime paranemine ja uued võimalused siseturul;</w:t>
      </w:r>
    </w:p>
    <w:p w:rsidR="00FE0CD4" w:rsidRPr="005018D5" w:rsidRDefault="00FE0CD4" w:rsidP="00B246E8">
      <w:pPr>
        <w:pStyle w:val="Normal12Hanging"/>
        <w:spacing w:before="120" w:after="120"/>
        <w:ind w:left="720" w:hanging="720"/>
        <w:rPr>
          <w:szCs w:val="24"/>
        </w:rPr>
      </w:pPr>
      <w:r w:rsidRPr="005018D5">
        <w:t>15.</w:t>
      </w:r>
      <w:r w:rsidRPr="005018D5">
        <w:tab/>
        <w:t>võtab teadmiseks pikad ja keerukad menetlused, mida on praegu vaja piiriüleseks jagunemiseks, mida tavaliselt rakendatakse kahes etapis: esialgne riigisisene jagunemine ja sellele järgnev piiriülene ühinemine; on veendunud, et ELi tasandil ühtlustatud standardite kehtestamine piiriülese jagunemise valdkonnas lihtsustaks toiminguid ja vähendaks menetluste kestust ja kulusid;</w:t>
      </w:r>
    </w:p>
    <w:p w:rsidR="00FE0CD4" w:rsidRPr="005018D5" w:rsidRDefault="00FE0CD4" w:rsidP="00B246E8">
      <w:pPr>
        <w:pStyle w:val="Normal12Hanging"/>
        <w:spacing w:before="120" w:after="120"/>
        <w:ind w:left="720" w:hanging="720"/>
        <w:rPr>
          <w:szCs w:val="24"/>
        </w:rPr>
      </w:pPr>
      <w:r w:rsidRPr="005018D5">
        <w:t>16.</w:t>
      </w:r>
      <w:r w:rsidRPr="005018D5">
        <w:tab/>
        <w:t>juhib tähelepanu asjaolule, kui oluline on kõrvaldada tõkked, mille põhjuseks on õigusaktide konflikt, et määrata kindlaks kohaldatav siseriiklik õigus;</w:t>
      </w:r>
    </w:p>
    <w:p w:rsidR="00FE0CD4" w:rsidRPr="005018D5" w:rsidRDefault="00FE0CD4" w:rsidP="00B246E8">
      <w:pPr>
        <w:pStyle w:val="Normal12Hanging"/>
        <w:spacing w:before="120" w:after="120"/>
        <w:ind w:left="720" w:hanging="720"/>
        <w:rPr>
          <w:szCs w:val="24"/>
        </w:rPr>
      </w:pPr>
      <w:r w:rsidRPr="005018D5">
        <w:t>17.</w:t>
      </w:r>
      <w:r w:rsidRPr="005018D5">
        <w:tab/>
        <w:t>tuletab meelde, et mõnes liikmesriigis puuduvad siseriiklikud eriõigusaktid selle kohta, kuidas piiriülene jagunemine peaks toimuma;</w:t>
      </w:r>
    </w:p>
    <w:p w:rsidR="00FE0CD4" w:rsidRPr="005018D5" w:rsidRDefault="00FE0CD4" w:rsidP="00B246E8">
      <w:pPr>
        <w:spacing w:before="120" w:after="120"/>
        <w:ind w:left="720" w:hanging="720"/>
      </w:pPr>
      <w:r w:rsidRPr="005018D5">
        <w:t>18.</w:t>
      </w:r>
      <w:r w:rsidRPr="005018D5">
        <w:tab/>
        <w:t>on seisukohal, et tulevases piiriülest jagunemist käsitlevas seadusandlikus algatuses tuleks toetuda põhimõtetele ja nõuetele, mis on esitatud piiriülese ühinemise direktiivi kontekstis:</w:t>
      </w:r>
    </w:p>
    <w:p w:rsidR="00FE0CD4" w:rsidRPr="005018D5" w:rsidRDefault="00B246E8" w:rsidP="00B246E8">
      <w:pPr>
        <w:autoSpaceDE w:val="0"/>
        <w:autoSpaceDN w:val="0"/>
        <w:adjustRightInd w:val="0"/>
        <w:spacing w:before="120" w:after="120"/>
        <w:ind w:left="1287" w:hanging="567"/>
      </w:pPr>
      <w:r w:rsidRPr="005018D5">
        <w:t>–</w:t>
      </w:r>
      <w:r w:rsidRPr="005018D5">
        <w:tab/>
      </w:r>
      <w:r w:rsidR="00FE0CD4" w:rsidRPr="005018D5">
        <w:t>menetlus küsimused ja lihtsustamisega seotud aspektid, sealhulgas kõik tänapäeval kasutatavad äriühingute jagunemise vormid („</w:t>
      </w:r>
      <w:proofErr w:type="spellStart"/>
      <w:r w:rsidR="00FE0CD4" w:rsidRPr="005018D5">
        <w:t>split-up</w:t>
      </w:r>
      <w:proofErr w:type="spellEnd"/>
      <w:r w:rsidR="00FE0CD4" w:rsidRPr="005018D5">
        <w:t>“ (äriühingu jagumine üheks või mitmeks eraldi äriühinguks), „</w:t>
      </w:r>
      <w:proofErr w:type="spellStart"/>
      <w:r w:rsidR="00FE0CD4" w:rsidRPr="005018D5">
        <w:t>spin-off</w:t>
      </w:r>
      <w:proofErr w:type="spellEnd"/>
      <w:r w:rsidR="00FE0CD4" w:rsidRPr="005018D5">
        <w:t>“ (äriühingust eraldumine võrsefirmana) ja „</w:t>
      </w:r>
      <w:proofErr w:type="spellStart"/>
      <w:r w:rsidR="00FE0CD4" w:rsidRPr="005018D5">
        <w:t>hive-down</w:t>
      </w:r>
      <w:proofErr w:type="spellEnd"/>
      <w:r w:rsidR="00FE0CD4" w:rsidRPr="005018D5">
        <w:t>“ (äriühingu äritegevuse täielik või osaline suunamine tütarettevõtjasse või uude äriühingusse);</w:t>
      </w:r>
    </w:p>
    <w:p w:rsidR="00FE0CD4" w:rsidRPr="005018D5" w:rsidRDefault="00B246E8" w:rsidP="00B246E8">
      <w:pPr>
        <w:autoSpaceDE w:val="0"/>
        <w:autoSpaceDN w:val="0"/>
        <w:adjustRightInd w:val="0"/>
        <w:spacing w:before="120" w:after="120"/>
        <w:ind w:left="1287" w:hanging="567"/>
      </w:pPr>
      <w:r w:rsidRPr="005018D5">
        <w:t>–</w:t>
      </w:r>
      <w:r w:rsidRPr="005018D5">
        <w:tab/>
      </w:r>
      <w:r w:rsidR="00FE0CD4" w:rsidRPr="005018D5">
        <w:t>võlausaldajate ja vähemusaktsionäride õigused, rõhutades kaitsmise ja tõhususe põhimõtet;</w:t>
      </w:r>
    </w:p>
    <w:p w:rsidR="00FE0CD4" w:rsidRPr="005018D5" w:rsidRDefault="00B246E8" w:rsidP="00B246E8">
      <w:pPr>
        <w:autoSpaceDE w:val="0"/>
        <w:autoSpaceDN w:val="0"/>
        <w:adjustRightInd w:val="0"/>
        <w:spacing w:before="120" w:after="120"/>
        <w:ind w:left="1287" w:hanging="567"/>
        <w:rPr>
          <w:rFonts w:ascii="TimesNewRoman" w:hAnsi="TimesNewRoman" w:cs="TimesNewRoman"/>
        </w:rPr>
      </w:pPr>
      <w:r w:rsidRPr="005018D5">
        <w:t>–</w:t>
      </w:r>
      <w:r w:rsidRPr="005018D5">
        <w:tab/>
      </w:r>
      <w:r w:rsidR="00FE0CD4" w:rsidRPr="005018D5">
        <w:t>töötajate osaluse ja esindatuse ning nende kaitse nõuete järgimine eesmärgiga tõhustada töötajate kaitset, eelkõige kaitset sotsiaalse dumpingu vastu;</w:t>
      </w:r>
    </w:p>
    <w:p w:rsidR="00FE0CD4" w:rsidRPr="005018D5" w:rsidRDefault="00B246E8" w:rsidP="00B246E8">
      <w:pPr>
        <w:autoSpaceDE w:val="0"/>
        <w:autoSpaceDN w:val="0"/>
        <w:adjustRightInd w:val="0"/>
        <w:spacing w:before="120" w:after="120"/>
        <w:ind w:left="1287" w:hanging="567"/>
      </w:pPr>
      <w:r w:rsidRPr="005018D5">
        <w:lastRenderedPageBreak/>
        <w:t>–</w:t>
      </w:r>
      <w:r w:rsidRPr="005018D5">
        <w:tab/>
      </w:r>
      <w:r w:rsidR="00FE0CD4" w:rsidRPr="005018D5">
        <w:t>raamatupidamisküsimused;</w:t>
      </w:r>
    </w:p>
    <w:p w:rsidR="00FE0CD4" w:rsidRPr="005018D5" w:rsidRDefault="00B246E8" w:rsidP="00B246E8">
      <w:pPr>
        <w:autoSpaceDE w:val="0"/>
        <w:autoSpaceDN w:val="0"/>
        <w:adjustRightInd w:val="0"/>
        <w:spacing w:before="120" w:after="120"/>
        <w:ind w:left="1287" w:hanging="567"/>
      </w:pPr>
      <w:r w:rsidRPr="005018D5">
        <w:t>–</w:t>
      </w:r>
      <w:r w:rsidRPr="005018D5">
        <w:tab/>
      </w:r>
      <w:r w:rsidR="00FE0CD4" w:rsidRPr="005018D5">
        <w:t>varad ja kohustused;</w:t>
      </w:r>
    </w:p>
    <w:p w:rsidR="00FE0CD4" w:rsidRPr="005018D5" w:rsidRDefault="00B246E8" w:rsidP="00B246E8">
      <w:pPr>
        <w:pStyle w:val="Normal12Hanging"/>
        <w:spacing w:before="120" w:after="120"/>
        <w:ind w:left="1287"/>
        <w:rPr>
          <w:szCs w:val="24"/>
        </w:rPr>
      </w:pPr>
      <w:r w:rsidRPr="005018D5">
        <w:t>–</w:t>
      </w:r>
      <w:r w:rsidRPr="005018D5">
        <w:tab/>
      </w:r>
      <w:r w:rsidR="00FE0CD4" w:rsidRPr="005018D5">
        <w:t>e</w:t>
      </w:r>
      <w:r w:rsidRPr="005018D5">
        <w:t>e</w:t>
      </w:r>
      <w:r w:rsidR="00FE0CD4" w:rsidRPr="005018D5">
        <w:t>skirjade ja menetluste ühtlustamine näiteks järgmistes küsimustes: aktsiatega seotud õigused, registreerimisnõuded ja äriregistrite vahelise teabevahetuse nõuded, tehingu lõpetamise kuupäev, jagunemise tingimuste minimaalne sisu, enamusnõuded ning tehingu seaduslikkuse ja korrektsuse järelevalve eest vastutav asutus;</w:t>
      </w:r>
    </w:p>
    <w:p w:rsidR="00B246E8" w:rsidRPr="005018D5" w:rsidRDefault="00B246E8" w:rsidP="00B246E8">
      <w:pPr>
        <w:keepLines/>
        <w:spacing w:before="100" w:beforeAutospacing="1" w:after="100" w:afterAutospacing="1"/>
        <w:jc w:val="center"/>
      </w:pPr>
      <w:r w:rsidRPr="005018D5">
        <w:t>o</w:t>
      </w:r>
      <w:r w:rsidRPr="005018D5">
        <w:br/>
      </w:r>
      <w:proofErr w:type="spellStart"/>
      <w:r w:rsidRPr="005018D5">
        <w:t>o</w:t>
      </w:r>
      <w:proofErr w:type="spellEnd"/>
      <w:r w:rsidRPr="005018D5">
        <w:t>   </w:t>
      </w:r>
      <w:proofErr w:type="spellStart"/>
      <w:r w:rsidRPr="005018D5">
        <w:t>o</w:t>
      </w:r>
      <w:proofErr w:type="spellEnd"/>
    </w:p>
    <w:p w:rsidR="00E365E1" w:rsidRPr="005018D5" w:rsidRDefault="00FE0CD4" w:rsidP="00B246E8">
      <w:pPr>
        <w:spacing w:before="120" w:after="120"/>
        <w:ind w:left="720" w:hanging="720"/>
      </w:pPr>
      <w:r w:rsidRPr="005018D5">
        <w:t>19.</w:t>
      </w:r>
      <w:r w:rsidRPr="005018D5">
        <w:tab/>
        <w:t>teeb presidendile ülesandeks edastada käesolev resolutsioon nõukogule, komisjonile ning Euroopa Majandus-ja Sotsiaalkomiteele.</w:t>
      </w:r>
      <w:bookmarkStart w:id="10" w:name="TextBodyEnd"/>
      <w:bookmarkEnd w:id="10"/>
    </w:p>
    <w:sectPr w:rsidR="00E365E1" w:rsidRPr="005018D5" w:rsidSect="003F2A0E">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6B6" w:rsidRPr="005566B6" w:rsidRDefault="005566B6">
      <w:r w:rsidRPr="005566B6">
        <w:separator/>
      </w:r>
    </w:p>
  </w:endnote>
  <w:endnote w:type="continuationSeparator" w:id="0">
    <w:p w:rsidR="005566B6" w:rsidRPr="005566B6" w:rsidRDefault="005566B6">
      <w:r w:rsidRPr="005566B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A0E" w:rsidRDefault="003F2A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A0E" w:rsidRDefault="003F2A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A0E" w:rsidRDefault="003F2A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6B6" w:rsidRPr="005566B6" w:rsidRDefault="005566B6">
      <w:r w:rsidRPr="005566B6">
        <w:separator/>
      </w:r>
    </w:p>
  </w:footnote>
  <w:footnote w:type="continuationSeparator" w:id="0">
    <w:p w:rsidR="005566B6" w:rsidRPr="005566B6" w:rsidRDefault="005566B6">
      <w:r w:rsidRPr="005566B6">
        <w:continuationSeparator/>
      </w:r>
    </w:p>
  </w:footnote>
  <w:footnote w:id="1">
    <w:p w:rsidR="00FE0CD4" w:rsidRPr="00B246E8" w:rsidRDefault="00FE0CD4" w:rsidP="00B246E8">
      <w:pPr>
        <w:pStyle w:val="FootnoteText"/>
        <w:ind w:left="720" w:hanging="720"/>
        <w:rPr>
          <w:sz w:val="24"/>
          <w:szCs w:val="24"/>
          <w:lang w:val="et-EE"/>
        </w:rPr>
      </w:pPr>
      <w:r w:rsidRPr="00B246E8">
        <w:rPr>
          <w:rStyle w:val="FootnoteReference"/>
          <w:sz w:val="24"/>
          <w:szCs w:val="24"/>
          <w:lang w:val="et-EE"/>
        </w:rPr>
        <w:footnoteRef/>
      </w:r>
      <w:r w:rsidRPr="00B246E8">
        <w:rPr>
          <w:sz w:val="24"/>
          <w:szCs w:val="24"/>
          <w:lang w:val="et-EE"/>
        </w:rPr>
        <w:t xml:space="preserve"> </w:t>
      </w:r>
      <w:r w:rsidR="00B246E8" w:rsidRPr="00B246E8">
        <w:rPr>
          <w:sz w:val="24"/>
          <w:szCs w:val="24"/>
          <w:lang w:val="et-EE"/>
        </w:rPr>
        <w:tab/>
        <w:t>EÜT L 378, 31.12.1982, lk </w:t>
      </w:r>
      <w:r w:rsidRPr="00B246E8">
        <w:rPr>
          <w:sz w:val="24"/>
          <w:szCs w:val="24"/>
          <w:lang w:val="et-EE"/>
        </w:rPr>
        <w:t xml:space="preserve">47. </w:t>
      </w:r>
    </w:p>
  </w:footnote>
  <w:footnote w:id="2">
    <w:p w:rsidR="00FE0CD4" w:rsidRPr="00B246E8" w:rsidRDefault="00FE0CD4" w:rsidP="00B246E8">
      <w:pPr>
        <w:pStyle w:val="FootnoteText"/>
        <w:ind w:left="720" w:hanging="720"/>
        <w:rPr>
          <w:sz w:val="24"/>
          <w:szCs w:val="24"/>
          <w:lang w:val="et-EE"/>
        </w:rPr>
      </w:pPr>
      <w:r w:rsidRPr="00B246E8">
        <w:rPr>
          <w:rStyle w:val="FootnoteReference"/>
          <w:sz w:val="24"/>
          <w:szCs w:val="24"/>
          <w:lang w:val="et-EE"/>
        </w:rPr>
        <w:footnoteRef/>
      </w:r>
      <w:r w:rsidRPr="00B246E8">
        <w:rPr>
          <w:sz w:val="24"/>
          <w:szCs w:val="24"/>
          <w:lang w:val="et-EE"/>
        </w:rPr>
        <w:t xml:space="preserve"> </w:t>
      </w:r>
      <w:r w:rsidR="00B246E8">
        <w:rPr>
          <w:sz w:val="24"/>
          <w:szCs w:val="24"/>
          <w:lang w:val="et-EE"/>
        </w:rPr>
        <w:tab/>
        <w:t>ELT L </w:t>
      </w:r>
      <w:r w:rsidRPr="00B246E8">
        <w:rPr>
          <w:sz w:val="24"/>
          <w:szCs w:val="24"/>
          <w:lang w:val="et-EE"/>
        </w:rPr>
        <w:t xml:space="preserve">310, 25.11.2005, lk 1. </w:t>
      </w:r>
    </w:p>
  </w:footnote>
  <w:footnote w:id="3">
    <w:p w:rsidR="00FE0CD4" w:rsidRPr="00B246E8" w:rsidRDefault="00FE0CD4" w:rsidP="00B246E8">
      <w:pPr>
        <w:pStyle w:val="FootnoteText"/>
        <w:ind w:left="720" w:hanging="720"/>
        <w:rPr>
          <w:sz w:val="24"/>
          <w:szCs w:val="24"/>
          <w:lang w:val="et-EE"/>
        </w:rPr>
      </w:pPr>
      <w:r w:rsidRPr="00B246E8">
        <w:rPr>
          <w:rStyle w:val="FootnoteReference"/>
          <w:sz w:val="24"/>
          <w:szCs w:val="24"/>
          <w:lang w:val="et-EE"/>
        </w:rPr>
        <w:footnoteRef/>
      </w:r>
      <w:r w:rsidRPr="00B246E8">
        <w:rPr>
          <w:sz w:val="24"/>
          <w:szCs w:val="24"/>
          <w:lang w:val="et-EE"/>
        </w:rPr>
        <w:t xml:space="preserve"> </w:t>
      </w:r>
      <w:r w:rsidR="00B246E8">
        <w:rPr>
          <w:sz w:val="24"/>
          <w:szCs w:val="24"/>
          <w:lang w:val="et-EE"/>
        </w:rPr>
        <w:tab/>
        <w:t>EÜT L </w:t>
      </w:r>
      <w:r w:rsidRPr="00B246E8">
        <w:rPr>
          <w:sz w:val="24"/>
          <w:szCs w:val="24"/>
          <w:lang w:val="et-EE"/>
        </w:rPr>
        <w:t>294</w:t>
      </w:r>
      <w:r w:rsidR="00B246E8">
        <w:rPr>
          <w:sz w:val="24"/>
          <w:szCs w:val="24"/>
          <w:lang w:val="et-EE"/>
        </w:rPr>
        <w:t>, 10.11.2001, lk </w:t>
      </w:r>
      <w:r w:rsidRPr="00B246E8">
        <w:rPr>
          <w:sz w:val="24"/>
          <w:szCs w:val="24"/>
          <w:lang w:val="et-EE"/>
        </w:rPr>
        <w:t xml:space="preserve">1. </w:t>
      </w:r>
    </w:p>
  </w:footnote>
  <w:footnote w:id="4">
    <w:p w:rsidR="00FE0CD4" w:rsidRPr="00B246E8" w:rsidRDefault="00FE0CD4" w:rsidP="00B246E8">
      <w:pPr>
        <w:pStyle w:val="FootnoteText"/>
        <w:ind w:left="720" w:hanging="720"/>
        <w:rPr>
          <w:sz w:val="24"/>
          <w:szCs w:val="24"/>
          <w:lang w:val="et-EE"/>
        </w:rPr>
      </w:pPr>
      <w:r w:rsidRPr="00B246E8">
        <w:rPr>
          <w:rStyle w:val="FootnoteReference"/>
          <w:sz w:val="24"/>
          <w:szCs w:val="24"/>
          <w:lang w:val="et-EE"/>
        </w:rPr>
        <w:footnoteRef/>
      </w:r>
      <w:r w:rsidRPr="00B246E8">
        <w:rPr>
          <w:sz w:val="24"/>
          <w:szCs w:val="24"/>
          <w:lang w:val="et-EE"/>
        </w:rPr>
        <w:t xml:space="preserve"> </w:t>
      </w:r>
      <w:r w:rsidR="00B246E8">
        <w:rPr>
          <w:sz w:val="24"/>
          <w:szCs w:val="24"/>
          <w:lang w:val="et-EE"/>
        </w:rPr>
        <w:tab/>
        <w:t>EÜT L 294, 10.11.2001, lk </w:t>
      </w:r>
      <w:r w:rsidRPr="00B246E8">
        <w:rPr>
          <w:sz w:val="24"/>
          <w:szCs w:val="24"/>
          <w:lang w:val="et-EE"/>
        </w:rPr>
        <w:t xml:space="preserve">22. </w:t>
      </w:r>
    </w:p>
  </w:footnote>
  <w:footnote w:id="5">
    <w:p w:rsidR="00FE0CD4" w:rsidRPr="00B246E8" w:rsidRDefault="00FE0CD4" w:rsidP="00B246E8">
      <w:pPr>
        <w:pStyle w:val="FootnoteText"/>
        <w:ind w:left="720" w:hanging="720"/>
        <w:rPr>
          <w:sz w:val="24"/>
          <w:szCs w:val="24"/>
          <w:lang w:val="et-EE"/>
        </w:rPr>
      </w:pPr>
      <w:r w:rsidRPr="00B246E8">
        <w:rPr>
          <w:rStyle w:val="FootnoteReference"/>
          <w:sz w:val="24"/>
          <w:szCs w:val="24"/>
          <w:lang w:val="et-EE"/>
        </w:rPr>
        <w:footnoteRef/>
      </w:r>
      <w:r w:rsidRPr="00B246E8">
        <w:rPr>
          <w:sz w:val="24"/>
          <w:szCs w:val="24"/>
          <w:lang w:val="et-EE"/>
        </w:rPr>
        <w:t xml:space="preserve"> </w:t>
      </w:r>
      <w:r w:rsidR="00B246E8">
        <w:rPr>
          <w:sz w:val="24"/>
          <w:szCs w:val="24"/>
          <w:lang w:val="et-EE"/>
        </w:rPr>
        <w:tab/>
        <w:t>EÜT </w:t>
      </w:r>
      <w:r w:rsidRPr="00B246E8">
        <w:rPr>
          <w:sz w:val="24"/>
          <w:szCs w:val="24"/>
          <w:lang w:val="et-EE"/>
        </w:rPr>
        <w:t>L 80, 23.3.2002, lk 29.</w:t>
      </w:r>
    </w:p>
  </w:footnote>
  <w:footnote w:id="6">
    <w:p w:rsidR="00FE0CD4" w:rsidRPr="00B246E8" w:rsidRDefault="00FE0CD4" w:rsidP="00B246E8">
      <w:pPr>
        <w:pStyle w:val="FootnoteText"/>
        <w:ind w:left="720" w:hanging="720"/>
        <w:rPr>
          <w:sz w:val="24"/>
          <w:szCs w:val="24"/>
          <w:lang w:val="et-EE"/>
        </w:rPr>
      </w:pPr>
      <w:r w:rsidRPr="00B246E8">
        <w:rPr>
          <w:rStyle w:val="FootnoteReference"/>
          <w:sz w:val="24"/>
          <w:szCs w:val="24"/>
          <w:lang w:val="et-EE"/>
        </w:rPr>
        <w:footnoteRef/>
      </w:r>
      <w:r w:rsidRPr="00B246E8">
        <w:rPr>
          <w:sz w:val="24"/>
          <w:szCs w:val="24"/>
          <w:lang w:val="et-EE"/>
        </w:rPr>
        <w:t xml:space="preserve"> </w:t>
      </w:r>
      <w:r w:rsidR="00B246E8">
        <w:rPr>
          <w:sz w:val="24"/>
          <w:szCs w:val="24"/>
          <w:lang w:val="et-EE"/>
        </w:rPr>
        <w:tab/>
        <w:t>ELT </w:t>
      </w:r>
      <w:r w:rsidRPr="00B246E8">
        <w:rPr>
          <w:sz w:val="24"/>
          <w:szCs w:val="24"/>
          <w:lang w:val="et-EE"/>
        </w:rPr>
        <w:t xml:space="preserve">C 332 E, 15.11.2013, lk 78. </w:t>
      </w:r>
    </w:p>
  </w:footnote>
  <w:footnote w:id="7">
    <w:p w:rsidR="00FE0CD4" w:rsidRPr="00B246E8" w:rsidRDefault="00FE0CD4" w:rsidP="00B246E8">
      <w:pPr>
        <w:pStyle w:val="FootnoteText"/>
        <w:ind w:left="720" w:hanging="720"/>
        <w:rPr>
          <w:sz w:val="24"/>
          <w:szCs w:val="24"/>
          <w:lang w:val="et-EE"/>
        </w:rPr>
      </w:pPr>
      <w:r w:rsidRPr="00B246E8">
        <w:rPr>
          <w:rStyle w:val="FootnoteReference"/>
          <w:sz w:val="24"/>
          <w:szCs w:val="24"/>
          <w:lang w:val="et-EE"/>
        </w:rPr>
        <w:footnoteRef/>
      </w:r>
      <w:r w:rsidRPr="00B246E8">
        <w:rPr>
          <w:sz w:val="24"/>
          <w:szCs w:val="24"/>
          <w:lang w:val="et-EE"/>
        </w:rPr>
        <w:t xml:space="preserve"> </w:t>
      </w:r>
      <w:r w:rsidR="00B246E8">
        <w:rPr>
          <w:sz w:val="24"/>
          <w:szCs w:val="24"/>
          <w:lang w:val="et-EE"/>
        </w:rPr>
        <w:tab/>
        <w:t>ELT C 87 E, 1.4.2010, lk </w:t>
      </w:r>
      <w:r w:rsidRPr="00B246E8">
        <w:rPr>
          <w:sz w:val="24"/>
          <w:szCs w:val="24"/>
          <w:lang w:val="et-EE"/>
        </w:rPr>
        <w:t>5.</w:t>
      </w:r>
    </w:p>
  </w:footnote>
  <w:footnote w:id="8">
    <w:p w:rsidR="00FE0CD4" w:rsidRPr="00B246E8" w:rsidRDefault="00FE0CD4" w:rsidP="00B246E8">
      <w:pPr>
        <w:pStyle w:val="FootnoteText"/>
        <w:ind w:left="720" w:hanging="720"/>
        <w:rPr>
          <w:sz w:val="24"/>
          <w:szCs w:val="24"/>
          <w:lang w:val="et-EE"/>
        </w:rPr>
      </w:pPr>
      <w:r w:rsidRPr="00B246E8">
        <w:rPr>
          <w:rStyle w:val="FootnoteReference"/>
          <w:sz w:val="24"/>
          <w:szCs w:val="24"/>
          <w:lang w:val="et-EE"/>
        </w:rPr>
        <w:footnoteRef/>
      </w:r>
      <w:r w:rsidRPr="00B246E8">
        <w:rPr>
          <w:sz w:val="24"/>
          <w:szCs w:val="24"/>
          <w:lang w:val="et-EE"/>
        </w:rPr>
        <w:t xml:space="preserve"> </w:t>
      </w:r>
      <w:r w:rsidR="00B246E8">
        <w:rPr>
          <w:sz w:val="24"/>
          <w:szCs w:val="24"/>
          <w:lang w:val="et-EE"/>
        </w:rPr>
        <w:tab/>
        <w:t>Kohtuasi C</w:t>
      </w:r>
      <w:r w:rsidR="00B246E8">
        <w:rPr>
          <w:sz w:val="24"/>
          <w:szCs w:val="24"/>
          <w:lang w:val="et-EE"/>
        </w:rPr>
        <w:noBreakHyphen/>
      </w:r>
      <w:r w:rsidRPr="00B246E8">
        <w:rPr>
          <w:sz w:val="24"/>
          <w:szCs w:val="24"/>
          <w:lang w:val="et-EE"/>
        </w:rPr>
        <w:t xml:space="preserve">411/03, SEVIC </w:t>
      </w:r>
      <w:proofErr w:type="spellStart"/>
      <w:r w:rsidRPr="00B246E8">
        <w:rPr>
          <w:sz w:val="24"/>
          <w:szCs w:val="24"/>
          <w:lang w:val="et-EE"/>
        </w:rPr>
        <w:t>Systems</w:t>
      </w:r>
      <w:proofErr w:type="spellEnd"/>
      <w:r w:rsidRPr="00B246E8">
        <w:rPr>
          <w:sz w:val="24"/>
          <w:szCs w:val="24"/>
          <w:lang w:val="et-EE"/>
        </w:rPr>
        <w:t xml:space="preserve"> AG, 13.12.2005, ECLI:EU:C:2005:762. </w:t>
      </w:r>
    </w:p>
  </w:footnote>
  <w:footnote w:id="9">
    <w:p w:rsidR="00FE0CD4" w:rsidRPr="00B246E8" w:rsidRDefault="00FE0CD4" w:rsidP="00B246E8">
      <w:pPr>
        <w:pStyle w:val="FootnoteText"/>
        <w:ind w:left="720" w:hanging="720"/>
        <w:rPr>
          <w:sz w:val="24"/>
          <w:szCs w:val="24"/>
          <w:lang w:val="et-EE"/>
        </w:rPr>
      </w:pPr>
      <w:r w:rsidRPr="00B246E8">
        <w:rPr>
          <w:rStyle w:val="FootnoteReference"/>
          <w:sz w:val="24"/>
          <w:szCs w:val="24"/>
          <w:lang w:val="et-EE"/>
        </w:rPr>
        <w:footnoteRef/>
      </w:r>
      <w:r w:rsidRPr="00B246E8">
        <w:rPr>
          <w:sz w:val="24"/>
          <w:szCs w:val="24"/>
          <w:lang w:val="et-EE"/>
        </w:rPr>
        <w:t xml:space="preserve"> </w:t>
      </w:r>
      <w:r w:rsidR="00B246E8">
        <w:rPr>
          <w:sz w:val="24"/>
          <w:szCs w:val="24"/>
          <w:lang w:val="et-EE"/>
        </w:rPr>
        <w:tab/>
        <w:t>Kohtuasi C</w:t>
      </w:r>
      <w:r w:rsidR="00B246E8">
        <w:rPr>
          <w:sz w:val="24"/>
          <w:szCs w:val="24"/>
          <w:lang w:val="et-EE"/>
        </w:rPr>
        <w:noBreakHyphen/>
      </w:r>
      <w:r w:rsidRPr="00B246E8">
        <w:rPr>
          <w:sz w:val="24"/>
          <w:szCs w:val="24"/>
          <w:lang w:val="et-EE"/>
        </w:rPr>
        <w:t xml:space="preserve">196/04, </w:t>
      </w:r>
      <w:proofErr w:type="spellStart"/>
      <w:r w:rsidRPr="00B246E8">
        <w:rPr>
          <w:sz w:val="24"/>
          <w:szCs w:val="24"/>
          <w:lang w:val="et-EE"/>
        </w:rPr>
        <w:t>Cadbury</w:t>
      </w:r>
      <w:proofErr w:type="spellEnd"/>
      <w:r w:rsidRPr="00B246E8">
        <w:rPr>
          <w:sz w:val="24"/>
          <w:szCs w:val="24"/>
          <w:lang w:val="et-EE"/>
        </w:rPr>
        <w:t xml:space="preserve"> </w:t>
      </w:r>
      <w:proofErr w:type="spellStart"/>
      <w:r w:rsidRPr="00B246E8">
        <w:rPr>
          <w:sz w:val="24"/>
          <w:szCs w:val="24"/>
          <w:lang w:val="et-EE"/>
        </w:rPr>
        <w:t>Schweppes</w:t>
      </w:r>
      <w:proofErr w:type="spellEnd"/>
      <w:r w:rsidRPr="00B246E8">
        <w:rPr>
          <w:sz w:val="24"/>
          <w:szCs w:val="24"/>
          <w:lang w:val="et-EE"/>
        </w:rPr>
        <w:t xml:space="preserve"> </w:t>
      </w:r>
      <w:proofErr w:type="spellStart"/>
      <w:r w:rsidRPr="00B246E8">
        <w:rPr>
          <w:sz w:val="24"/>
          <w:szCs w:val="24"/>
          <w:lang w:val="et-EE"/>
        </w:rPr>
        <w:t>plc</w:t>
      </w:r>
      <w:proofErr w:type="spellEnd"/>
      <w:r w:rsidRPr="00B246E8">
        <w:rPr>
          <w:sz w:val="24"/>
          <w:szCs w:val="24"/>
          <w:lang w:val="et-EE"/>
        </w:rPr>
        <w:t xml:space="preserve"> ja </w:t>
      </w:r>
      <w:proofErr w:type="spellStart"/>
      <w:r w:rsidRPr="00B246E8">
        <w:rPr>
          <w:sz w:val="24"/>
          <w:szCs w:val="24"/>
          <w:lang w:val="et-EE"/>
        </w:rPr>
        <w:t>Cadbury</w:t>
      </w:r>
      <w:proofErr w:type="spellEnd"/>
      <w:r w:rsidRPr="00B246E8">
        <w:rPr>
          <w:sz w:val="24"/>
          <w:szCs w:val="24"/>
          <w:lang w:val="et-EE"/>
        </w:rPr>
        <w:t xml:space="preserve"> </w:t>
      </w:r>
      <w:proofErr w:type="spellStart"/>
      <w:r w:rsidRPr="00B246E8">
        <w:rPr>
          <w:sz w:val="24"/>
          <w:szCs w:val="24"/>
          <w:lang w:val="et-EE"/>
        </w:rPr>
        <w:t>Schweppes</w:t>
      </w:r>
      <w:proofErr w:type="spellEnd"/>
      <w:r w:rsidRPr="00B246E8">
        <w:rPr>
          <w:sz w:val="24"/>
          <w:szCs w:val="24"/>
          <w:lang w:val="et-EE"/>
        </w:rPr>
        <w:t xml:space="preserve"> </w:t>
      </w:r>
      <w:proofErr w:type="spellStart"/>
      <w:r w:rsidRPr="00B246E8">
        <w:rPr>
          <w:sz w:val="24"/>
          <w:szCs w:val="24"/>
          <w:lang w:val="et-EE"/>
        </w:rPr>
        <w:t>Overseas</w:t>
      </w:r>
      <w:proofErr w:type="spellEnd"/>
      <w:r w:rsidRPr="00B246E8">
        <w:rPr>
          <w:sz w:val="24"/>
          <w:szCs w:val="24"/>
          <w:lang w:val="et-EE"/>
        </w:rPr>
        <w:t xml:space="preserve"> </w:t>
      </w:r>
      <w:proofErr w:type="spellStart"/>
      <w:r w:rsidRPr="00B246E8">
        <w:rPr>
          <w:sz w:val="24"/>
          <w:szCs w:val="24"/>
          <w:lang w:val="et-EE"/>
        </w:rPr>
        <w:t>Ltd</w:t>
      </w:r>
      <w:proofErr w:type="spellEnd"/>
      <w:r w:rsidRPr="00B246E8">
        <w:rPr>
          <w:sz w:val="24"/>
          <w:szCs w:val="24"/>
          <w:lang w:val="et-EE"/>
        </w:rPr>
        <w:t xml:space="preserve"> </w:t>
      </w:r>
      <w:r w:rsidRPr="00B246E8">
        <w:rPr>
          <w:i/>
          <w:sz w:val="24"/>
          <w:szCs w:val="24"/>
          <w:lang w:val="et-EE"/>
        </w:rPr>
        <w:t>vs.</w:t>
      </w:r>
      <w:r w:rsidRPr="00B246E8">
        <w:rPr>
          <w:sz w:val="24"/>
          <w:szCs w:val="24"/>
          <w:lang w:val="et-EE"/>
        </w:rPr>
        <w:t xml:space="preserve"> </w:t>
      </w:r>
      <w:proofErr w:type="spellStart"/>
      <w:r w:rsidRPr="00B246E8">
        <w:rPr>
          <w:sz w:val="24"/>
          <w:szCs w:val="24"/>
          <w:lang w:val="et-EE"/>
        </w:rPr>
        <w:t>Commissioners</w:t>
      </w:r>
      <w:proofErr w:type="spellEnd"/>
      <w:r w:rsidRPr="00B246E8">
        <w:rPr>
          <w:sz w:val="24"/>
          <w:szCs w:val="24"/>
          <w:lang w:val="et-EE"/>
        </w:rPr>
        <w:t xml:space="preserve"> of </w:t>
      </w:r>
      <w:proofErr w:type="spellStart"/>
      <w:r w:rsidRPr="00B246E8">
        <w:rPr>
          <w:sz w:val="24"/>
          <w:szCs w:val="24"/>
          <w:lang w:val="et-EE"/>
        </w:rPr>
        <w:t>Inland</w:t>
      </w:r>
      <w:proofErr w:type="spellEnd"/>
      <w:r w:rsidRPr="00B246E8">
        <w:rPr>
          <w:sz w:val="24"/>
          <w:szCs w:val="24"/>
          <w:lang w:val="et-EE"/>
        </w:rPr>
        <w:t xml:space="preserve"> </w:t>
      </w:r>
      <w:proofErr w:type="spellStart"/>
      <w:r w:rsidRPr="00B246E8">
        <w:rPr>
          <w:sz w:val="24"/>
          <w:szCs w:val="24"/>
          <w:lang w:val="et-EE"/>
        </w:rPr>
        <w:t>Revenue</w:t>
      </w:r>
      <w:proofErr w:type="spellEnd"/>
      <w:r w:rsidRPr="00B246E8">
        <w:rPr>
          <w:sz w:val="24"/>
          <w:szCs w:val="24"/>
          <w:lang w:val="et-EE"/>
        </w:rPr>
        <w:t xml:space="preserve">, 12.9.2006, ECLI:EU:C:2006:544. </w:t>
      </w:r>
    </w:p>
  </w:footnote>
  <w:footnote w:id="10">
    <w:p w:rsidR="00FE0CD4" w:rsidRPr="00B246E8" w:rsidRDefault="00FE0CD4" w:rsidP="00B246E8">
      <w:pPr>
        <w:pStyle w:val="FootnoteText"/>
        <w:ind w:left="720" w:hanging="720"/>
        <w:rPr>
          <w:sz w:val="24"/>
          <w:szCs w:val="24"/>
          <w:lang w:val="et-EE"/>
        </w:rPr>
      </w:pPr>
      <w:r w:rsidRPr="00B246E8">
        <w:rPr>
          <w:rStyle w:val="FootnoteReference"/>
          <w:sz w:val="24"/>
          <w:szCs w:val="24"/>
          <w:lang w:val="et-EE"/>
        </w:rPr>
        <w:footnoteRef/>
      </w:r>
      <w:r w:rsidRPr="00B246E8">
        <w:rPr>
          <w:sz w:val="24"/>
          <w:szCs w:val="24"/>
          <w:lang w:val="et-EE"/>
        </w:rPr>
        <w:t xml:space="preserve"> </w:t>
      </w:r>
      <w:r w:rsidR="00B246E8">
        <w:rPr>
          <w:sz w:val="24"/>
          <w:szCs w:val="24"/>
          <w:lang w:val="et-EE"/>
        </w:rPr>
        <w:tab/>
        <w:t>Kohtuasi C</w:t>
      </w:r>
      <w:r w:rsidR="00B246E8">
        <w:rPr>
          <w:sz w:val="24"/>
          <w:szCs w:val="24"/>
          <w:lang w:val="et-EE"/>
        </w:rPr>
        <w:noBreakHyphen/>
      </w:r>
      <w:r w:rsidRPr="00B246E8">
        <w:rPr>
          <w:sz w:val="24"/>
          <w:szCs w:val="24"/>
          <w:lang w:val="et-EE"/>
        </w:rPr>
        <w:t xml:space="preserve">210/06, CARTESIO </w:t>
      </w:r>
      <w:proofErr w:type="spellStart"/>
      <w:r w:rsidRPr="00B246E8">
        <w:rPr>
          <w:sz w:val="24"/>
          <w:szCs w:val="24"/>
          <w:lang w:val="et-EE"/>
        </w:rPr>
        <w:t>Oktató</w:t>
      </w:r>
      <w:proofErr w:type="spellEnd"/>
      <w:r w:rsidRPr="00B246E8">
        <w:rPr>
          <w:sz w:val="24"/>
          <w:szCs w:val="24"/>
          <w:lang w:val="et-EE"/>
        </w:rPr>
        <w:t xml:space="preserve"> </w:t>
      </w:r>
      <w:proofErr w:type="spellStart"/>
      <w:r w:rsidRPr="00B246E8">
        <w:rPr>
          <w:sz w:val="24"/>
          <w:szCs w:val="24"/>
          <w:lang w:val="et-EE"/>
        </w:rPr>
        <w:t>és</w:t>
      </w:r>
      <w:proofErr w:type="spellEnd"/>
      <w:r w:rsidRPr="00B246E8">
        <w:rPr>
          <w:sz w:val="24"/>
          <w:szCs w:val="24"/>
          <w:lang w:val="et-EE"/>
        </w:rPr>
        <w:t xml:space="preserve"> </w:t>
      </w:r>
      <w:proofErr w:type="spellStart"/>
      <w:r w:rsidRPr="00B246E8">
        <w:rPr>
          <w:sz w:val="24"/>
          <w:szCs w:val="24"/>
          <w:lang w:val="et-EE"/>
        </w:rPr>
        <w:t>Szolgáltató</w:t>
      </w:r>
      <w:proofErr w:type="spellEnd"/>
      <w:r w:rsidRPr="00B246E8">
        <w:rPr>
          <w:sz w:val="24"/>
          <w:szCs w:val="24"/>
          <w:lang w:val="et-EE"/>
        </w:rPr>
        <w:t xml:space="preserve"> </w:t>
      </w:r>
      <w:proofErr w:type="spellStart"/>
      <w:r w:rsidRPr="00B246E8">
        <w:rPr>
          <w:sz w:val="24"/>
          <w:szCs w:val="24"/>
          <w:lang w:val="et-EE"/>
        </w:rPr>
        <w:t>bt</w:t>
      </w:r>
      <w:proofErr w:type="spellEnd"/>
      <w:r w:rsidRPr="00B246E8">
        <w:rPr>
          <w:sz w:val="24"/>
          <w:szCs w:val="24"/>
          <w:lang w:val="et-EE"/>
        </w:rPr>
        <w:t xml:space="preserve">., 16.12.2008, ECLI:EU:C:2008:723. </w:t>
      </w:r>
    </w:p>
  </w:footnote>
  <w:footnote w:id="11">
    <w:p w:rsidR="00FE0CD4" w:rsidRPr="00B246E8" w:rsidRDefault="00FE0CD4" w:rsidP="00B246E8">
      <w:pPr>
        <w:pStyle w:val="FootnoteText"/>
        <w:ind w:left="720" w:hanging="720"/>
        <w:rPr>
          <w:sz w:val="24"/>
          <w:szCs w:val="24"/>
          <w:lang w:val="et-EE"/>
        </w:rPr>
      </w:pPr>
      <w:r w:rsidRPr="00B246E8">
        <w:rPr>
          <w:rStyle w:val="FootnoteReference"/>
          <w:sz w:val="24"/>
          <w:szCs w:val="24"/>
          <w:lang w:val="et-EE"/>
        </w:rPr>
        <w:footnoteRef/>
      </w:r>
      <w:r w:rsidRPr="00B246E8">
        <w:rPr>
          <w:sz w:val="24"/>
          <w:szCs w:val="24"/>
          <w:lang w:val="et-EE"/>
        </w:rPr>
        <w:t xml:space="preserve"> </w:t>
      </w:r>
      <w:r w:rsidR="00B246E8">
        <w:rPr>
          <w:sz w:val="24"/>
          <w:szCs w:val="24"/>
          <w:lang w:val="et-EE"/>
        </w:rPr>
        <w:tab/>
        <w:t>Kohtuasi C</w:t>
      </w:r>
      <w:r w:rsidR="00B246E8">
        <w:rPr>
          <w:sz w:val="24"/>
          <w:szCs w:val="24"/>
          <w:lang w:val="et-EE"/>
        </w:rPr>
        <w:noBreakHyphen/>
      </w:r>
      <w:r w:rsidRPr="00B246E8">
        <w:rPr>
          <w:sz w:val="24"/>
          <w:szCs w:val="24"/>
          <w:lang w:val="et-EE"/>
        </w:rPr>
        <w:t xml:space="preserve">378/10, VALE </w:t>
      </w:r>
      <w:proofErr w:type="spellStart"/>
      <w:r w:rsidRPr="00B246E8">
        <w:rPr>
          <w:sz w:val="24"/>
          <w:szCs w:val="24"/>
          <w:lang w:val="et-EE"/>
        </w:rPr>
        <w:t>Építési</w:t>
      </w:r>
      <w:proofErr w:type="spellEnd"/>
      <w:r w:rsidRPr="00B246E8">
        <w:rPr>
          <w:sz w:val="24"/>
          <w:szCs w:val="24"/>
          <w:lang w:val="et-EE"/>
        </w:rPr>
        <w:t xml:space="preserve"> </w:t>
      </w:r>
      <w:proofErr w:type="spellStart"/>
      <w:r w:rsidRPr="00B246E8">
        <w:rPr>
          <w:sz w:val="24"/>
          <w:szCs w:val="24"/>
          <w:lang w:val="et-EE"/>
        </w:rPr>
        <w:t>kft</w:t>
      </w:r>
      <w:proofErr w:type="spellEnd"/>
      <w:r w:rsidRPr="00B246E8">
        <w:rPr>
          <w:sz w:val="24"/>
          <w:szCs w:val="24"/>
          <w:lang w:val="et-EE"/>
        </w:rPr>
        <w:t>., 12.7.2012, ECLI:EU:C:2012:440.</w:t>
      </w:r>
    </w:p>
  </w:footnote>
  <w:footnote w:id="12">
    <w:p w:rsidR="00FE0CD4" w:rsidRPr="00B246E8" w:rsidRDefault="00FE0CD4" w:rsidP="00B246E8">
      <w:pPr>
        <w:pStyle w:val="FootnoteText"/>
        <w:ind w:left="720" w:hanging="720"/>
        <w:rPr>
          <w:sz w:val="24"/>
          <w:szCs w:val="24"/>
          <w:lang w:val="et-EE"/>
        </w:rPr>
      </w:pPr>
      <w:r w:rsidRPr="00B246E8">
        <w:rPr>
          <w:rStyle w:val="FootnoteReference"/>
          <w:sz w:val="24"/>
          <w:szCs w:val="24"/>
          <w:lang w:val="et-EE"/>
        </w:rPr>
        <w:footnoteRef/>
      </w:r>
      <w:r w:rsidRPr="00B246E8">
        <w:rPr>
          <w:sz w:val="24"/>
          <w:szCs w:val="24"/>
          <w:lang w:val="et-EE"/>
        </w:rPr>
        <w:t xml:space="preserve"> </w:t>
      </w:r>
      <w:r w:rsidR="00B246E8">
        <w:rPr>
          <w:sz w:val="24"/>
          <w:szCs w:val="24"/>
          <w:lang w:val="et-EE"/>
        </w:rPr>
        <w:tab/>
        <w:t>Kohtuasi C</w:t>
      </w:r>
      <w:r w:rsidR="00B246E8">
        <w:rPr>
          <w:sz w:val="24"/>
          <w:szCs w:val="24"/>
          <w:lang w:val="et-EE"/>
        </w:rPr>
        <w:noBreakHyphen/>
      </w:r>
      <w:r w:rsidRPr="00B246E8">
        <w:rPr>
          <w:sz w:val="24"/>
          <w:szCs w:val="24"/>
          <w:lang w:val="et-EE"/>
        </w:rPr>
        <w:t xml:space="preserve">483/14, KA </w:t>
      </w:r>
      <w:proofErr w:type="spellStart"/>
      <w:r w:rsidRPr="00B246E8">
        <w:rPr>
          <w:sz w:val="24"/>
          <w:szCs w:val="24"/>
          <w:lang w:val="et-EE"/>
        </w:rPr>
        <w:t>Finanz</w:t>
      </w:r>
      <w:proofErr w:type="spellEnd"/>
      <w:r w:rsidRPr="00B246E8">
        <w:rPr>
          <w:sz w:val="24"/>
          <w:szCs w:val="24"/>
          <w:lang w:val="et-EE"/>
        </w:rPr>
        <w:t xml:space="preserve"> AG </w:t>
      </w:r>
      <w:r w:rsidRPr="00B246E8">
        <w:rPr>
          <w:i/>
          <w:sz w:val="24"/>
          <w:szCs w:val="24"/>
          <w:lang w:val="et-EE"/>
        </w:rPr>
        <w:t>vs.</w:t>
      </w:r>
      <w:r w:rsidRPr="00B246E8">
        <w:rPr>
          <w:sz w:val="24"/>
          <w:szCs w:val="24"/>
          <w:lang w:val="et-EE"/>
        </w:rPr>
        <w:t xml:space="preserve"> </w:t>
      </w:r>
      <w:proofErr w:type="spellStart"/>
      <w:r w:rsidRPr="00B246E8">
        <w:rPr>
          <w:sz w:val="24"/>
          <w:szCs w:val="24"/>
          <w:lang w:val="et-EE"/>
        </w:rPr>
        <w:t>Sparkassen</w:t>
      </w:r>
      <w:proofErr w:type="spellEnd"/>
      <w:r w:rsidRPr="00B246E8">
        <w:rPr>
          <w:sz w:val="24"/>
          <w:szCs w:val="24"/>
          <w:lang w:val="et-EE"/>
        </w:rPr>
        <w:t xml:space="preserve"> </w:t>
      </w:r>
      <w:proofErr w:type="spellStart"/>
      <w:r w:rsidRPr="00B246E8">
        <w:rPr>
          <w:sz w:val="24"/>
          <w:szCs w:val="24"/>
          <w:lang w:val="et-EE"/>
        </w:rPr>
        <w:t>Versicherung</w:t>
      </w:r>
      <w:proofErr w:type="spellEnd"/>
      <w:r w:rsidRPr="00B246E8">
        <w:rPr>
          <w:sz w:val="24"/>
          <w:szCs w:val="24"/>
          <w:lang w:val="et-EE"/>
        </w:rPr>
        <w:t xml:space="preserve"> AG </w:t>
      </w:r>
      <w:proofErr w:type="spellStart"/>
      <w:r w:rsidRPr="00B246E8">
        <w:rPr>
          <w:sz w:val="24"/>
          <w:szCs w:val="24"/>
          <w:lang w:val="et-EE"/>
        </w:rPr>
        <w:t>Vienna</w:t>
      </w:r>
      <w:proofErr w:type="spellEnd"/>
      <w:r w:rsidRPr="00B246E8">
        <w:rPr>
          <w:sz w:val="24"/>
          <w:szCs w:val="24"/>
          <w:lang w:val="et-EE"/>
        </w:rPr>
        <w:t xml:space="preserve"> </w:t>
      </w:r>
      <w:proofErr w:type="spellStart"/>
      <w:r w:rsidRPr="00B246E8">
        <w:rPr>
          <w:sz w:val="24"/>
          <w:szCs w:val="24"/>
          <w:lang w:val="et-EE"/>
        </w:rPr>
        <w:t>Insurance</w:t>
      </w:r>
      <w:proofErr w:type="spellEnd"/>
      <w:r w:rsidRPr="00B246E8">
        <w:rPr>
          <w:sz w:val="24"/>
          <w:szCs w:val="24"/>
          <w:lang w:val="et-EE"/>
        </w:rPr>
        <w:t xml:space="preserve"> </w:t>
      </w:r>
      <w:proofErr w:type="spellStart"/>
      <w:r w:rsidRPr="00B246E8">
        <w:rPr>
          <w:sz w:val="24"/>
          <w:szCs w:val="24"/>
          <w:lang w:val="et-EE"/>
        </w:rPr>
        <w:t>Group</w:t>
      </w:r>
      <w:proofErr w:type="spellEnd"/>
      <w:r w:rsidRPr="00B246E8">
        <w:rPr>
          <w:sz w:val="24"/>
          <w:szCs w:val="24"/>
          <w:lang w:val="et-EE"/>
        </w:rPr>
        <w:t>, 7.4.2016, ECLI:EU:C:2016:205.</w:t>
      </w:r>
    </w:p>
  </w:footnote>
  <w:footnote w:id="13">
    <w:p w:rsidR="00FE0CD4" w:rsidRPr="00B246E8" w:rsidRDefault="00FE0CD4" w:rsidP="00B246E8">
      <w:pPr>
        <w:pStyle w:val="FootnoteText"/>
        <w:ind w:left="720" w:hanging="720"/>
        <w:rPr>
          <w:sz w:val="24"/>
          <w:szCs w:val="24"/>
          <w:lang w:val="et-EE"/>
        </w:rPr>
      </w:pPr>
      <w:r w:rsidRPr="00B246E8">
        <w:rPr>
          <w:rStyle w:val="FootnoteReference"/>
          <w:sz w:val="24"/>
          <w:szCs w:val="24"/>
          <w:lang w:val="et-EE"/>
        </w:rPr>
        <w:footnoteRef/>
      </w:r>
      <w:r w:rsidRPr="00B246E8">
        <w:rPr>
          <w:sz w:val="24"/>
          <w:szCs w:val="24"/>
          <w:lang w:val="et-EE"/>
        </w:rPr>
        <w:t xml:space="preserve"> </w:t>
      </w:r>
      <w:r w:rsidR="00B246E8">
        <w:rPr>
          <w:sz w:val="24"/>
          <w:szCs w:val="24"/>
          <w:lang w:val="et-EE"/>
        </w:rPr>
        <w:tab/>
        <w:t>Kohtuasi C</w:t>
      </w:r>
      <w:r w:rsidR="00B246E8">
        <w:rPr>
          <w:sz w:val="24"/>
          <w:szCs w:val="24"/>
          <w:lang w:val="et-EE"/>
        </w:rPr>
        <w:noBreakHyphen/>
      </w:r>
      <w:r w:rsidRPr="00B246E8">
        <w:rPr>
          <w:sz w:val="24"/>
          <w:szCs w:val="24"/>
          <w:lang w:val="et-EE"/>
        </w:rPr>
        <w:t xml:space="preserve">167/01, </w:t>
      </w:r>
      <w:proofErr w:type="spellStart"/>
      <w:r w:rsidRPr="00B246E8">
        <w:rPr>
          <w:sz w:val="24"/>
          <w:szCs w:val="24"/>
          <w:lang w:val="et-EE"/>
        </w:rPr>
        <w:t>Kamer</w:t>
      </w:r>
      <w:proofErr w:type="spellEnd"/>
      <w:r w:rsidRPr="00B246E8">
        <w:rPr>
          <w:sz w:val="24"/>
          <w:szCs w:val="24"/>
          <w:lang w:val="et-EE"/>
        </w:rPr>
        <w:t xml:space="preserve"> van </w:t>
      </w:r>
      <w:proofErr w:type="spellStart"/>
      <w:r w:rsidRPr="00B246E8">
        <w:rPr>
          <w:sz w:val="24"/>
          <w:szCs w:val="24"/>
          <w:lang w:val="et-EE"/>
        </w:rPr>
        <w:t>Koophandel</w:t>
      </w:r>
      <w:proofErr w:type="spellEnd"/>
      <w:r w:rsidRPr="00B246E8">
        <w:rPr>
          <w:sz w:val="24"/>
          <w:szCs w:val="24"/>
          <w:lang w:val="et-EE"/>
        </w:rPr>
        <w:t xml:space="preserve"> </w:t>
      </w:r>
      <w:proofErr w:type="spellStart"/>
      <w:r w:rsidRPr="00B246E8">
        <w:rPr>
          <w:sz w:val="24"/>
          <w:szCs w:val="24"/>
          <w:lang w:val="et-EE"/>
        </w:rPr>
        <w:t>en</w:t>
      </w:r>
      <w:proofErr w:type="spellEnd"/>
      <w:r w:rsidRPr="00B246E8">
        <w:rPr>
          <w:sz w:val="24"/>
          <w:szCs w:val="24"/>
          <w:lang w:val="et-EE"/>
        </w:rPr>
        <w:t xml:space="preserve"> </w:t>
      </w:r>
      <w:proofErr w:type="spellStart"/>
      <w:r w:rsidRPr="00B246E8">
        <w:rPr>
          <w:sz w:val="24"/>
          <w:szCs w:val="24"/>
          <w:lang w:val="et-EE"/>
        </w:rPr>
        <w:t>Fabrieken</w:t>
      </w:r>
      <w:proofErr w:type="spellEnd"/>
      <w:r w:rsidRPr="00B246E8">
        <w:rPr>
          <w:sz w:val="24"/>
          <w:szCs w:val="24"/>
          <w:lang w:val="et-EE"/>
        </w:rPr>
        <w:t xml:space="preserve"> voor Amsterdam </w:t>
      </w:r>
      <w:r w:rsidRPr="00B246E8">
        <w:rPr>
          <w:i/>
          <w:sz w:val="24"/>
          <w:szCs w:val="24"/>
          <w:lang w:val="et-EE"/>
        </w:rPr>
        <w:t>vs.</w:t>
      </w:r>
      <w:r w:rsidRPr="00B246E8">
        <w:rPr>
          <w:sz w:val="24"/>
          <w:szCs w:val="24"/>
          <w:lang w:val="et-EE"/>
        </w:rPr>
        <w:t xml:space="preserve"> Inspire Art </w:t>
      </w:r>
      <w:proofErr w:type="spellStart"/>
      <w:r w:rsidRPr="00B246E8">
        <w:rPr>
          <w:sz w:val="24"/>
          <w:szCs w:val="24"/>
          <w:lang w:val="et-EE"/>
        </w:rPr>
        <w:t>Ltd</w:t>
      </w:r>
      <w:proofErr w:type="spellEnd"/>
      <w:r w:rsidRPr="00B246E8">
        <w:rPr>
          <w:sz w:val="24"/>
          <w:szCs w:val="24"/>
          <w:lang w:val="et-EE"/>
        </w:rPr>
        <w:t>., 30.9.2003, ECLI:EU:C:2003:512.</w:t>
      </w:r>
    </w:p>
  </w:footnote>
  <w:footnote w:id="14">
    <w:p w:rsidR="00FE0CD4" w:rsidRPr="00B246E8" w:rsidRDefault="00FE0CD4" w:rsidP="00B246E8">
      <w:pPr>
        <w:pStyle w:val="FootnoteText"/>
        <w:ind w:left="720" w:hanging="720"/>
        <w:rPr>
          <w:sz w:val="24"/>
          <w:szCs w:val="24"/>
          <w:lang w:val="et-EE"/>
        </w:rPr>
      </w:pPr>
      <w:r w:rsidRPr="00B246E8">
        <w:rPr>
          <w:rStyle w:val="FootnoteReference"/>
          <w:sz w:val="24"/>
          <w:szCs w:val="24"/>
          <w:lang w:val="et-EE"/>
        </w:rPr>
        <w:footnoteRef/>
      </w:r>
      <w:r w:rsidRPr="00B246E8">
        <w:rPr>
          <w:sz w:val="24"/>
          <w:szCs w:val="24"/>
          <w:lang w:val="et-EE"/>
        </w:rPr>
        <w:t xml:space="preserve"> </w:t>
      </w:r>
      <w:r w:rsidR="00B246E8">
        <w:rPr>
          <w:sz w:val="24"/>
          <w:szCs w:val="24"/>
          <w:lang w:val="et-EE"/>
        </w:rPr>
        <w:tab/>
        <w:t>Kohtuasi C</w:t>
      </w:r>
      <w:r w:rsidR="00B246E8">
        <w:rPr>
          <w:sz w:val="24"/>
          <w:szCs w:val="24"/>
          <w:lang w:val="et-EE"/>
        </w:rPr>
        <w:noBreakHyphen/>
      </w:r>
      <w:r w:rsidRPr="00B246E8">
        <w:rPr>
          <w:sz w:val="24"/>
          <w:szCs w:val="24"/>
          <w:lang w:val="et-EE"/>
        </w:rPr>
        <w:t xml:space="preserve">208/00, </w:t>
      </w:r>
      <w:proofErr w:type="spellStart"/>
      <w:r w:rsidRPr="00B246E8">
        <w:rPr>
          <w:sz w:val="24"/>
          <w:szCs w:val="24"/>
          <w:lang w:val="et-EE"/>
        </w:rPr>
        <w:t>Überseering</w:t>
      </w:r>
      <w:proofErr w:type="spellEnd"/>
      <w:r w:rsidRPr="00B246E8">
        <w:rPr>
          <w:sz w:val="24"/>
          <w:szCs w:val="24"/>
          <w:lang w:val="et-EE"/>
        </w:rPr>
        <w:t xml:space="preserve"> BV </w:t>
      </w:r>
      <w:r w:rsidRPr="00B246E8">
        <w:rPr>
          <w:i/>
          <w:sz w:val="24"/>
          <w:szCs w:val="24"/>
          <w:lang w:val="et-EE"/>
        </w:rPr>
        <w:t>vs.</w:t>
      </w:r>
      <w:r w:rsidRPr="00B246E8">
        <w:rPr>
          <w:sz w:val="24"/>
          <w:szCs w:val="24"/>
          <w:lang w:val="et-EE"/>
        </w:rPr>
        <w:t xml:space="preserve"> </w:t>
      </w:r>
      <w:proofErr w:type="spellStart"/>
      <w:r w:rsidRPr="00B246E8">
        <w:rPr>
          <w:sz w:val="24"/>
          <w:szCs w:val="24"/>
          <w:lang w:val="et-EE"/>
        </w:rPr>
        <w:t>Nordic</w:t>
      </w:r>
      <w:proofErr w:type="spellEnd"/>
      <w:r w:rsidRPr="00B246E8">
        <w:rPr>
          <w:sz w:val="24"/>
          <w:szCs w:val="24"/>
          <w:lang w:val="et-EE"/>
        </w:rPr>
        <w:t xml:space="preserve"> </w:t>
      </w:r>
      <w:proofErr w:type="spellStart"/>
      <w:r w:rsidRPr="00B246E8">
        <w:rPr>
          <w:sz w:val="24"/>
          <w:szCs w:val="24"/>
          <w:lang w:val="et-EE"/>
        </w:rPr>
        <w:t>Construction</w:t>
      </w:r>
      <w:proofErr w:type="spellEnd"/>
      <w:r w:rsidRPr="00B246E8">
        <w:rPr>
          <w:sz w:val="24"/>
          <w:szCs w:val="24"/>
          <w:lang w:val="et-EE"/>
        </w:rPr>
        <w:t xml:space="preserve"> </w:t>
      </w:r>
      <w:proofErr w:type="spellStart"/>
      <w:r w:rsidRPr="00B246E8">
        <w:rPr>
          <w:sz w:val="24"/>
          <w:szCs w:val="24"/>
          <w:lang w:val="et-EE"/>
        </w:rPr>
        <w:t>Company</w:t>
      </w:r>
      <w:proofErr w:type="spellEnd"/>
      <w:r w:rsidRPr="00B246E8">
        <w:rPr>
          <w:sz w:val="24"/>
          <w:szCs w:val="24"/>
          <w:lang w:val="et-EE"/>
        </w:rPr>
        <w:t xml:space="preserve"> </w:t>
      </w:r>
      <w:proofErr w:type="spellStart"/>
      <w:r w:rsidRPr="00B246E8">
        <w:rPr>
          <w:sz w:val="24"/>
          <w:szCs w:val="24"/>
          <w:lang w:val="et-EE"/>
        </w:rPr>
        <w:t>Baumanagement</w:t>
      </w:r>
      <w:proofErr w:type="spellEnd"/>
      <w:r w:rsidRPr="00B246E8">
        <w:rPr>
          <w:sz w:val="24"/>
          <w:szCs w:val="24"/>
          <w:lang w:val="et-EE"/>
        </w:rPr>
        <w:t xml:space="preserve"> </w:t>
      </w:r>
      <w:proofErr w:type="spellStart"/>
      <w:r w:rsidRPr="00B246E8">
        <w:rPr>
          <w:sz w:val="24"/>
          <w:szCs w:val="24"/>
          <w:lang w:val="et-EE"/>
        </w:rPr>
        <w:t>GmbH</w:t>
      </w:r>
      <w:proofErr w:type="spellEnd"/>
      <w:r w:rsidRPr="00B246E8">
        <w:rPr>
          <w:sz w:val="24"/>
          <w:szCs w:val="24"/>
          <w:lang w:val="et-EE"/>
        </w:rPr>
        <w:t xml:space="preserve"> (NCC), 5.11.2002, ECLI:EU:C:2002:632. </w:t>
      </w:r>
    </w:p>
  </w:footnote>
  <w:footnote w:id="15">
    <w:p w:rsidR="00FE0CD4" w:rsidRPr="00B246E8" w:rsidRDefault="00FE0CD4" w:rsidP="00B246E8">
      <w:pPr>
        <w:pStyle w:val="FootnoteText"/>
        <w:ind w:left="720" w:hanging="720"/>
        <w:rPr>
          <w:sz w:val="24"/>
          <w:szCs w:val="24"/>
          <w:lang w:val="et-EE"/>
        </w:rPr>
      </w:pPr>
      <w:r w:rsidRPr="00B246E8">
        <w:rPr>
          <w:rStyle w:val="FootnoteReference"/>
          <w:sz w:val="24"/>
          <w:szCs w:val="24"/>
          <w:lang w:val="et-EE"/>
        </w:rPr>
        <w:footnoteRef/>
      </w:r>
      <w:r w:rsidRPr="00B246E8">
        <w:rPr>
          <w:sz w:val="24"/>
          <w:szCs w:val="24"/>
          <w:lang w:val="et-EE"/>
        </w:rPr>
        <w:t xml:space="preserve"> </w:t>
      </w:r>
      <w:r w:rsidR="00B246E8">
        <w:rPr>
          <w:sz w:val="24"/>
          <w:szCs w:val="24"/>
          <w:lang w:val="et-EE"/>
        </w:rPr>
        <w:tab/>
        <w:t>Kohtuasi C</w:t>
      </w:r>
      <w:r w:rsidR="00B246E8">
        <w:rPr>
          <w:sz w:val="24"/>
          <w:szCs w:val="24"/>
          <w:lang w:val="et-EE"/>
        </w:rPr>
        <w:noBreakHyphen/>
      </w:r>
      <w:r w:rsidRPr="00B246E8">
        <w:rPr>
          <w:sz w:val="24"/>
          <w:szCs w:val="24"/>
          <w:lang w:val="et-EE"/>
        </w:rPr>
        <w:t xml:space="preserve">212/97, </w:t>
      </w:r>
      <w:proofErr w:type="spellStart"/>
      <w:r w:rsidRPr="00B246E8">
        <w:rPr>
          <w:sz w:val="24"/>
          <w:szCs w:val="24"/>
          <w:lang w:val="et-EE"/>
        </w:rPr>
        <w:t>Centros</w:t>
      </w:r>
      <w:proofErr w:type="spellEnd"/>
      <w:r w:rsidRPr="00B246E8">
        <w:rPr>
          <w:sz w:val="24"/>
          <w:szCs w:val="24"/>
          <w:lang w:val="et-EE"/>
        </w:rPr>
        <w:t xml:space="preserve"> </w:t>
      </w:r>
      <w:proofErr w:type="spellStart"/>
      <w:r w:rsidRPr="00B246E8">
        <w:rPr>
          <w:sz w:val="24"/>
          <w:szCs w:val="24"/>
          <w:lang w:val="et-EE"/>
        </w:rPr>
        <w:t>Ltd</w:t>
      </w:r>
      <w:proofErr w:type="spellEnd"/>
      <w:r w:rsidRPr="00B246E8">
        <w:rPr>
          <w:sz w:val="24"/>
          <w:szCs w:val="24"/>
          <w:lang w:val="et-EE"/>
        </w:rPr>
        <w:t xml:space="preserve"> </w:t>
      </w:r>
      <w:r w:rsidRPr="00B246E8">
        <w:rPr>
          <w:i/>
          <w:sz w:val="24"/>
          <w:szCs w:val="24"/>
          <w:lang w:val="et-EE"/>
        </w:rPr>
        <w:t>vs.</w:t>
      </w:r>
      <w:r w:rsidRPr="00B246E8">
        <w:rPr>
          <w:sz w:val="24"/>
          <w:szCs w:val="24"/>
          <w:lang w:val="et-EE"/>
        </w:rPr>
        <w:t xml:space="preserve"> </w:t>
      </w:r>
      <w:proofErr w:type="spellStart"/>
      <w:r w:rsidRPr="00B246E8">
        <w:rPr>
          <w:sz w:val="24"/>
          <w:szCs w:val="24"/>
          <w:lang w:val="et-EE"/>
        </w:rPr>
        <w:t>Erhvervs</w:t>
      </w:r>
      <w:proofErr w:type="spellEnd"/>
      <w:r w:rsidRPr="00B246E8">
        <w:rPr>
          <w:sz w:val="24"/>
          <w:szCs w:val="24"/>
          <w:lang w:val="et-EE"/>
        </w:rPr>
        <w:t xml:space="preserve">- </w:t>
      </w:r>
      <w:proofErr w:type="spellStart"/>
      <w:r w:rsidRPr="00B246E8">
        <w:rPr>
          <w:sz w:val="24"/>
          <w:szCs w:val="24"/>
          <w:lang w:val="et-EE"/>
        </w:rPr>
        <w:t>og</w:t>
      </w:r>
      <w:proofErr w:type="spellEnd"/>
      <w:r w:rsidRPr="00B246E8">
        <w:rPr>
          <w:sz w:val="24"/>
          <w:szCs w:val="24"/>
          <w:lang w:val="et-EE"/>
        </w:rPr>
        <w:t xml:space="preserve"> </w:t>
      </w:r>
      <w:proofErr w:type="spellStart"/>
      <w:r w:rsidRPr="00B246E8">
        <w:rPr>
          <w:sz w:val="24"/>
          <w:szCs w:val="24"/>
          <w:lang w:val="et-EE"/>
        </w:rPr>
        <w:t>Selskabsstyrelsen</w:t>
      </w:r>
      <w:proofErr w:type="spellEnd"/>
      <w:r w:rsidRPr="00B246E8">
        <w:rPr>
          <w:sz w:val="24"/>
          <w:szCs w:val="24"/>
          <w:lang w:val="et-EE"/>
        </w:rPr>
        <w:t xml:space="preserve">, 9.3.1999, ECLI:EU:C:1999:126. </w:t>
      </w:r>
    </w:p>
  </w:footnote>
  <w:footnote w:id="16">
    <w:p w:rsidR="00FE0CD4" w:rsidRPr="00B246E8" w:rsidRDefault="00FE0CD4" w:rsidP="00B246E8">
      <w:pPr>
        <w:pStyle w:val="FootnoteText"/>
        <w:ind w:left="720" w:hanging="720"/>
        <w:rPr>
          <w:sz w:val="24"/>
          <w:szCs w:val="24"/>
          <w:lang w:val="et-EE"/>
        </w:rPr>
      </w:pPr>
      <w:r w:rsidRPr="00B246E8">
        <w:rPr>
          <w:rStyle w:val="FootnoteReference"/>
          <w:sz w:val="24"/>
          <w:szCs w:val="24"/>
          <w:lang w:val="et-EE"/>
        </w:rPr>
        <w:footnoteRef/>
      </w:r>
      <w:r w:rsidRPr="00B246E8">
        <w:rPr>
          <w:sz w:val="24"/>
          <w:szCs w:val="24"/>
          <w:lang w:val="et-EE"/>
        </w:rPr>
        <w:t xml:space="preserve"> </w:t>
      </w:r>
      <w:r w:rsidR="00B246E8">
        <w:rPr>
          <w:sz w:val="24"/>
          <w:szCs w:val="24"/>
          <w:lang w:val="et-EE"/>
        </w:rPr>
        <w:tab/>
        <w:t>Kohtuasi </w:t>
      </w:r>
      <w:r w:rsidRPr="00B246E8">
        <w:rPr>
          <w:sz w:val="24"/>
          <w:szCs w:val="24"/>
          <w:lang w:val="et-EE"/>
        </w:rPr>
        <w:t xml:space="preserve">81/87, </w:t>
      </w:r>
      <w:proofErr w:type="spellStart"/>
      <w:r w:rsidRPr="00B246E8">
        <w:rPr>
          <w:sz w:val="24"/>
          <w:szCs w:val="24"/>
          <w:lang w:val="et-EE"/>
        </w:rPr>
        <w:t>The</w:t>
      </w:r>
      <w:proofErr w:type="spellEnd"/>
      <w:r w:rsidRPr="00B246E8">
        <w:rPr>
          <w:sz w:val="24"/>
          <w:szCs w:val="24"/>
          <w:lang w:val="et-EE"/>
        </w:rPr>
        <w:t xml:space="preserve"> </w:t>
      </w:r>
      <w:proofErr w:type="spellStart"/>
      <w:r w:rsidRPr="00B246E8">
        <w:rPr>
          <w:sz w:val="24"/>
          <w:szCs w:val="24"/>
          <w:lang w:val="et-EE"/>
        </w:rPr>
        <w:t>Queen</w:t>
      </w:r>
      <w:proofErr w:type="spellEnd"/>
      <w:r w:rsidRPr="00B246E8">
        <w:rPr>
          <w:sz w:val="24"/>
          <w:szCs w:val="24"/>
          <w:lang w:val="et-EE"/>
        </w:rPr>
        <w:t xml:space="preserve"> </w:t>
      </w:r>
      <w:r w:rsidRPr="00B246E8">
        <w:rPr>
          <w:i/>
          <w:sz w:val="24"/>
          <w:szCs w:val="24"/>
          <w:lang w:val="et-EE"/>
        </w:rPr>
        <w:t>vs.</w:t>
      </w:r>
      <w:r w:rsidRPr="00B246E8">
        <w:rPr>
          <w:sz w:val="24"/>
          <w:szCs w:val="24"/>
          <w:lang w:val="et-EE"/>
        </w:rPr>
        <w:t xml:space="preserve"> H. M. </w:t>
      </w:r>
      <w:proofErr w:type="spellStart"/>
      <w:r w:rsidRPr="00B246E8">
        <w:rPr>
          <w:sz w:val="24"/>
          <w:szCs w:val="24"/>
          <w:lang w:val="et-EE"/>
        </w:rPr>
        <w:t>Treasury</w:t>
      </w:r>
      <w:proofErr w:type="spellEnd"/>
      <w:r w:rsidRPr="00B246E8">
        <w:rPr>
          <w:sz w:val="24"/>
          <w:szCs w:val="24"/>
          <w:lang w:val="et-EE"/>
        </w:rPr>
        <w:t xml:space="preserve"> and </w:t>
      </w:r>
      <w:proofErr w:type="spellStart"/>
      <w:r w:rsidRPr="00B246E8">
        <w:rPr>
          <w:sz w:val="24"/>
          <w:szCs w:val="24"/>
          <w:lang w:val="et-EE"/>
        </w:rPr>
        <w:t>Commissioners</w:t>
      </w:r>
      <w:proofErr w:type="spellEnd"/>
      <w:r w:rsidRPr="00B246E8">
        <w:rPr>
          <w:sz w:val="24"/>
          <w:szCs w:val="24"/>
          <w:lang w:val="et-EE"/>
        </w:rPr>
        <w:t xml:space="preserve"> of </w:t>
      </w:r>
      <w:proofErr w:type="spellStart"/>
      <w:r w:rsidRPr="00B246E8">
        <w:rPr>
          <w:sz w:val="24"/>
          <w:szCs w:val="24"/>
          <w:lang w:val="et-EE"/>
        </w:rPr>
        <w:t>Inland</w:t>
      </w:r>
      <w:proofErr w:type="spellEnd"/>
      <w:r w:rsidRPr="00B246E8">
        <w:rPr>
          <w:sz w:val="24"/>
          <w:szCs w:val="24"/>
          <w:lang w:val="et-EE"/>
        </w:rPr>
        <w:t xml:space="preserve"> </w:t>
      </w:r>
      <w:proofErr w:type="spellStart"/>
      <w:r w:rsidRPr="00B246E8">
        <w:rPr>
          <w:sz w:val="24"/>
          <w:szCs w:val="24"/>
          <w:lang w:val="et-EE"/>
        </w:rPr>
        <w:t>Revenue</w:t>
      </w:r>
      <w:proofErr w:type="spellEnd"/>
      <w:r w:rsidRPr="00B246E8">
        <w:rPr>
          <w:sz w:val="24"/>
          <w:szCs w:val="24"/>
          <w:lang w:val="et-EE"/>
        </w:rPr>
        <w:t xml:space="preserve">, </w:t>
      </w:r>
      <w:proofErr w:type="spellStart"/>
      <w:r w:rsidRPr="00B246E8">
        <w:rPr>
          <w:sz w:val="24"/>
          <w:szCs w:val="24"/>
          <w:lang w:val="et-EE"/>
        </w:rPr>
        <w:t>ex</w:t>
      </w:r>
      <w:proofErr w:type="spellEnd"/>
      <w:r w:rsidRPr="00B246E8">
        <w:rPr>
          <w:sz w:val="24"/>
          <w:szCs w:val="24"/>
          <w:lang w:val="et-EE"/>
        </w:rPr>
        <w:t xml:space="preserve"> parte </w:t>
      </w:r>
      <w:proofErr w:type="spellStart"/>
      <w:r w:rsidRPr="00B246E8">
        <w:rPr>
          <w:sz w:val="24"/>
          <w:szCs w:val="24"/>
          <w:lang w:val="et-EE"/>
        </w:rPr>
        <w:t>Daily</w:t>
      </w:r>
      <w:proofErr w:type="spellEnd"/>
      <w:r w:rsidRPr="00B246E8">
        <w:rPr>
          <w:sz w:val="24"/>
          <w:szCs w:val="24"/>
          <w:lang w:val="et-EE"/>
        </w:rPr>
        <w:t xml:space="preserve"> Mail and General Trust </w:t>
      </w:r>
      <w:proofErr w:type="spellStart"/>
      <w:r w:rsidRPr="00B246E8">
        <w:rPr>
          <w:sz w:val="24"/>
          <w:szCs w:val="24"/>
          <w:lang w:val="et-EE"/>
        </w:rPr>
        <w:t>plc</w:t>
      </w:r>
      <w:proofErr w:type="spellEnd"/>
      <w:r w:rsidRPr="00B246E8">
        <w:rPr>
          <w:sz w:val="24"/>
          <w:szCs w:val="24"/>
          <w:lang w:val="et-EE"/>
        </w:rPr>
        <w:t xml:space="preserve">., 27.09.1988, ECLI:EU:C:1988:456. </w:t>
      </w:r>
    </w:p>
  </w:footnote>
  <w:footnote w:id="17">
    <w:p w:rsidR="00FE0CD4" w:rsidRPr="00B246E8" w:rsidRDefault="00FE0CD4" w:rsidP="00B246E8">
      <w:pPr>
        <w:pStyle w:val="FootnoteText"/>
        <w:ind w:left="720" w:hanging="720"/>
        <w:rPr>
          <w:sz w:val="24"/>
          <w:szCs w:val="24"/>
          <w:lang w:val="et-EE"/>
        </w:rPr>
      </w:pPr>
      <w:r w:rsidRPr="00B246E8">
        <w:rPr>
          <w:rStyle w:val="FootnoteReference"/>
          <w:sz w:val="24"/>
          <w:szCs w:val="24"/>
          <w:lang w:val="et-EE"/>
        </w:rPr>
        <w:footnoteRef/>
      </w:r>
      <w:r w:rsidRPr="00B246E8">
        <w:rPr>
          <w:sz w:val="24"/>
          <w:szCs w:val="24"/>
          <w:lang w:val="et-EE"/>
        </w:rPr>
        <w:t xml:space="preserve"> </w:t>
      </w:r>
      <w:r w:rsidR="00B246E8">
        <w:rPr>
          <w:sz w:val="24"/>
          <w:szCs w:val="24"/>
          <w:lang w:val="et-EE"/>
        </w:rPr>
        <w:tab/>
      </w:r>
      <w:r w:rsidR="000A3502">
        <w:fldChar w:fldCharType="begin"/>
      </w:r>
      <w:r w:rsidR="000A3502" w:rsidRPr="000A3502">
        <w:rPr>
          <w:lang w:val="et-EE"/>
        </w:rPr>
        <w:instrText xml:space="preserve"> H</w:instrText>
      </w:r>
      <w:r w:rsidR="000A3502" w:rsidRPr="000A3502">
        <w:rPr>
          <w:lang w:val="et-EE"/>
        </w:rPr>
        <w:instrText xml:space="preserve">YPERLINK "http://ec.europa.eu/internal_market/consultations/2014/cross-border-mergers-divisions/docs/summary-of-responses_en.pdf" \h </w:instrText>
      </w:r>
      <w:r w:rsidR="000A3502">
        <w:fldChar w:fldCharType="separate"/>
      </w:r>
      <w:r w:rsidRPr="00B246E8">
        <w:rPr>
          <w:rStyle w:val="Hyperlink"/>
          <w:sz w:val="24"/>
          <w:szCs w:val="24"/>
          <w:lang w:val="et-EE"/>
        </w:rPr>
        <w:t>http://ec.europa.eu/internal_market/consultations/2014/cross-border-mergers-divisions/docs/summary-of-responses_en.pdf</w:t>
      </w:r>
      <w:r w:rsidR="000A3502">
        <w:rPr>
          <w:rStyle w:val="Hyperlink"/>
          <w:sz w:val="24"/>
          <w:szCs w:val="24"/>
          <w:lang w:val="et-EE"/>
        </w:rPr>
        <w:fldChar w:fldCharType="end"/>
      </w:r>
      <w:r w:rsidRPr="00B246E8">
        <w:rPr>
          <w:sz w:val="24"/>
          <w:szCs w:val="24"/>
          <w:lang w:val="et-EE"/>
        </w:rPr>
        <w:t xml:space="preserve"> </w:t>
      </w:r>
    </w:p>
  </w:footnote>
  <w:footnote w:id="18">
    <w:p w:rsidR="00FE0CD4" w:rsidRPr="00B246E8" w:rsidRDefault="00FE0CD4" w:rsidP="00B246E8">
      <w:pPr>
        <w:pStyle w:val="FootnoteText"/>
        <w:ind w:left="720" w:hanging="720"/>
        <w:rPr>
          <w:sz w:val="24"/>
          <w:szCs w:val="24"/>
          <w:lang w:val="et-EE"/>
        </w:rPr>
      </w:pPr>
      <w:r w:rsidRPr="00B246E8">
        <w:rPr>
          <w:rStyle w:val="FootnoteReference"/>
          <w:sz w:val="24"/>
          <w:szCs w:val="24"/>
          <w:lang w:val="et-EE"/>
        </w:rPr>
        <w:footnoteRef/>
      </w:r>
      <w:r w:rsidRPr="00B246E8">
        <w:rPr>
          <w:sz w:val="24"/>
          <w:szCs w:val="24"/>
          <w:lang w:val="et-EE"/>
        </w:rPr>
        <w:t xml:space="preserve"> </w:t>
      </w:r>
      <w:r w:rsidR="00B246E8">
        <w:rPr>
          <w:sz w:val="24"/>
          <w:szCs w:val="24"/>
          <w:lang w:val="et-EE"/>
        </w:rPr>
        <w:tab/>
        <w:t>PE </w:t>
      </w:r>
      <w:r w:rsidRPr="00B246E8">
        <w:rPr>
          <w:sz w:val="24"/>
          <w:szCs w:val="24"/>
          <w:lang w:val="et-EE"/>
        </w:rPr>
        <w:t xml:space="preserve">556.960, </w:t>
      </w:r>
      <w:r w:rsidR="000A3502">
        <w:fldChar w:fldCharType="begin"/>
      </w:r>
      <w:r w:rsidR="000A3502" w:rsidRPr="000A3502">
        <w:rPr>
          <w:lang w:val="it-IT"/>
        </w:rPr>
        <w:instrText xml:space="preserve"> HYPERLINK "http://www.europarl.europa.eu/RegData/etudes/STUD/2016/556960/IPOL_STU(2016)556960_EN.pdf" </w:instrText>
      </w:r>
      <w:r w:rsidR="000A3502">
        <w:fldChar w:fldCharType="separate"/>
      </w:r>
      <w:r w:rsidRPr="00B246E8">
        <w:rPr>
          <w:rStyle w:val="Hyperlink"/>
          <w:sz w:val="24"/>
          <w:szCs w:val="24"/>
          <w:lang w:val="et-EE"/>
        </w:rPr>
        <w:t>http://www.europarl.europa.eu/RegData/etudes/STUD/2016/556960/IPOL_STU(2016)556960_EN.pdf</w:t>
      </w:r>
      <w:r w:rsidR="000A3502">
        <w:rPr>
          <w:rStyle w:val="Hyperlink"/>
          <w:sz w:val="24"/>
          <w:szCs w:val="24"/>
          <w:lang w:val="et-EE"/>
        </w:rPr>
        <w:fldChar w:fldCharType="end"/>
      </w:r>
      <w:r w:rsidRPr="00B246E8">
        <w:rPr>
          <w:sz w:val="24"/>
          <w:szCs w:val="24"/>
          <w:lang w:val="et-EE"/>
        </w:rPr>
        <w:t xml:space="preserve"> </w:t>
      </w:r>
    </w:p>
  </w:footnote>
  <w:footnote w:id="19">
    <w:p w:rsidR="00FE0CD4" w:rsidRPr="00B246E8" w:rsidRDefault="00FE0CD4" w:rsidP="00B246E8">
      <w:pPr>
        <w:pStyle w:val="FootnoteText"/>
        <w:ind w:left="720" w:hanging="720"/>
        <w:rPr>
          <w:sz w:val="24"/>
          <w:szCs w:val="24"/>
          <w:lang w:val="et-EE"/>
        </w:rPr>
      </w:pPr>
      <w:r w:rsidRPr="00B246E8">
        <w:rPr>
          <w:rStyle w:val="FootnoteReference"/>
          <w:sz w:val="24"/>
          <w:szCs w:val="24"/>
          <w:lang w:val="et-EE"/>
        </w:rPr>
        <w:footnoteRef/>
      </w:r>
      <w:r w:rsidRPr="00B246E8">
        <w:rPr>
          <w:sz w:val="24"/>
          <w:szCs w:val="24"/>
          <w:lang w:val="et-EE"/>
        </w:rPr>
        <w:t xml:space="preserve"> </w:t>
      </w:r>
      <w:r w:rsidR="00B246E8">
        <w:rPr>
          <w:sz w:val="24"/>
          <w:szCs w:val="24"/>
          <w:lang w:val="et-EE"/>
        </w:rPr>
        <w:tab/>
        <w:t>PE </w:t>
      </w:r>
      <w:r w:rsidRPr="00B246E8">
        <w:rPr>
          <w:sz w:val="24"/>
          <w:szCs w:val="24"/>
          <w:lang w:val="et-EE"/>
        </w:rPr>
        <w:t xml:space="preserve">593.796, </w:t>
      </w:r>
    </w:p>
  </w:footnote>
  <w:footnote w:id="20">
    <w:p w:rsidR="00FE0CD4" w:rsidRPr="00B246E8" w:rsidRDefault="00FE0CD4" w:rsidP="00B246E8">
      <w:pPr>
        <w:pStyle w:val="FootnoteText"/>
        <w:ind w:left="720" w:hanging="720"/>
        <w:rPr>
          <w:sz w:val="24"/>
          <w:szCs w:val="24"/>
          <w:lang w:val="et-EE"/>
        </w:rPr>
      </w:pPr>
      <w:r w:rsidRPr="00B246E8">
        <w:rPr>
          <w:rStyle w:val="FootnoteReference"/>
          <w:sz w:val="24"/>
          <w:szCs w:val="24"/>
          <w:lang w:val="et-EE"/>
        </w:rPr>
        <w:footnoteRef/>
      </w:r>
      <w:r w:rsidRPr="00B246E8">
        <w:rPr>
          <w:sz w:val="24"/>
          <w:szCs w:val="24"/>
          <w:lang w:val="et-EE"/>
        </w:rPr>
        <w:t xml:space="preserve"> </w:t>
      </w:r>
      <w:r w:rsidR="00B246E8">
        <w:rPr>
          <w:sz w:val="24"/>
          <w:szCs w:val="24"/>
          <w:lang w:val="et-EE"/>
        </w:rPr>
        <w:tab/>
      </w:r>
      <w:r w:rsidRPr="00B246E8">
        <w:rPr>
          <w:sz w:val="24"/>
          <w:szCs w:val="24"/>
          <w:lang w:val="et-EE"/>
        </w:rPr>
        <w:t>E</w:t>
      </w:r>
      <w:r w:rsidR="00B246E8">
        <w:rPr>
          <w:sz w:val="24"/>
          <w:szCs w:val="24"/>
          <w:lang w:val="et-EE"/>
        </w:rPr>
        <w:t>uroopa Parlamendi ja nõukogu 6. mai 2009. aasta direktiiv </w:t>
      </w:r>
      <w:r w:rsidRPr="00B246E8">
        <w:rPr>
          <w:sz w:val="24"/>
          <w:szCs w:val="24"/>
          <w:lang w:val="et-EE"/>
        </w:rPr>
        <w:t xml:space="preserve">2009/38/EÜ Euroopa töönõukogu asutamise või töötajate teavitamise ja nendega konsulteerimise korra sisseseadmise kohta liikmesriigiülestes ettevõtetes või kontsernides </w:t>
      </w:r>
      <w:r w:rsidR="00820DD0">
        <w:rPr>
          <w:sz w:val="24"/>
          <w:szCs w:val="24"/>
          <w:lang w:val="et-EE"/>
        </w:rPr>
        <w:t>(</w:t>
      </w:r>
      <w:r w:rsidRPr="00B246E8">
        <w:rPr>
          <w:sz w:val="24"/>
          <w:szCs w:val="24"/>
          <w:lang w:val="et-EE"/>
        </w:rPr>
        <w:t>ELT L 122, 16.5.2009, lk 28</w:t>
      </w:r>
      <w:r w:rsidR="00820DD0">
        <w:rPr>
          <w:sz w:val="24"/>
          <w:szCs w:val="24"/>
          <w:lang w:val="et-EE"/>
        </w:rPr>
        <w:t>)</w:t>
      </w:r>
      <w:r w:rsidRPr="00B246E8">
        <w:rPr>
          <w:sz w:val="24"/>
          <w:szCs w:val="24"/>
          <w:lang w:val="et-E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A0E" w:rsidRDefault="003F2A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A0E" w:rsidRDefault="003F2A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A0E" w:rsidRDefault="003F2A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190/2017"/>
    <w:docVar w:name="dvlangue" w:val="ET"/>
    <w:docVar w:name="dvnumam" w:val="0"/>
    <w:docVar w:name="dvpe" w:val="595.722"/>
    <w:docVar w:name="dvrapporteur" w:val="Raportöör: "/>
    <w:docVar w:name="dvtitre" w:val="Euroopa Parlamendi .... 2017. aasta resolutsioon piiriülese ühinemise ja jagunemise rakendamise kohta (2016/2065(INI))"/>
  </w:docVars>
  <w:rsids>
    <w:rsidRoot w:val="005566B6"/>
    <w:rsid w:val="00002272"/>
    <w:rsid w:val="000677B9"/>
    <w:rsid w:val="000A3502"/>
    <w:rsid w:val="000E7DD9"/>
    <w:rsid w:val="0010095E"/>
    <w:rsid w:val="00125B37"/>
    <w:rsid w:val="002767FF"/>
    <w:rsid w:val="002B5493"/>
    <w:rsid w:val="00361C00"/>
    <w:rsid w:val="00395FA1"/>
    <w:rsid w:val="003E15D4"/>
    <w:rsid w:val="003F2A0E"/>
    <w:rsid w:val="00411CCE"/>
    <w:rsid w:val="0041666E"/>
    <w:rsid w:val="00421060"/>
    <w:rsid w:val="00494A28"/>
    <w:rsid w:val="005018D5"/>
    <w:rsid w:val="0050519A"/>
    <w:rsid w:val="005072A1"/>
    <w:rsid w:val="00514517"/>
    <w:rsid w:val="00543C2B"/>
    <w:rsid w:val="005566B6"/>
    <w:rsid w:val="006037C0"/>
    <w:rsid w:val="00680577"/>
    <w:rsid w:val="006F74FA"/>
    <w:rsid w:val="00731ADD"/>
    <w:rsid w:val="00734777"/>
    <w:rsid w:val="00751A4A"/>
    <w:rsid w:val="00756632"/>
    <w:rsid w:val="007D1690"/>
    <w:rsid w:val="00820DD0"/>
    <w:rsid w:val="00837852"/>
    <w:rsid w:val="00865F67"/>
    <w:rsid w:val="00881A7B"/>
    <w:rsid w:val="008840E5"/>
    <w:rsid w:val="008C2AC6"/>
    <w:rsid w:val="009509D8"/>
    <w:rsid w:val="00981893"/>
    <w:rsid w:val="00A4678D"/>
    <w:rsid w:val="00AF3B82"/>
    <w:rsid w:val="00B246E8"/>
    <w:rsid w:val="00B558F0"/>
    <w:rsid w:val="00BD7BD8"/>
    <w:rsid w:val="00C05BFE"/>
    <w:rsid w:val="00C23CD4"/>
    <w:rsid w:val="00C941CB"/>
    <w:rsid w:val="00CC2357"/>
    <w:rsid w:val="00D058B8"/>
    <w:rsid w:val="00D834A0"/>
    <w:rsid w:val="00D91E21"/>
    <w:rsid w:val="00E365E1"/>
    <w:rsid w:val="00ED4235"/>
    <w:rsid w:val="00F04346"/>
    <w:rsid w:val="00F075DC"/>
    <w:rsid w:val="00F5134D"/>
    <w:rsid w:val="00FD0C70"/>
    <w:rsid w:val="00FE0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260770A5-61B5-4619-AA4C-AE479409E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t-EE"/>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NormalBoldItalcs12a12b">
    <w:name w:val="NormalBoldItalcs12a12b"/>
    <w:basedOn w:val="Normal"/>
    <w:qFormat/>
    <w:rsid w:val="00FE0CD4"/>
    <w:pPr>
      <w:spacing w:before="240" w:after="240"/>
    </w:pPr>
    <w:rPr>
      <w:b/>
      <w:i/>
      <w:lang w:eastAsia="et-EE" w:bidi="et-EE"/>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aliases w:val="Body Text Indent 21,Char Char1 Char Char,Char Char1 Char Char Char Char Char Char Char Char,Char Char1 Char Char Char,Heading 7 Char2"/>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styleId="Hyperlink">
    <w:name w:val="Hyperlink"/>
    <w:unhideWhenUsed/>
    <w:rsid w:val="00FE0CD4"/>
    <w:rPr>
      <w:color w:val="0000FF"/>
      <w:u w:val="single"/>
    </w:rPr>
  </w:style>
  <w:style w:type="character" w:customStyle="1" w:styleId="st1">
    <w:name w:val="st1"/>
    <w:rsid w:val="00FE0CD4"/>
  </w:style>
  <w:style w:type="character" w:styleId="Strong">
    <w:name w:val="Strong"/>
    <w:uiPriority w:val="22"/>
    <w:qFormat/>
    <w:rsid w:val="00FE0CD4"/>
    <w:rPr>
      <w:b/>
      <w:bCs/>
    </w:rPr>
  </w:style>
  <w:style w:type="character" w:customStyle="1" w:styleId="Normal12HangingChar">
    <w:name w:val="Normal12Hanging Char"/>
    <w:link w:val="Normal12Hanging"/>
    <w:rsid w:val="00FE0CD4"/>
    <w:rPr>
      <w:sz w:val="24"/>
      <w:lang w:val="et-EE"/>
    </w:rPr>
  </w:style>
  <w:style w:type="character" w:customStyle="1" w:styleId="SupBoldItalic">
    <w:name w:val="SupBoldItalic"/>
    <w:rsid w:val="00FE0CD4"/>
    <w:rPr>
      <w:b/>
      <w:i/>
      <w:color w:val="000000"/>
      <w:vertAlign w:val="superscript"/>
    </w:rPr>
  </w:style>
  <w:style w:type="paragraph" w:styleId="BalloonText">
    <w:name w:val="Balloon Text"/>
    <w:basedOn w:val="Normal"/>
    <w:link w:val="BalloonTextChar"/>
    <w:rsid w:val="00820DD0"/>
    <w:rPr>
      <w:rFonts w:ascii="Segoe UI" w:hAnsi="Segoe UI" w:cs="Segoe UI"/>
      <w:sz w:val="18"/>
      <w:szCs w:val="18"/>
    </w:rPr>
  </w:style>
  <w:style w:type="character" w:customStyle="1" w:styleId="BalloonTextChar">
    <w:name w:val="Balloon Text Char"/>
    <w:basedOn w:val="DefaultParagraphFont"/>
    <w:link w:val="BalloonText"/>
    <w:rsid w:val="00820DD0"/>
    <w:rPr>
      <w:rFonts w:ascii="Segoe UI" w:hAnsi="Segoe UI" w:cs="Segoe UI"/>
      <w:sz w:val="18"/>
      <w:szCs w:val="18"/>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CEDB7517</Template>
  <TotalTime>1</TotalTime>
  <Pages>7</Pages>
  <Words>2157</Words>
  <Characters>12300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HIRV Joel</dc:creator>
  <cp:keywords/>
  <cp:lastModifiedBy>RAUDNASK Juta</cp:lastModifiedBy>
  <cp:revision>2</cp:revision>
  <cp:lastPrinted>2004-11-19T14:42:00Z</cp:lastPrinted>
  <dcterms:created xsi:type="dcterms:W3CDTF">2018-01-10T10:01:00Z</dcterms:created>
  <dcterms:modified xsi:type="dcterms:W3CDTF">2018-01-10T10:01:00Z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ET</vt:lpwstr>
  </property>
  <property fmtid="{D5CDD505-2E9C-101B-9397-08002B2CF9AE}" pid="3" name="&lt;FdR&gt;">
    <vt:lpwstr>P8_TA-PROV(2017)0248_</vt:lpwstr>
  </property>
  <property fmtid="{D5CDD505-2E9C-101B-9397-08002B2CF9AE}" pid="4" name="&lt;Type&gt;">
    <vt:lpwstr>RR</vt:lpwstr>
  </property>
</Properties>
</file>