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C8321C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C8321C" w:rsidRDefault="000718AD" w:rsidP="0010095E">
            <w:pPr>
              <w:pStyle w:val="EPName"/>
              <w:rPr>
                <w:lang w:val="pl-PL"/>
              </w:rPr>
            </w:pPr>
            <w:r w:rsidRPr="00C8321C">
              <w:rPr>
                <w:lang w:val="pl-PL"/>
              </w:rPr>
              <w:t>Parlament Europejski</w:t>
            </w:r>
          </w:p>
          <w:p w:rsidR="00751A4A" w:rsidRPr="00C8321C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C8321C">
              <w:rPr>
                <w:lang w:val="pl-PL"/>
              </w:rPr>
              <w:t>2014</w:t>
            </w:r>
            <w:r w:rsidR="00C941CB" w:rsidRPr="00C8321C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C8321C" w:rsidRDefault="00B6602C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C8321C" w:rsidRDefault="00D058B8" w:rsidP="00D058B8">
      <w:pPr>
        <w:pStyle w:val="LineTop"/>
        <w:rPr>
          <w:lang w:val="pl-PL"/>
        </w:rPr>
      </w:pPr>
    </w:p>
    <w:p w:rsidR="00680577" w:rsidRPr="00C8321C" w:rsidRDefault="000718AD" w:rsidP="00680577">
      <w:pPr>
        <w:pStyle w:val="ZSessionDoc"/>
        <w:rPr>
          <w:b/>
          <w:i w:val="0"/>
        </w:rPr>
      </w:pPr>
      <w:r w:rsidRPr="00C8321C">
        <w:rPr>
          <w:b/>
          <w:i w:val="0"/>
        </w:rPr>
        <w:t>TEKSTY PRZYJĘTE</w:t>
      </w:r>
    </w:p>
    <w:p w:rsidR="00D058B8" w:rsidRPr="00C8321C" w:rsidRDefault="00D058B8" w:rsidP="00D058B8">
      <w:pPr>
        <w:pStyle w:val="LineBottom"/>
      </w:pPr>
    </w:p>
    <w:p w:rsidR="000718AD" w:rsidRPr="00C8321C" w:rsidRDefault="00B6602C" w:rsidP="000718AD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r w:rsidR="000718AD" w:rsidRPr="00C8321C">
        <w:rPr>
          <w:noProof w:val="0"/>
          <w:lang w:val="pl-PL"/>
        </w:rPr>
        <w:t>(2018)0</w:t>
      </w:r>
      <w:bookmarkEnd w:id="0"/>
      <w:r w:rsidR="000F5AB3">
        <w:rPr>
          <w:noProof w:val="0"/>
          <w:lang w:val="pl-PL"/>
        </w:rPr>
        <w:t>138</w:t>
      </w:r>
    </w:p>
    <w:p w:rsidR="000718AD" w:rsidRPr="006C5A97" w:rsidRDefault="006C5A97" w:rsidP="006C5A97">
      <w:pPr>
        <w:pStyle w:val="ATHeading2"/>
        <w:rPr>
          <w:noProof w:val="0"/>
          <w:lang w:val="pl-PL"/>
        </w:rPr>
      </w:pPr>
      <w:r w:rsidRPr="006C5A97">
        <w:rPr>
          <w:bCs/>
          <w:lang w:val="pl-PL"/>
        </w:rPr>
        <w:t>Absolutorium za rok 2016: Agencja Unii Europejskiej ds. Szkolenia w</w:t>
      </w:r>
      <w:r>
        <w:rPr>
          <w:bCs/>
          <w:lang w:val="pl-PL"/>
        </w:rPr>
        <w:t xml:space="preserve"> </w:t>
      </w:r>
      <w:r w:rsidRPr="006C5A97">
        <w:rPr>
          <w:bCs/>
          <w:noProof w:val="0"/>
          <w:lang w:val="pl-PL"/>
        </w:rPr>
        <w:t>Dziedzinie Ścigania (CEPOL)</w:t>
      </w:r>
    </w:p>
    <w:p w:rsidR="000718AD" w:rsidRPr="00C8321C" w:rsidRDefault="000718AD" w:rsidP="000718AD">
      <w:pPr>
        <w:rPr>
          <w:i/>
          <w:vanish/>
        </w:rPr>
      </w:pPr>
      <w:r w:rsidRPr="00C8321C">
        <w:rPr>
          <w:i/>
        </w:rPr>
        <w:fldChar w:fldCharType="begin"/>
      </w:r>
      <w:r w:rsidRPr="00C8321C">
        <w:rPr>
          <w:i/>
        </w:rPr>
        <w:instrText xml:space="preserve"> TC"(</w:instrText>
      </w:r>
      <w:bookmarkStart w:id="1" w:name="DocNumber"/>
      <w:r w:rsidRPr="00C8321C">
        <w:rPr>
          <w:i/>
        </w:rPr>
        <w:instrText>A8-0098/2018</w:instrText>
      </w:r>
      <w:bookmarkEnd w:id="1"/>
      <w:r w:rsidRPr="00C8321C">
        <w:rPr>
          <w:i/>
        </w:rPr>
        <w:instrText xml:space="preserve"> - Sprawozdawca: Bart Staes)"\l3 \n&gt; \* MERGEFORMAT </w:instrText>
      </w:r>
      <w:r w:rsidRPr="00C8321C">
        <w:rPr>
          <w:i/>
        </w:rPr>
        <w:fldChar w:fldCharType="end"/>
      </w:r>
    </w:p>
    <w:p w:rsidR="000718AD" w:rsidRPr="00C8321C" w:rsidRDefault="000718AD" w:rsidP="000718AD">
      <w:pPr>
        <w:rPr>
          <w:vanish/>
        </w:rPr>
      </w:pPr>
      <w:bookmarkStart w:id="2" w:name="Commission"/>
      <w:r w:rsidRPr="00C8321C">
        <w:rPr>
          <w:vanish/>
        </w:rPr>
        <w:t>Komisja Kontroli Budżetowej</w:t>
      </w:r>
      <w:bookmarkEnd w:id="2"/>
    </w:p>
    <w:p w:rsidR="000718AD" w:rsidRPr="00C8321C" w:rsidRDefault="000718AD" w:rsidP="000718AD">
      <w:pPr>
        <w:rPr>
          <w:vanish/>
        </w:rPr>
      </w:pPr>
      <w:bookmarkStart w:id="3" w:name="PE"/>
      <w:r w:rsidRPr="00C8321C">
        <w:rPr>
          <w:vanish/>
        </w:rPr>
        <w:t>PE613.463</w:t>
      </w:r>
      <w:bookmarkEnd w:id="3"/>
    </w:p>
    <w:p w:rsidR="000718AD" w:rsidRPr="00C8321C" w:rsidRDefault="006C5A97" w:rsidP="000718AD">
      <w:pPr>
        <w:pStyle w:val="ATHeading3"/>
        <w:rPr>
          <w:noProof w:val="0"/>
          <w:lang w:val="pl-PL"/>
        </w:rPr>
      </w:pPr>
      <w:bookmarkStart w:id="4" w:name="Sujet"/>
      <w:r>
        <w:rPr>
          <w:noProof w:val="0"/>
          <w:lang w:val="pl-PL"/>
        </w:rPr>
        <w:t xml:space="preserve">1. </w:t>
      </w:r>
      <w:r w:rsidR="000718AD" w:rsidRPr="00C8321C">
        <w:rPr>
          <w:noProof w:val="0"/>
          <w:lang w:val="pl-PL"/>
        </w:rPr>
        <w:t xml:space="preserve">Decyzja Parlamentu Europejskiego z dnia </w:t>
      </w:r>
      <w:r>
        <w:rPr>
          <w:noProof w:val="0"/>
          <w:lang w:val="pl-PL"/>
        </w:rPr>
        <w:t>18 kwietnia</w:t>
      </w:r>
      <w:r w:rsidR="000718AD" w:rsidRPr="00C8321C">
        <w:rPr>
          <w:noProof w:val="0"/>
          <w:lang w:val="pl-PL"/>
        </w:rPr>
        <w:t xml:space="preserve"> 2018 r. w sprawie absolutorium z wykonania budżetu Agencji Unii Europejskiej ds. Szkolenia w Dziedzinie Ścigania (przed 1 lipca 2016 r.: Europejskie Kolegium Policyjne) (CEPOL) za rok budżetowy 2016</w:t>
      </w:r>
      <w:bookmarkEnd w:id="4"/>
      <w:r w:rsidR="000718AD" w:rsidRPr="00C8321C">
        <w:rPr>
          <w:noProof w:val="0"/>
          <w:lang w:val="pl-PL"/>
        </w:rPr>
        <w:t xml:space="preserve"> </w:t>
      </w:r>
      <w:bookmarkStart w:id="5" w:name="References"/>
      <w:r w:rsidR="000718AD" w:rsidRPr="00C8321C">
        <w:rPr>
          <w:noProof w:val="0"/>
          <w:lang w:val="pl-PL"/>
        </w:rPr>
        <w:t>(2017/2163(DEC))</w:t>
      </w:r>
      <w:bookmarkEnd w:id="5"/>
    </w:p>
    <w:p w:rsidR="000718AD" w:rsidRPr="00C8321C" w:rsidRDefault="000718AD" w:rsidP="000718AD"/>
    <w:p w:rsidR="00B53C2A" w:rsidRPr="00C8321C" w:rsidRDefault="00B53C2A" w:rsidP="00B53C2A">
      <w:pPr>
        <w:pStyle w:val="Normal12"/>
      </w:pPr>
      <w:bookmarkStart w:id="6" w:name="TextBodyBegin"/>
      <w:bookmarkEnd w:id="6"/>
      <w:r w:rsidRPr="00C8321C">
        <w:rPr>
          <w:i/>
        </w:rPr>
        <w:t>Parlament Europejski,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</w:t>
      </w:r>
      <w:r w:rsidR="00DF5E01">
        <w:t>końcowe</w:t>
      </w:r>
      <w:r w:rsidRPr="00C8321C">
        <w:t xml:space="preserve"> sprawozdanie finansowe Agencji Unii Europejskiej ds. Szkolenia w Dziedzinie Ścigania za rok budżetowy 2016,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sprawozdanie Trybunału Obrachunkowego dotyczące sprawozdania finansowego Agencji Unii Europejskiej ds. Szkolenia w Dziedzinie Ścigania za rok budżetowy 2016 wraz z odpowiedzią Agencji</w:t>
      </w:r>
      <w:r w:rsidRPr="00C8321C">
        <w:rPr>
          <w:rStyle w:val="FootnoteReference"/>
        </w:rPr>
        <w:footnoteReference w:id="1"/>
      </w:r>
      <w:r w:rsidRPr="00C8321C">
        <w:t>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poświadczenie wiarygodności</w:t>
      </w:r>
      <w:r w:rsidRPr="00C8321C">
        <w:rPr>
          <w:rStyle w:val="FootnoteReference"/>
        </w:rPr>
        <w:footnoteReference w:id="2"/>
      </w:r>
      <w:r w:rsidRPr="00C8321C">
        <w:t xml:space="preserve"> dotyczące rachunków, jak również legalności i prawidłowości operacji leżących u ich podstaw przedłożone przez Trybunał Obrachunkowy za rok budżetowy 2016 zgodnie z art. 287 Traktatu o funkcjonowaniu Unii Europejskiej,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zalecenie Rady z dnia 20 lutego 2018 r. w sprawie udzielenia Agencji absolutorium z wykonania budżetu za rok </w:t>
      </w:r>
      <w:r w:rsidR="00DF5E01">
        <w:t>budżetowy 2016 (05941/2018 – C8-</w:t>
      </w:r>
      <w:r w:rsidRPr="00C8321C">
        <w:t>0073/2018),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art. 319 Traktatu o funkcjonowaniu Unii Europejskiej,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rozporządzenie Parlamentu Europejskiego i Rady (UE, </w:t>
      </w:r>
      <w:proofErr w:type="spellStart"/>
      <w:r w:rsidRPr="00C8321C">
        <w:t>Euratom</w:t>
      </w:r>
      <w:proofErr w:type="spellEnd"/>
      <w:r w:rsidRPr="00C8321C">
        <w:t xml:space="preserve">) nr 966/2012 z dnia 25 października 2012 r. w sprawie zasad finansowych mających zastosowanie do budżetu ogólnego Unii oraz uchylające rozporządzenie Rady (WE, </w:t>
      </w:r>
      <w:proofErr w:type="spellStart"/>
      <w:r w:rsidRPr="00C8321C">
        <w:lastRenderedPageBreak/>
        <w:t>Euratom</w:t>
      </w:r>
      <w:proofErr w:type="spellEnd"/>
      <w:r w:rsidRPr="00C8321C">
        <w:t>) nr 1605/2002</w:t>
      </w:r>
      <w:r w:rsidRPr="00C8321C">
        <w:rPr>
          <w:rStyle w:val="FootnoteReference"/>
        </w:rPr>
        <w:footnoteReference w:id="3"/>
      </w:r>
      <w:r w:rsidRPr="00C8321C">
        <w:t>, w szczególności jego art. 208,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decyzję Rady 2005/681/WSiSW z dnia 20 września 2005 r. ustanawiającą Europejskie Kolegium Policyjne (CEPOL) i uchylającą decyzję 2000/820/WSiSW</w:t>
      </w:r>
      <w:r w:rsidRPr="00C8321C">
        <w:rPr>
          <w:rStyle w:val="FootnoteReference"/>
        </w:rPr>
        <w:footnoteReference w:id="4"/>
      </w:r>
      <w:r w:rsidRPr="00C8321C">
        <w:t>, w szczególności jej art. 16,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rozporządzenie Parlamentu Europejskiego i Rady (UE) 2015/2219 z dnia 25 listopada 2015 r. w sprawie Agencji Unii Europejskiej ds. Szkolenia w Dziedzinie Ścigania (CEPOL) oraz zastępujące i uchylające decyzję Rady 2005/681/WSiSW</w:t>
      </w:r>
      <w:r w:rsidRPr="00C8321C">
        <w:rPr>
          <w:vertAlign w:val="superscript"/>
        </w:rPr>
        <w:footnoteReference w:id="5"/>
      </w:r>
      <w:r w:rsidRPr="00C8321C">
        <w:t>, w szczególności jego art. 20,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rozporządzenie delegowane Komisji (UE) nr 1271/2013 z dnia 30 września 2013 r. w sprawie ramowego rozporządzenia finansowego dotyczącego organów, o których mowa w art. 208 rozporządzenia Parlamentu Europejskiego i Rady (UE, </w:t>
      </w:r>
      <w:proofErr w:type="spellStart"/>
      <w:r w:rsidRPr="00C8321C">
        <w:t>Euratom</w:t>
      </w:r>
      <w:proofErr w:type="spellEnd"/>
      <w:r w:rsidRPr="00C8321C">
        <w:t>) nr 966/2012</w:t>
      </w:r>
      <w:r w:rsidRPr="00C8321C">
        <w:rPr>
          <w:rStyle w:val="FootnoteReference"/>
        </w:rPr>
        <w:footnoteReference w:id="6"/>
      </w:r>
      <w:r w:rsidRPr="00C8321C">
        <w:t>, w szczególności jego art. 108,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art. 94 Regulaminu i załącznik IV do Regulaminu,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sprawozdanie Komisji Kontroli Budżetowej oraz opinię Komisji Wolności Obywatelskich, Sprawiedliwości i Spraw Wewnętrznych (A8-0098/2018),</w:t>
      </w:r>
    </w:p>
    <w:p w:rsidR="00B53C2A" w:rsidRPr="00C8321C" w:rsidRDefault="00B53C2A" w:rsidP="00B53C2A">
      <w:pPr>
        <w:pStyle w:val="Normal12Hanging"/>
      </w:pPr>
      <w:r w:rsidRPr="00C8321C">
        <w:t>1.</w:t>
      </w:r>
      <w:r w:rsidRPr="00C8321C">
        <w:tab/>
        <w:t>udziela dyrektorowi wykonawczemu Agencji Unii Europejskiej ds. Szkolenia w Dziedzinie Ścigania absolutorium z wykonania budżetu Agencji za rok budżetowy 2016;</w:t>
      </w:r>
    </w:p>
    <w:p w:rsidR="00B53C2A" w:rsidRPr="00C8321C" w:rsidRDefault="00B53C2A" w:rsidP="00B53C2A">
      <w:pPr>
        <w:pStyle w:val="Normal12Hanging"/>
      </w:pPr>
      <w:r w:rsidRPr="00C8321C">
        <w:t>2.</w:t>
      </w:r>
      <w:r w:rsidRPr="00C8321C">
        <w:tab/>
        <w:t>przedstawia swoje uwagi w poniższej rezolucji;</w:t>
      </w:r>
    </w:p>
    <w:p w:rsidR="00B53C2A" w:rsidRPr="00C8321C" w:rsidRDefault="00B53C2A" w:rsidP="00B53C2A">
      <w:pPr>
        <w:pStyle w:val="Normal12Hanging"/>
      </w:pPr>
      <w:r w:rsidRPr="00C8321C">
        <w:t>3.</w:t>
      </w:r>
      <w:r w:rsidRPr="00C8321C">
        <w:tab/>
        <w:t xml:space="preserve">zobowiązuje swojego przewodniczącego do przekazania niniejszej decyzji wraz z rezolucją, która stanowi jej integralną część, dyrektorowi wykonawczemu Agencji Unii Europejskiej ds. Szkolenia w Dziedzinie Ścigania, Radzie, Komisji i Trybunałowi Obrachunkowemu oraz do zarządzenia jej publikacji w </w:t>
      </w:r>
      <w:r w:rsidRPr="00C8321C">
        <w:rPr>
          <w:i/>
        </w:rPr>
        <w:t>Dzienniku Urzędowym Unii Europejskiej</w:t>
      </w:r>
      <w:r w:rsidRPr="00C8321C">
        <w:t xml:space="preserve"> (seria L).</w:t>
      </w:r>
    </w:p>
    <w:p w:rsidR="00B53C2A" w:rsidRPr="00DF5E01" w:rsidRDefault="00B53C2A" w:rsidP="006C5A97">
      <w:pPr>
        <w:pStyle w:val="ATHeading3"/>
        <w:rPr>
          <w:lang w:val="pl-PL"/>
        </w:rPr>
      </w:pPr>
      <w:r w:rsidRPr="00DF5E01">
        <w:rPr>
          <w:lang w:val="pl-PL"/>
        </w:rPr>
        <w:br w:type="page"/>
      </w:r>
      <w:bookmarkStart w:id="7" w:name="_Toc511309729"/>
      <w:r w:rsidRPr="00DF5E01">
        <w:rPr>
          <w:lang w:val="pl-PL"/>
        </w:rPr>
        <w:lastRenderedPageBreak/>
        <w:t xml:space="preserve">2. </w:t>
      </w:r>
      <w:r w:rsidR="006C5A97" w:rsidRPr="00DF5E01">
        <w:rPr>
          <w:lang w:val="pl-PL"/>
        </w:rPr>
        <w:t>Decyzja Parlamentu Europejskiego</w:t>
      </w:r>
      <w:bookmarkEnd w:id="7"/>
      <w:r w:rsidR="006C5A97" w:rsidRPr="00DF5E01">
        <w:rPr>
          <w:lang w:val="pl-PL"/>
        </w:rPr>
        <w:t xml:space="preserve"> </w:t>
      </w:r>
      <w:r w:rsidR="006C5A97" w:rsidRPr="00C8321C">
        <w:rPr>
          <w:noProof w:val="0"/>
          <w:lang w:val="pl-PL"/>
        </w:rPr>
        <w:t xml:space="preserve">z dnia </w:t>
      </w:r>
      <w:r w:rsidR="006C5A97">
        <w:rPr>
          <w:noProof w:val="0"/>
          <w:lang w:val="pl-PL"/>
        </w:rPr>
        <w:t>18 kwietnia</w:t>
      </w:r>
      <w:r w:rsidR="006C5A97" w:rsidRPr="00C8321C">
        <w:rPr>
          <w:noProof w:val="0"/>
          <w:lang w:val="pl-PL"/>
        </w:rPr>
        <w:t xml:space="preserve"> 2018 r. </w:t>
      </w:r>
      <w:r w:rsidRPr="00DF5E01">
        <w:rPr>
          <w:lang w:val="pl-PL"/>
        </w:rPr>
        <w:t>w sprawie zamknięcia ksiąg dochodów i wydatków Agencji Unii Europejskiej ds. Szkolenia w Dziedzinie Ścigania (przed 1 lipca 2016 r.: Europejskie Kolegium Policyjne) (CEPOL) za rok budżetowy 2016</w:t>
      </w:r>
      <w:r w:rsidR="006C5A97" w:rsidRPr="00DF5E01">
        <w:rPr>
          <w:lang w:val="pl-PL"/>
        </w:rPr>
        <w:t xml:space="preserve"> </w:t>
      </w:r>
      <w:r w:rsidRPr="00DF5E01">
        <w:rPr>
          <w:lang w:val="pl-PL"/>
        </w:rPr>
        <w:t>(2017/2163(DEC))</w:t>
      </w:r>
    </w:p>
    <w:p w:rsidR="00B53C2A" w:rsidRPr="00C8321C" w:rsidRDefault="00B53C2A" w:rsidP="00B53C2A">
      <w:pPr>
        <w:pStyle w:val="Normal12"/>
      </w:pPr>
      <w:r w:rsidRPr="00C8321C">
        <w:rPr>
          <w:i/>
        </w:rPr>
        <w:t>Parlament Europejski,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</w:t>
      </w:r>
      <w:r w:rsidR="00DF5E01">
        <w:t>końcowe</w:t>
      </w:r>
      <w:r w:rsidRPr="00C8321C">
        <w:t xml:space="preserve"> sprawozdanie finansowe Agencji Unii Europejskiej ds. Szkolenia w Dziedzinie Ścigania za rok budżetowy 2016,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sprawozdanie Trybunału Obrachunkowego dotyczące sprawozdania finansowego Agencji Unii Europejskiej ds. Szkolenia w Dziedzinie Ścigania za rok budżetowy 2016 wraz z odpowiedzią Agencji</w:t>
      </w:r>
      <w:r w:rsidRPr="00C8321C">
        <w:rPr>
          <w:rStyle w:val="FootnoteReference"/>
        </w:rPr>
        <w:footnoteReference w:id="7"/>
      </w:r>
      <w:r w:rsidRPr="00C8321C">
        <w:t>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poświadczenie wiarygodności</w:t>
      </w:r>
      <w:r w:rsidRPr="00C8321C">
        <w:rPr>
          <w:rStyle w:val="FootnoteReference"/>
        </w:rPr>
        <w:footnoteReference w:id="8"/>
      </w:r>
      <w:r w:rsidRPr="00C8321C">
        <w:t xml:space="preserve"> dotyczące rachunków, jak również legalności i prawidłowości operacji leżących u ich podstaw przedłożone przez Trybunał Obrachunkowy za rok budżetowy 2016 zgodnie z art. 287 Traktatu o funkcjonowaniu Unii Europejskiej,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zalecenie Rady z dnia 20 lutego 2018 r. w sprawie udzielenia Agencji absolutorium z wykonania budżetu za rok </w:t>
      </w:r>
      <w:r w:rsidR="00DF5E01">
        <w:t>budżetowy 2016 (05941/2018 – C8-</w:t>
      </w:r>
      <w:r w:rsidRPr="00C8321C">
        <w:t>0073/2018),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art. 319 Traktatu o funkcjonowaniu Unii Europejskiej,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rozporządzenie Parlamentu Europejskiego i Rady (UE, </w:t>
      </w:r>
      <w:proofErr w:type="spellStart"/>
      <w:r w:rsidRPr="00C8321C">
        <w:t>Euratom</w:t>
      </w:r>
      <w:proofErr w:type="spellEnd"/>
      <w:r w:rsidRPr="00C8321C">
        <w:t xml:space="preserve">) nr 966/2012 z dnia 25 października 2012 r. w sprawie zasad finansowych mających zastosowanie do budżetu ogólnego Unii oraz uchylające rozporządzenie Rady (WE, </w:t>
      </w:r>
      <w:proofErr w:type="spellStart"/>
      <w:r w:rsidRPr="00C8321C">
        <w:t>Euratom</w:t>
      </w:r>
      <w:proofErr w:type="spellEnd"/>
      <w:r w:rsidRPr="00C8321C">
        <w:t>) nr 1605/2002</w:t>
      </w:r>
      <w:r w:rsidRPr="00C8321C">
        <w:rPr>
          <w:rStyle w:val="FootnoteReference"/>
        </w:rPr>
        <w:footnoteReference w:id="9"/>
      </w:r>
      <w:r w:rsidRPr="00C8321C">
        <w:t>, w szczególności jego art. 208,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decyzję Rady 2005/681/WSiSW z dnia 20 września 2005 r. ustanawiającą Europejskie Kolegium Policyjne (CEPOL) i uchylającą decyzję 2000/820/WSiSW</w:t>
      </w:r>
      <w:r w:rsidRPr="00C8321C">
        <w:rPr>
          <w:rStyle w:val="FootnoteReference"/>
        </w:rPr>
        <w:footnoteReference w:id="10"/>
      </w:r>
      <w:r w:rsidRPr="00C8321C">
        <w:t>, w szczególności jej art. 16,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rozporządzenie Parlamentu Europejskiego i Rady (UE) 2015/2219 z dnia 25 listopada 2015 r. w sprawie Agencji Unii Europejskiej ds. Szkolenia w Dziedzinie Ścigania (CEPOL) oraz zastępujące i uchylające decyzję Rady 2005/681/WSiSW</w:t>
      </w:r>
      <w:r w:rsidRPr="003E1E83">
        <w:rPr>
          <w:vertAlign w:val="superscript"/>
        </w:rPr>
        <w:footnoteReference w:id="11"/>
      </w:r>
      <w:r w:rsidRPr="00C8321C">
        <w:t>, w szczególności jego art. 20,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 xml:space="preserve">uwzględniając rozporządzenie delegowane Komisji (UE) nr 1271/2013 z dnia 30 września 2013 r. w sprawie ramowego rozporządzenia finansowego dotyczącego organów, o których mowa w art. 208 rozporządzenia Parlamentu Europejskiego i Rady (UE, </w:t>
      </w:r>
      <w:proofErr w:type="spellStart"/>
      <w:r w:rsidRPr="00C8321C">
        <w:t>Euratom</w:t>
      </w:r>
      <w:proofErr w:type="spellEnd"/>
      <w:r w:rsidRPr="00C8321C">
        <w:t>) nr 966/2012</w:t>
      </w:r>
      <w:r w:rsidRPr="00C8321C">
        <w:rPr>
          <w:rStyle w:val="FootnoteReference"/>
        </w:rPr>
        <w:footnoteReference w:id="12"/>
      </w:r>
      <w:r w:rsidRPr="00C8321C">
        <w:t>, w szczególności jego art. 108,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art. 94 Regulaminu i załącznik IV do Regulaminu,</w:t>
      </w:r>
    </w:p>
    <w:p w:rsidR="00B53C2A" w:rsidRPr="00C8321C" w:rsidRDefault="00B53C2A" w:rsidP="00B53C2A">
      <w:pPr>
        <w:pStyle w:val="Normal12Hanging"/>
      </w:pPr>
      <w:r w:rsidRPr="00C8321C">
        <w:lastRenderedPageBreak/>
        <w:t>–</w:t>
      </w:r>
      <w:r w:rsidRPr="00C8321C">
        <w:tab/>
        <w:t>uwzględniając sprawozdanie Komisji Kontroli Budżetowej oraz opinię Komisji Wolności Obywatelskich, Sprawiedliwości i Spraw Wewnętrznych (A8-0098/2018),</w:t>
      </w:r>
    </w:p>
    <w:p w:rsidR="00B53C2A" w:rsidRPr="00C8321C" w:rsidRDefault="00B53C2A" w:rsidP="00B53C2A">
      <w:pPr>
        <w:pStyle w:val="Normal12Hanging"/>
      </w:pPr>
      <w:r w:rsidRPr="00C8321C">
        <w:t>1.</w:t>
      </w:r>
      <w:r w:rsidRPr="00C8321C">
        <w:tab/>
        <w:t>zatwierdza zamknięcie ksiąg dochodów i wydatków Agencji Unii Europejskiej ds. Szkolenia w Dziedzinie Ścigania za rok budżetowy 2016;</w:t>
      </w:r>
    </w:p>
    <w:p w:rsidR="00B53C2A" w:rsidRPr="00C8321C" w:rsidRDefault="00B53C2A" w:rsidP="00B53C2A">
      <w:pPr>
        <w:pStyle w:val="Normal12Hanging"/>
      </w:pPr>
      <w:r w:rsidRPr="00C8321C">
        <w:t>2.</w:t>
      </w:r>
      <w:r w:rsidRPr="00C8321C">
        <w:tab/>
        <w:t>zobowiązuje swojego przewodniczącego do przekazania niniejszej decyzji</w:t>
      </w:r>
      <w:r w:rsidRPr="00C8321C">
        <w:rPr>
          <w:snapToGrid w:val="0"/>
          <w:szCs w:val="24"/>
        </w:rPr>
        <w:t xml:space="preserve"> </w:t>
      </w:r>
      <w:r w:rsidRPr="00C8321C">
        <w:t xml:space="preserve">dyrektorowi wykonawczemu Agencji Unii Europejskiej ds. Szkolenia w Dziedzinie Ścigania, Radzie, Komisji i Trybunałowi Obrachunkowemu oraz do zarządzenia jej publikacji w </w:t>
      </w:r>
      <w:r w:rsidRPr="00C8321C">
        <w:rPr>
          <w:i/>
        </w:rPr>
        <w:t>Dzienniku Urzędowym Unii Europejskiej</w:t>
      </w:r>
      <w:r w:rsidRPr="00C8321C">
        <w:t xml:space="preserve"> (seria L).</w:t>
      </w:r>
    </w:p>
    <w:p w:rsidR="00B53C2A" w:rsidRPr="00DF5E01" w:rsidRDefault="00B53C2A" w:rsidP="006C5A97">
      <w:pPr>
        <w:pStyle w:val="ATHeading3"/>
        <w:rPr>
          <w:lang w:val="pl-PL"/>
        </w:rPr>
      </w:pPr>
      <w:r w:rsidRPr="00DF5E01">
        <w:rPr>
          <w:lang w:val="pl-PL"/>
        </w:rPr>
        <w:br w:type="page"/>
      </w:r>
      <w:bookmarkStart w:id="8" w:name="_Toc511309730"/>
      <w:r w:rsidRPr="00DF5E01">
        <w:rPr>
          <w:lang w:val="pl-PL"/>
        </w:rPr>
        <w:lastRenderedPageBreak/>
        <w:t xml:space="preserve">3. </w:t>
      </w:r>
      <w:r w:rsidR="006C5A97" w:rsidRPr="00DF5E01">
        <w:rPr>
          <w:lang w:val="pl-PL"/>
        </w:rPr>
        <w:t>Rezolucja Parlamentu Europejskiego</w:t>
      </w:r>
      <w:bookmarkEnd w:id="8"/>
      <w:r w:rsidR="006C5A97" w:rsidRPr="00DF5E01">
        <w:rPr>
          <w:lang w:val="pl-PL"/>
        </w:rPr>
        <w:t xml:space="preserve"> </w:t>
      </w:r>
      <w:r w:rsidR="006C5A97" w:rsidRPr="00C8321C">
        <w:rPr>
          <w:noProof w:val="0"/>
          <w:lang w:val="pl-PL"/>
        </w:rPr>
        <w:t xml:space="preserve">z dnia </w:t>
      </w:r>
      <w:r w:rsidR="006C5A97">
        <w:rPr>
          <w:noProof w:val="0"/>
          <w:lang w:val="pl-PL"/>
        </w:rPr>
        <w:t>18 kwietnia</w:t>
      </w:r>
      <w:r w:rsidR="006C5A97" w:rsidRPr="00C8321C">
        <w:rPr>
          <w:noProof w:val="0"/>
          <w:lang w:val="pl-PL"/>
        </w:rPr>
        <w:t xml:space="preserve"> 2018 r. </w:t>
      </w:r>
      <w:r w:rsidR="006C5A97" w:rsidRPr="00DF5E01">
        <w:rPr>
          <w:lang w:val="pl-PL"/>
        </w:rPr>
        <w:t>zawierająca</w:t>
      </w:r>
      <w:r w:rsidRPr="00DF5E01">
        <w:rPr>
          <w:lang w:val="pl-PL"/>
        </w:rPr>
        <w:t xml:space="preserve"> uwagi stanowiące integralną część decyzji w sprawie absolutorium z wykonania budżetu Agencji Unii Europejskiej ds. Szkolenia w Dziedzinie Ścigania (przed 1 lipca 2016 r.: Europejskie Kolegium Policyjne) (CEPOL) za rok budżetowy 2016</w:t>
      </w:r>
      <w:r w:rsidR="006C5A97" w:rsidRPr="00DF5E01">
        <w:rPr>
          <w:lang w:val="pl-PL"/>
        </w:rPr>
        <w:t xml:space="preserve"> </w:t>
      </w:r>
      <w:r w:rsidRPr="00DF5E01">
        <w:rPr>
          <w:lang w:val="pl-PL"/>
        </w:rPr>
        <w:t>(2017/2163(DEC))</w:t>
      </w:r>
    </w:p>
    <w:p w:rsidR="00B53C2A" w:rsidRPr="00C8321C" w:rsidRDefault="00B53C2A" w:rsidP="00B53C2A">
      <w:pPr>
        <w:pStyle w:val="Normal12"/>
      </w:pPr>
      <w:r w:rsidRPr="00C8321C">
        <w:rPr>
          <w:i/>
        </w:rPr>
        <w:t>Parlament Europejski,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swoją decyzję w sprawie absolutorium z wykonania budżetu Agencji Unii Europejskiej ds. Szkolenia w Dziedzinie Ścigania za rok budżetowy 2016,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art. 94 Regulaminu i załącznik IV do Regulaminu,</w:t>
      </w:r>
    </w:p>
    <w:p w:rsidR="00B53C2A" w:rsidRPr="00C8321C" w:rsidRDefault="00B53C2A" w:rsidP="00B53C2A">
      <w:pPr>
        <w:pStyle w:val="Normal12Hanging"/>
      </w:pPr>
      <w:r w:rsidRPr="00C8321C">
        <w:t>–</w:t>
      </w:r>
      <w:r w:rsidRPr="00C8321C">
        <w:tab/>
        <w:t>uwzględniając sprawozdanie Komisji Kontroli Budżetowej oraz opinię Komisji Wolności Obywatelskich, Sprawiedliwości i Spraw Wewnętrznych (A8-0098/2018),</w:t>
      </w:r>
    </w:p>
    <w:p w:rsidR="00B53C2A" w:rsidRPr="00C8321C" w:rsidRDefault="00B53C2A" w:rsidP="00B53C2A">
      <w:pPr>
        <w:pStyle w:val="ListParagraph"/>
        <w:widowControl w:val="0"/>
        <w:spacing w:after="24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C8321C">
        <w:rPr>
          <w:rFonts w:ascii="Times New Roman" w:hAnsi="Times New Roman"/>
          <w:sz w:val="24"/>
          <w:szCs w:val="24"/>
        </w:rPr>
        <w:t>A.</w:t>
      </w:r>
      <w:r w:rsidRPr="00C8321C">
        <w:rPr>
          <w:rFonts w:ascii="Times New Roman" w:hAnsi="Times New Roman"/>
          <w:sz w:val="24"/>
          <w:szCs w:val="24"/>
        </w:rPr>
        <w:tab/>
        <w:t>mając na uwadze, że w ramach procedury udzielania absolutorium organ udzielający absolutorium podkreśla szczególne znaczenie dalszego wzmacniania legitymacji demokratycznej instytucji Unii poprzez zwiększanie przejrzystości i odpowiedzialności oraz wdrażanie koncepcji budżetowania celowego i właściwego zarządzania zasobami ludzkimi;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B.</w:t>
      </w:r>
      <w:r w:rsidRPr="00C8321C">
        <w:tab/>
        <w:t>mając na uwadze, że zgodnie z zestawieniem dochodów i wydatków</w:t>
      </w:r>
      <w:r w:rsidRPr="00C8321C">
        <w:rPr>
          <w:rStyle w:val="FootnoteReference"/>
        </w:rPr>
        <w:footnoteReference w:id="13"/>
      </w:r>
      <w:r w:rsidRPr="00C8321C">
        <w:t xml:space="preserve"> ostateczny budżet Europejskiego Kolegium Policyjnego (zwanego dalej „Kolegium”) na rok budżetowy 2016 wyniósł 10 291 700 EUR, co stanowi wzrost o 17,34 % w porównaniu z 2015 r. ze względu na podpisanie umowy z Komisją o udzielenie dotacji w sprawie partnerstwa szkoleniowego UE-MENA na rzecz zwalczania terroryzmu; mając na uwadze, że cały budżet Kolegium pochodzi z budżetu Unii;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C.</w:t>
      </w:r>
      <w:r w:rsidRPr="00C8321C">
        <w:tab/>
        <w:t>mając na uwadze, że w swoim sprawozdaniu dotyczącym rocznego sprawozdania finansowego Kolegium za rok budżetowy 2016 (</w:t>
      </w:r>
      <w:r w:rsidR="00BD4925">
        <w:t>zwan</w:t>
      </w:r>
      <w:r w:rsidR="002B3135">
        <w:t>ym</w:t>
      </w:r>
      <w:r w:rsidR="00BD4925">
        <w:t xml:space="preserve"> dalej </w:t>
      </w:r>
      <w:r w:rsidRPr="00C8321C">
        <w:t>„sprawozdanie</w:t>
      </w:r>
      <w:r w:rsidR="00BD4925">
        <w:t>m</w:t>
      </w:r>
      <w:r w:rsidRPr="00C8321C">
        <w:t xml:space="preserve"> Trybunału”) Trybunał Obrachunkowy </w:t>
      </w:r>
      <w:r w:rsidR="00BD4925">
        <w:t xml:space="preserve">(zwany dalej „Trybunałem”) </w:t>
      </w:r>
      <w:r w:rsidRPr="00C8321C">
        <w:t>stwierdził, iż uzyskał wystarczającą pewność, że roczne sprawozdanie finansowe Kolegium jest wiarygodne oraz że transakcje leżące u jego podstaw są legalne i prawidłowe;</w:t>
      </w:r>
    </w:p>
    <w:p w:rsidR="00B53C2A" w:rsidRPr="00C8321C" w:rsidRDefault="00B53C2A" w:rsidP="00B53C2A">
      <w:pPr>
        <w:spacing w:after="240"/>
        <w:ind w:left="567" w:hanging="567"/>
        <w:rPr>
          <w:b/>
          <w:i/>
        </w:rPr>
      </w:pPr>
      <w:r w:rsidRPr="00C8321C">
        <w:rPr>
          <w:b/>
          <w:i/>
        </w:rPr>
        <w:t>Zarządzanie budżetem i finansami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1.</w:t>
      </w:r>
      <w:r w:rsidRPr="00C8321C">
        <w:tab/>
        <w:t>zauważa, że wysiłki związane z monitorowaniem budżetu w ciągu roku budżetowego 2016 doprowadziły do osiągnięcia wskaźnika wykonania budżetu w wysokości 95,95 %, co oznacza wzrost o 0,44 % w porównaniu z rokiem 2015; odnotowuje, że wskaźnik wykonania w odniesieniu do środków na płatności wyniósł 78,85 %, co oznacza nieznaczny spadek o 0,15 % w porównaniu z rokiem 2015;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2.</w:t>
      </w:r>
      <w:r w:rsidRPr="00C8321C">
        <w:tab/>
        <w:t>zwraca uwagę, że po podpisaniu z Komisją w 2005 r. umowy o udzielenie dotacji w sprawie partnerstwa szkoleniowego UE-MENA na rzecz zwalczania terroryzmu uzgodniono budżet w wysokości 2 490 504 EUR, z czego na zobowiązania i płatności udostępniono drugą transzę w wysokości 1 243 891 EUR; zauważa ponadto, że na zobowiązania rozdysponowano 89 % dostępnych środków, a na płatności 48 % dostępnych środków; wzywa Kolegium do poinformowania organu udzielającego absolutorium o zewnętrznej ocenie tego partnerstwa za pośrednictwem rocznego sprawozdania z działalności za rok 2017;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lastRenderedPageBreak/>
        <w:t>3.</w:t>
      </w:r>
      <w:r w:rsidRPr="00C8321C">
        <w:tab/>
        <w:t>przyjmuje do wiadomości, że na koniec roku Kolegium spłaciło 91 % wszystkich zobowiązań finansowych w terminie, przekraczając cel wynoszący 85 % wszystkich płatności uiszczonych w prawnie określonych ramach; zauważa, że dostawcy nie naliczyli żadnych odsetek za opóźnienia w płatnościach;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4.</w:t>
      </w:r>
      <w:r w:rsidRPr="00C8321C">
        <w:tab/>
        <w:t>zwraca uwagę na fakt, że część pracowników wniosła roszczenie przeciwko Kolegium, kwestionując warunki, w których nastąpiło przeniesienie, oraz jego wpływ finansowy na ich dochody; zauważa, że z niektórymi pracownikami zawarto ugodę, a w latach 2015 i 2016 dokonano w tym celu odpowiednich płatności; zauważa ponadto, że niektórzy pracownicy odwołali się do sądu, który ma wydać orzeczenie w 2018 r.; wzywa Kolegium do poinformowania organu udzielającego absolutorium o wyniku tego odwołania;</w:t>
      </w:r>
    </w:p>
    <w:p w:rsidR="00B53C2A" w:rsidRPr="00C8321C" w:rsidRDefault="00B53C2A" w:rsidP="00B53C2A">
      <w:pPr>
        <w:spacing w:after="240"/>
        <w:ind w:left="567" w:hanging="567"/>
        <w:rPr>
          <w:b/>
          <w:i/>
        </w:rPr>
      </w:pPr>
      <w:r w:rsidRPr="00C8321C">
        <w:rPr>
          <w:b/>
          <w:i/>
        </w:rPr>
        <w:t>Zobowiązania i przeniesienia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5.</w:t>
      </w:r>
      <w:r w:rsidRPr="00C8321C">
        <w:tab/>
        <w:t>zauważa, że na 2017 r. przeniesiono całkowitą kwotę 1 477 288 EUR, co stanowi 17 % ogólnego budżetu na 2016 r.; na podstawie sprawozdania Trybunału zauważa, że poziom przeniesień środków, na które zaciągnięto zobowiązania, był wysoki w tytule II (wydatki na działania wspierające) i wyniósł 140 055 EUR, tj. 30 % (w porównaniu do 212 456 EUR, tj. 49 % w 2015 r.); stwierdza, że przeniesienia te były związane głównie z usługami doradczymi w dziedzinie IT oraz z towarami i usługami informatycznymi zamówionymi pod koniec roku;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6.</w:t>
      </w:r>
      <w:r w:rsidRPr="00C8321C">
        <w:tab/>
        <w:t>zauważa, że przeniesienia często mogą być w części lub całkowicie uzasadnione wieloletnim charakterem programów operacyjnych agencji, niekoniecznie oznaczają niedociągnięcia w planowaniu i wykonaniu budżetu oraz nie zawsze są sprzeczne z zasadą jednoroczności budżetu, zwłaszcza jeśli są planowane z wyprzedzeniem i przedstawiane Trybunałowi;</w:t>
      </w:r>
    </w:p>
    <w:p w:rsidR="00B53C2A" w:rsidRPr="00C8321C" w:rsidRDefault="00B53C2A" w:rsidP="00B53C2A">
      <w:pPr>
        <w:pStyle w:val="ListParagraph"/>
        <w:widowControl w:val="0"/>
        <w:spacing w:after="240" w:line="240" w:lineRule="auto"/>
        <w:ind w:left="567" w:hanging="567"/>
        <w:rPr>
          <w:rFonts w:ascii="Times New Roman" w:eastAsia="Times New Roman" w:hAnsi="Times New Roman"/>
          <w:sz w:val="24"/>
          <w:szCs w:val="20"/>
        </w:rPr>
      </w:pPr>
      <w:r w:rsidRPr="00C8321C">
        <w:rPr>
          <w:rFonts w:ascii="Times New Roman" w:hAnsi="Times New Roman"/>
          <w:sz w:val="24"/>
          <w:szCs w:val="20"/>
        </w:rPr>
        <w:t>7.</w:t>
      </w:r>
      <w:r w:rsidRPr="00C8321C">
        <w:rPr>
          <w:rFonts w:ascii="Times New Roman" w:hAnsi="Times New Roman"/>
          <w:sz w:val="24"/>
          <w:szCs w:val="20"/>
        </w:rPr>
        <w:tab/>
        <w:t>odnotowuje, że pod koniec grudnia 2016 r. łączny wskaźnik wykonania budżetu na 2015 r., w tym środków przeniesionych z lat 2015–2016, wyniósł 93 %;</w:t>
      </w:r>
    </w:p>
    <w:p w:rsidR="00B53C2A" w:rsidRPr="00C8321C" w:rsidRDefault="00B53C2A" w:rsidP="00B53C2A">
      <w:pPr>
        <w:spacing w:after="240"/>
        <w:ind w:left="567" w:hanging="567"/>
        <w:rPr>
          <w:b/>
          <w:i/>
        </w:rPr>
      </w:pPr>
      <w:r w:rsidRPr="00C8321C">
        <w:rPr>
          <w:b/>
          <w:i/>
        </w:rPr>
        <w:t>Przesunięcia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8.</w:t>
      </w:r>
      <w:r w:rsidRPr="00C8321C">
        <w:tab/>
        <w:t>zauważa, że Kolegium dokonało dziewięciu przesunięć budżetowych w odniesieniu do standardowych środków operacyjnych i administracyjnych oraz dwóch przesunięć z upoważnienia dyrektora wykonawczego przy zastosowaniu klauzuli elastyczności zgodnie z art. 27 ust. 1 lit. a) rozporządzenia finansowego Kolegium;</w:t>
      </w:r>
    </w:p>
    <w:p w:rsidR="00B53C2A" w:rsidRPr="00C8321C" w:rsidRDefault="00B53C2A" w:rsidP="00B53C2A">
      <w:pPr>
        <w:pStyle w:val="Normal12Hanging"/>
        <w:rPr>
          <w:b/>
          <w:i/>
        </w:rPr>
      </w:pPr>
      <w:r w:rsidRPr="00C8321C">
        <w:rPr>
          <w:b/>
          <w:i/>
        </w:rPr>
        <w:t>Polityka kadrowa</w:t>
      </w:r>
    </w:p>
    <w:p w:rsidR="00B53C2A" w:rsidRPr="00C8321C" w:rsidRDefault="00B53C2A" w:rsidP="00B53C2A">
      <w:pPr>
        <w:pStyle w:val="Normal12Hanging"/>
      </w:pPr>
      <w:r w:rsidRPr="00C8321C">
        <w:t>9.</w:t>
      </w:r>
      <w:r w:rsidRPr="00C8321C">
        <w:tab/>
        <w:t>zauważa na podstawie planu zatrudnienia, że na dzień 31 grudnia 2016 r. obsadzonych było 25 stanowisk (z 28 stanowisk zatwierdzonych w ramach budżetu Unii) w porównaniu do 26 w 2015 r.;</w:t>
      </w:r>
    </w:p>
    <w:p w:rsidR="00B53C2A" w:rsidRPr="00C8321C" w:rsidRDefault="00B53C2A" w:rsidP="00B53C2A">
      <w:pPr>
        <w:pStyle w:val="Normal12Hanging"/>
      </w:pPr>
      <w:r w:rsidRPr="00C8321C">
        <w:t>10.</w:t>
      </w:r>
      <w:r w:rsidRPr="00C8321C">
        <w:tab/>
        <w:t>z zadowoleniem przyjmuje równowagę wśród stanowisk obsadzonych w 2016 r., ponieważ stosunek mężczyzn do kobiet wynosi 50 % do 50 %; zauważa jednak, że wskaźnik równowagi płci w zarządzie wynosi 69 % do 31 %;</w:t>
      </w:r>
    </w:p>
    <w:p w:rsidR="00B53C2A" w:rsidRPr="00C8321C" w:rsidRDefault="00B53C2A" w:rsidP="00B53C2A">
      <w:pPr>
        <w:pStyle w:val="Normal12Hanging"/>
      </w:pPr>
      <w:r w:rsidRPr="00C8321C">
        <w:t>11.</w:t>
      </w:r>
      <w:r w:rsidRPr="00C8321C">
        <w:tab/>
        <w:t xml:space="preserve">zauważa, że po przeniesieniu Kolegium ze Zjednoczonego Królestwa na Węgry wzrosła liczba rezygnacji pracowników z powodu znacznie niższego współczynnika korygującego stosowanego do wynagrodzeń pracowników w nowej siedzibie; zauważa, </w:t>
      </w:r>
      <w:r w:rsidRPr="00C8321C">
        <w:lastRenderedPageBreak/>
        <w:t>że wdrożono szereg działań zaradczych; zauważa jednak, że niskie zaszeregowanie w połączeniu z niskim współczynnikiem korygującym nie zachęca obcokrajowców (zwłaszcza z Europy Zachodniej i Północnej) do przeprowadzki na Węgry, a w rezultacie wśród personelu brak jest równowagi geograficznej; zauważa w związku z tym, że w 2016 r. 30 % wszystkich pracowników Kolegium stanowili Węgrzy, co stanowi nieproporcjonalnie duży odsetek; na podstawie sprawozdania Trybunału zauważa z niepokojem, że duża rotacja personelu może mieć wpływ na ciągłość działania i zdolność Kolegium do wdrażania działań przewidzianych w programie prac, i wskazuje na konieczność rozwiązania tego problemu; ponadto zauważa, że równowaga geograficzna wśród personelu ma wpływ na jego koszty, co doprowadziło do podjęcia decyzji o przeniesieniu niewykorzystanych środków z tytułu 1 do tytułu 3, umożliwiając wdrożenie dodatkowych działań operacyjnych;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12.</w:t>
      </w:r>
      <w:r w:rsidRPr="00C8321C">
        <w:tab/>
        <w:t>zauważa, że w 2016 r. pracownicy Kolegium przebywali na zwolnieniu chorobowym średnio 4,3 dnia; zauważa z pewnym zaniepokojeniem, że w 2016 r. pracownicy nie spędzili nawet jednego dnia na działaniach na rzecz dobrostanu pracowników, a jedyne takie wydarzenie zorganizowano po godzinach pracy; zauważa jednak, że w odpowiedziach dla organu udzielającego absolutorium Kolegium zaznaczyło, że na działania na rzecz dobrostanu pracowników wydano 3 900 EUR; wzywa Kolegium do dalszego wyjaśnienia, w jaki sposób wydano tę kwotę;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13.</w:t>
      </w:r>
      <w:r w:rsidRPr="00C8321C">
        <w:tab/>
        <w:t>z satysfakcją odnotowuje, że Kolegium stworzyło sieć zaufanych doradców, zorganizowało dla nich szkolenia, a także zaproponowało pracownikom szkolenia w zakresie zapobiegania nękaniu; z zadowoleniem odnotowuje, że w 2016 r. nie zgłoszono żadnego przypadku nękania;</w:t>
      </w:r>
    </w:p>
    <w:p w:rsidR="00B53C2A" w:rsidRPr="00C8321C" w:rsidRDefault="00B53C2A" w:rsidP="00B53C2A">
      <w:pPr>
        <w:pStyle w:val="Normal12Hanging"/>
      </w:pPr>
      <w:r w:rsidRPr="00C8321C">
        <w:t>14.</w:t>
      </w:r>
      <w:r w:rsidRPr="00C8321C">
        <w:tab/>
        <w:t>wyraża potrzebę powołania niezależnego organu referencyjnego ds. ujawniania i doradztwa, dysponującego odpowiednimi zasobami budżetowymi, aby pomóc sygnalistom wykorzystywać odpowiednie kanały ujawniania informacji o możliwych nieprawidłowościach naruszających interesy finansowe Unii, przy jednoczesnym zachowaniu poufności oraz oferowaniu koniecznego wsparcia i porady;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15.</w:t>
      </w:r>
      <w:r w:rsidRPr="00C8321C">
        <w:tab/>
        <w:t>zauważa, że Kolegium nie korzysta z pojazdów służbowych;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rPr>
          <w:b/>
          <w:i/>
        </w:rPr>
        <w:t xml:space="preserve">Zapobieganie konfliktom interesów i zarządzanie nimi, przejrzystość i demokracja </w:t>
      </w:r>
    </w:p>
    <w:p w:rsidR="00B53C2A" w:rsidRPr="00C8321C" w:rsidRDefault="00B53C2A" w:rsidP="00B53C2A">
      <w:pPr>
        <w:pStyle w:val="ListParagraph"/>
        <w:widowControl w:val="0"/>
        <w:spacing w:after="240" w:line="240" w:lineRule="auto"/>
        <w:ind w:left="567" w:hanging="567"/>
        <w:rPr>
          <w:rFonts w:ascii="Times New Roman" w:eastAsia="Times New Roman" w:hAnsi="Times New Roman"/>
          <w:sz w:val="24"/>
          <w:szCs w:val="20"/>
        </w:rPr>
      </w:pPr>
      <w:r w:rsidRPr="00C8321C">
        <w:rPr>
          <w:rFonts w:ascii="Times New Roman" w:hAnsi="Times New Roman"/>
          <w:sz w:val="24"/>
          <w:szCs w:val="20"/>
        </w:rPr>
        <w:t>16.</w:t>
      </w:r>
      <w:r w:rsidRPr="00C8321C">
        <w:rPr>
          <w:rFonts w:ascii="Times New Roman" w:hAnsi="Times New Roman"/>
          <w:sz w:val="24"/>
          <w:szCs w:val="20"/>
        </w:rPr>
        <w:tab/>
        <w:t>przyznaje, że deklaracje interesów kadry kierowniczej wyższego szczebla i członków zarządu zostały opublikowane na stronie internetowej Kolegium; na podstawie informacji uzyskanych od Kolegium stwierdza, że jego pracownicy i inne osoby bezpośrednio z nim współpracujące poproszono o wypełnienie deklaracji interesów;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17.</w:t>
      </w:r>
      <w:r w:rsidRPr="00C8321C">
        <w:tab/>
        <w:t>zauważa, że jeśli chodzi o wynagradzanych ekspertów zewnętrznych, Kolegium publikuje na swojej stronie internetowej – w ramach rocznej listy wykonawców – umowy z ekspertami zawierane przez Kolegium; zauważa jednak, że na stronie internetowej nie są publikowane deklaracje dotyczące konfliktu interesów i poufności odnoszące się do wynagradzanych ekspertów; przyjmuje do wiadomości, że Kolegium dokona przeglądu swoich ustaleń dotyczących publikacji takich deklaracji; wzywa Kolegium do poinformowania organu udzielającego absolutorium o podjętych środkach;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18.</w:t>
      </w:r>
      <w:r w:rsidRPr="00C8321C">
        <w:tab/>
        <w:t xml:space="preserve">odnotowuje, że Kolegium nie publikuje protokołów z posiedzeń zarządu; wzywa </w:t>
      </w:r>
      <w:r w:rsidRPr="00C8321C">
        <w:lastRenderedPageBreak/>
        <w:t>Kolegium do publikowania takich protokołów na jego stronie internetowej;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19.</w:t>
      </w:r>
      <w:r w:rsidRPr="00C8321C">
        <w:tab/>
        <w:t>odnotowuje, że w 2016 r. do Kolegium wpłynął jeden wniosek o dostęp do dokumentów, w odpowiedzi na który Kolegium przyznało pełny dostęp do żądanych dokumentów;</w:t>
      </w:r>
    </w:p>
    <w:p w:rsidR="00B53C2A" w:rsidRPr="00C8321C" w:rsidRDefault="00B53C2A" w:rsidP="00B53C2A">
      <w:pPr>
        <w:pStyle w:val="Normal12Hanging"/>
        <w:rPr>
          <w:b/>
          <w:i/>
          <w:szCs w:val="24"/>
        </w:rPr>
      </w:pPr>
      <w:r w:rsidRPr="00C8321C">
        <w:rPr>
          <w:b/>
          <w:i/>
        </w:rPr>
        <w:t>Główne osiągnięcia</w:t>
      </w:r>
      <w:r w:rsidRPr="00C8321C">
        <w:rPr>
          <w:b/>
          <w:i/>
          <w:szCs w:val="24"/>
        </w:rPr>
        <w:t xml:space="preserve"> </w:t>
      </w:r>
    </w:p>
    <w:p w:rsidR="00B53C2A" w:rsidRPr="00C8321C" w:rsidRDefault="00B53C2A" w:rsidP="00B53C2A">
      <w:pPr>
        <w:pStyle w:val="Normal12Hanging"/>
        <w:rPr>
          <w:szCs w:val="24"/>
        </w:rPr>
      </w:pPr>
      <w:r w:rsidRPr="00C8321C">
        <w:t>20.</w:t>
      </w:r>
      <w:r w:rsidRPr="00C8321C">
        <w:tab/>
        <w:t>z zadowoleniem przyjmuje trzy główne osiągnięcia wskazane przez Kolegium w 2016 r., a mianowicie:</w:t>
      </w:r>
    </w:p>
    <w:p w:rsidR="00B53C2A" w:rsidRPr="00C8321C" w:rsidRDefault="00B53C2A" w:rsidP="00B53C2A">
      <w:pPr>
        <w:pStyle w:val="Normal12Hanging"/>
        <w:ind w:left="1134"/>
        <w:rPr>
          <w:szCs w:val="24"/>
        </w:rPr>
      </w:pPr>
      <w:r w:rsidRPr="00C8321C">
        <w:t>–</w:t>
      </w:r>
      <w:r w:rsidRPr="00C8321C">
        <w:tab/>
        <w:t>otrzymanie certyfikatu ISO 9001 dla dwóch podstawowych obszarów działalności: działań stacjon</w:t>
      </w:r>
      <w:r w:rsidR="00BD4925">
        <w:t>arnych i programu wymiany CEPOL,</w:t>
      </w:r>
    </w:p>
    <w:p w:rsidR="00B53C2A" w:rsidRPr="00C8321C" w:rsidRDefault="00B53C2A" w:rsidP="00B53C2A">
      <w:pPr>
        <w:pStyle w:val="Normal12Hanging"/>
        <w:ind w:left="1134"/>
        <w:rPr>
          <w:szCs w:val="24"/>
        </w:rPr>
      </w:pPr>
      <w:r w:rsidRPr="00C8321C">
        <w:t>–</w:t>
      </w:r>
      <w:r w:rsidRPr="00C8321C">
        <w:tab/>
        <w:t>zakończenie niezbędnych przygotowań do wdrożenia nowego mandatu, który wszedł</w:t>
      </w:r>
      <w:r w:rsidR="00BD4925">
        <w:t xml:space="preserve"> w życie w dniu 1 lipca 2016 r.,</w:t>
      </w:r>
    </w:p>
    <w:p w:rsidR="00B53C2A" w:rsidRPr="00C8321C" w:rsidRDefault="00B53C2A" w:rsidP="00B53C2A">
      <w:pPr>
        <w:pStyle w:val="Normal12Hanging"/>
        <w:ind w:left="1134"/>
      </w:pPr>
      <w:r w:rsidRPr="00C8321C">
        <w:t>–</w:t>
      </w:r>
      <w:r w:rsidRPr="00C8321C">
        <w:tab/>
        <w:t>udana realizacja projektu partnerstwa szkoleniowego UE-MENA na rzecz zwalczania terroryzmu;</w:t>
      </w:r>
    </w:p>
    <w:p w:rsidR="00B53C2A" w:rsidRPr="00C8321C" w:rsidRDefault="00B53C2A" w:rsidP="00B53C2A">
      <w:pPr>
        <w:spacing w:after="240"/>
        <w:ind w:left="567" w:hanging="567"/>
        <w:rPr>
          <w:b/>
          <w:i/>
        </w:rPr>
      </w:pPr>
      <w:r w:rsidRPr="00C8321C">
        <w:rPr>
          <w:b/>
          <w:i/>
        </w:rPr>
        <w:t>Strategia zwalczania nadużyć finansowych</w:t>
      </w:r>
    </w:p>
    <w:p w:rsidR="00B53C2A" w:rsidRPr="00C8321C" w:rsidRDefault="00B53C2A" w:rsidP="00B53C2A">
      <w:pPr>
        <w:pStyle w:val="ListParagraph"/>
        <w:widowControl w:val="0"/>
        <w:spacing w:after="240" w:line="24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0"/>
        </w:rPr>
      </w:pPr>
      <w:r w:rsidRPr="00C8321C">
        <w:rPr>
          <w:rFonts w:ascii="Times New Roman" w:hAnsi="Times New Roman"/>
          <w:sz w:val="24"/>
          <w:szCs w:val="20"/>
        </w:rPr>
        <w:t>21.</w:t>
      </w:r>
      <w:r w:rsidRPr="00C8321C">
        <w:rPr>
          <w:rFonts w:ascii="Times New Roman" w:hAnsi="Times New Roman"/>
          <w:sz w:val="24"/>
          <w:szCs w:val="20"/>
        </w:rPr>
        <w:tab/>
        <w:t>z satysfakcją odnotowuje, że opracowana przez Kolegium strategia zwalczania nadużyć finansowych zawiera przepisy dotyczące zgłaszania nadużyć finansowych i ochrony demaskatorów;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22.</w:t>
      </w:r>
      <w:r w:rsidRPr="00C8321C">
        <w:tab/>
        <w:t>odnotowuje, że zarząd planuje przyjąć zmienioną strategię zwalczania nadużyć finansowych w listopadzie 2017 r.; wzywa Kolegium, aby poinformowało organ udzielający absolutorium o rewizji tej strategii;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rPr>
          <w:b/>
          <w:i/>
        </w:rPr>
        <w:t>Audyt wewnętrzny</w:t>
      </w:r>
    </w:p>
    <w:p w:rsidR="00B53C2A" w:rsidRPr="00C8321C" w:rsidRDefault="00B53C2A" w:rsidP="00B53C2A">
      <w:pPr>
        <w:pStyle w:val="Normal12Hanging"/>
      </w:pPr>
      <w:r w:rsidRPr="00C8321C">
        <w:t>23.</w:t>
      </w:r>
      <w:r w:rsidRPr="00C8321C">
        <w:tab/>
        <w:t>odnotowuje, że w listopadzie i grudniu 2016 r. Służba Audytu Wewnętrznego przeprowadziła kontrolę w Kolegium dotyczącą oceny, planowania i budżetowania potrzeb szkoleniowych, koncentrując się na podstawowych obszarach jego działalności; zauważa ponadto, że w projekcie sprawozdania z audytu z marca 2017 r. stwierdzono, że chociaż kontrola nie wykazała żadnych krytycznych ani bardzo ważnych problemów, Służba Audytu Wewnętrznego dostrzega możliwości poprawy wykorzystania matrycy szkoleniowej w dziedzinie wymiaru sprawiedliwości i spraw wewnętrznych, tak aby uniknąć nakładania się szkoleń organizowanych przez inne agencje ds. wymiaru sprawiedliwości i spraw wewnętrznych; uważa, że należy jak najszybciej rozwiązać tę kwestię;</w:t>
      </w:r>
    </w:p>
    <w:p w:rsidR="00B53C2A" w:rsidRPr="00C8321C" w:rsidRDefault="00B53C2A" w:rsidP="00B53C2A">
      <w:pPr>
        <w:pStyle w:val="ListParagraph"/>
        <w:widowControl w:val="0"/>
        <w:spacing w:after="240" w:line="240" w:lineRule="auto"/>
        <w:ind w:left="567" w:hanging="567"/>
        <w:rPr>
          <w:rFonts w:ascii="Times New Roman" w:eastAsia="Times New Roman" w:hAnsi="Times New Roman"/>
          <w:b/>
          <w:i/>
          <w:sz w:val="24"/>
          <w:szCs w:val="20"/>
        </w:rPr>
      </w:pPr>
      <w:r w:rsidRPr="00C8321C">
        <w:rPr>
          <w:rFonts w:ascii="Times New Roman" w:hAnsi="Times New Roman"/>
          <w:b/>
          <w:i/>
          <w:sz w:val="24"/>
          <w:szCs w:val="20"/>
        </w:rPr>
        <w:t>Wyniki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24.</w:t>
      </w:r>
      <w:r w:rsidRPr="00C8321C">
        <w:tab/>
        <w:t>zauważa, że w 2016 r. zestaw szkoleń Kolegium objął 174 działania szkoleniowe, w tym 87 działań stacjonarnych i 87 seminariów internetowych, 492 wymiany w ramach europejskiego programu wymiany policyjnej, 27 modułów internetowych i jeden kurs internetowy; z zadowoleniem zauważa, że szósty rok z rzędu zwiększył się zakres współpracy zewnętrznej Kolegium, czego skutkiem było przeszkolenie przez Kolegium 18 009 pracowników organów ścigania w 2016 r. w porównaniu z 12 992 w 2015 r., co stanowi wzrost o ponad 38 %;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lastRenderedPageBreak/>
        <w:t>25.</w:t>
      </w:r>
      <w:r w:rsidRPr="00C8321C">
        <w:tab/>
        <w:t>zauważa, że Kolegium posiada kompleksowy system oceny w celu zagwarantowania jakości swojego zestawu szkoleń; zauważa ponadto, że ocena kursów ma na celu ocenę skuteczności szkoleń, a także pomiar poziomu zadowolenia uczestników; zauważa, że ogólny poziom zadowolenia pozostawał wysoki, ponieważ 95 % uczestników stwierdziło, że są bardzo zadowoleni lub zadowoleni z działań Kolegium;</w:t>
      </w:r>
    </w:p>
    <w:p w:rsidR="00B53C2A" w:rsidRPr="00C8321C" w:rsidRDefault="00B53C2A" w:rsidP="00B53C2A">
      <w:pPr>
        <w:pStyle w:val="Normal12Hanging"/>
      </w:pPr>
      <w:r w:rsidRPr="00C8321C">
        <w:t>26.</w:t>
      </w:r>
      <w:r w:rsidRPr="00C8321C">
        <w:tab/>
        <w:t>zwraca uwagę, że Kolegium faktycznie oferuje produkty i usługi przewidziane w jego programie prac na rok 2016;</w:t>
      </w:r>
    </w:p>
    <w:p w:rsidR="00B53C2A" w:rsidRPr="00C8321C" w:rsidRDefault="00B53C2A" w:rsidP="00B53C2A">
      <w:pPr>
        <w:spacing w:after="240"/>
        <w:ind w:left="567" w:hanging="567"/>
        <w:rPr>
          <w:b/>
          <w:i/>
        </w:rPr>
      </w:pPr>
      <w:r w:rsidRPr="00C8321C">
        <w:rPr>
          <w:b/>
          <w:i/>
        </w:rPr>
        <w:t>Inne uwagi</w:t>
      </w:r>
    </w:p>
    <w:p w:rsidR="00B53C2A" w:rsidRPr="00C8321C" w:rsidRDefault="00B53C2A" w:rsidP="00B53C2A">
      <w:pPr>
        <w:spacing w:after="240"/>
        <w:ind w:left="567" w:hanging="567"/>
      </w:pPr>
      <w:r w:rsidRPr="00C8321C">
        <w:t>27.</w:t>
      </w:r>
      <w:r w:rsidRPr="00C8321C">
        <w:tab/>
        <w:t>zauważa, że w styczniu 2016 r. zewnętrzny podmiot oceniający zakończył pięcioletnią ocenę zewnętrzną Kolegium (2011–2015); zauważa z zadowoleniem, że zewnętrzny podmiot oceniający uznał Kolegium za skuteczne oraz że jego wniosek jest poparty dowodem w postaci większej liczby działań zrealizowanych przez Kolegium na przestrzeni okresu oceny, przy stosunkowo stałej liczbie zasobów pozostających do dyspozycji Kolegium w tym samym okresie; zauważa jednak, że sprawozdanie z pięcioletniej oceny Kolegium zawierało 17 zaleceń; zauważa, że opracowano plan działań w celu wprowadzenia tych zaleceń oraz określono 31 działań, które mają być realizowane od połowy 2016 r. do końca 2018 r.; jest zaniepokojony, że pięcioletnia ocena wyraźnie wskazuje na potrzebę znacznego wzmocnienia Kolegium zasobami ludzkimi i finansowymi;</w:t>
      </w:r>
    </w:p>
    <w:p w:rsidR="00B53C2A" w:rsidRPr="00C8321C" w:rsidRDefault="00B53C2A" w:rsidP="00B53C2A">
      <w:pPr>
        <w:pStyle w:val="ListParagraph"/>
        <w:widowControl w:val="0"/>
        <w:tabs>
          <w:tab w:val="left" w:pos="567"/>
        </w:tabs>
        <w:spacing w:after="240" w:line="24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0"/>
        </w:rPr>
      </w:pPr>
      <w:r w:rsidRPr="00C8321C">
        <w:rPr>
          <w:rFonts w:ascii="Times New Roman" w:hAnsi="Times New Roman"/>
          <w:sz w:val="24"/>
          <w:szCs w:val="20"/>
        </w:rPr>
        <w:t>28.</w:t>
      </w:r>
      <w:r w:rsidRPr="00C8321C">
        <w:rPr>
          <w:rFonts w:ascii="Times New Roman" w:hAnsi="Times New Roman"/>
          <w:sz w:val="24"/>
          <w:szCs w:val="20"/>
        </w:rPr>
        <w:tab/>
        <w:t>z satysfakcją odnotowuje, że z myślą o oszczędności energii Kolegium wyposażyło oświetlenie na korytarzach w czujniki ruchu, nie zgadza się jednak z Kolegium, że kiedy w 2016 r. władze węgierskie udostępniły mu pomieszczenia, nie były one zaangażowane w utrzymanie budynku i nie miały bezpośrednich możliwości wdrożenia opłacalnych lub ekologicznych środków;</w:t>
      </w:r>
    </w:p>
    <w:p w:rsidR="00B53C2A" w:rsidRPr="00C8321C" w:rsidRDefault="00B53C2A" w:rsidP="00B53C2A">
      <w:pPr>
        <w:pStyle w:val="Normal12Hanging"/>
      </w:pPr>
      <w:r w:rsidRPr="00C8321C">
        <w:t>29.</w:t>
      </w:r>
      <w:r w:rsidRPr="00C8321C">
        <w:tab/>
        <w:t xml:space="preserve">na podstawie odpowiedzi Kolegium zauważa z niepokojem – zważywszy na coraz krótszy horyzont czasowy – że obecnie Kolegium nie dysponuje wystarczającymi informacjami, by móc rzetelnie przygotować się do kontynuowania działalności po </w:t>
      </w:r>
      <w:proofErr w:type="spellStart"/>
      <w:r w:rsidRPr="00C8321C">
        <w:t>brexicie</w:t>
      </w:r>
      <w:proofErr w:type="spellEnd"/>
      <w:r w:rsidRPr="00C8321C">
        <w:t xml:space="preserve">; zauważa, że </w:t>
      </w:r>
      <w:proofErr w:type="spellStart"/>
      <w:r w:rsidRPr="00C8321C">
        <w:t>brexit</w:t>
      </w:r>
      <w:proofErr w:type="spellEnd"/>
      <w:r w:rsidRPr="00C8321C">
        <w:t xml:space="preserve"> spowoduje ograniczenie dostępu Kolegium do wiedzy fachowej Zjednoczonego Królestwa w dziedzinie egzekwowania prawa oraz zdolności do organizowania szkoleń z udziałem brytyjskich urzędników; zauważa, że kwestie te mogą mieć negatywny wpływ na rozwój wspólnych praktyk, wymianę informacji, a w ostatecznym rozrachunku także na współpracę transgraniczną w dziedzinie zwalczania i zapobiegania przestępczości;  zaleca, by zastosować środki pozwalające co najmniej na utrzymanie obecnego poziomu współpracy; wzywa Komisję i Kolegium do informowania organu udzielającego absolutorium o zarządzaniu ryzykiem dotyczącym </w:t>
      </w:r>
      <w:proofErr w:type="spellStart"/>
      <w:r w:rsidRPr="00C8321C">
        <w:t>brexitu</w:t>
      </w:r>
      <w:proofErr w:type="spellEnd"/>
      <w:r w:rsidRPr="00C8321C">
        <w:t>;</w:t>
      </w:r>
    </w:p>
    <w:p w:rsidR="00B53C2A" w:rsidRPr="00C8321C" w:rsidRDefault="00B53C2A" w:rsidP="00B53C2A">
      <w:pPr>
        <w:pStyle w:val="Normal12Hanging"/>
      </w:pPr>
      <w:r w:rsidRPr="00C8321C">
        <w:t>30.</w:t>
      </w:r>
      <w:r w:rsidRPr="00C8321C">
        <w:tab/>
        <w:t>zauważa, że rok 2016 był pierwszym pełnym rokiem realizacji projektu partnerstwa szkoleniowego UE-MENA na rzecz zwalczania terroryzmu; wyraża zadowolenie, że projekt ten jest uznawany za sztandarowy projekt współpracy Unii z krajami regionu MENA w zakresie walki z terroryzmem;</w:t>
      </w:r>
    </w:p>
    <w:p w:rsidR="00B53C2A" w:rsidRPr="00C8321C" w:rsidRDefault="00B53C2A" w:rsidP="00B53C2A">
      <w:pPr>
        <w:pStyle w:val="Normal12Hanging"/>
      </w:pPr>
      <w:r w:rsidRPr="00C8321C">
        <w:t>31.</w:t>
      </w:r>
      <w:r w:rsidRPr="00C8321C">
        <w:tab/>
        <w:t xml:space="preserve">apeluje do Kolegium o niezwłoczną realizację celów zakładających poprawę widoczności online oraz dalsze udoskonalanie strony internetowej, aby była ona jeszcze bardziej przydatna zainteresowanym stronom i stanowiła lepsze wsparcie dla działalności Kolegium; zaleca Kolegium poprawę sprawozdawczości na temat skutków </w:t>
      </w:r>
      <w:r w:rsidRPr="00C8321C">
        <w:lastRenderedPageBreak/>
        <w:t>podejmowanych działań, zwłaszcza w odniesieniu do bezpieczeństwa Unii; wyraża uznanie dla działań podejmowanych przez Kolegium w tym celu;</w:t>
      </w:r>
    </w:p>
    <w:p w:rsidR="00B53C2A" w:rsidRPr="00C8321C" w:rsidRDefault="00B53C2A" w:rsidP="00B53C2A">
      <w:pPr>
        <w:pStyle w:val="Normal12Hanging"/>
      </w:pPr>
    </w:p>
    <w:p w:rsidR="00B53C2A" w:rsidRPr="00C8321C" w:rsidRDefault="00B53C2A" w:rsidP="00B53C2A">
      <w:pPr>
        <w:pStyle w:val="Normal12Centre"/>
      </w:pPr>
      <w:r w:rsidRPr="00C8321C">
        <w:t>o</w:t>
      </w:r>
    </w:p>
    <w:p w:rsidR="00B53C2A" w:rsidRPr="00C8321C" w:rsidRDefault="00B53C2A" w:rsidP="00B53C2A">
      <w:pPr>
        <w:pStyle w:val="Normal12Centre"/>
      </w:pPr>
      <w:r w:rsidRPr="00C8321C">
        <w:t xml:space="preserve">o </w:t>
      </w:r>
      <w:proofErr w:type="spellStart"/>
      <w:r w:rsidRPr="00C8321C">
        <w:t>o</w:t>
      </w:r>
      <w:proofErr w:type="spellEnd"/>
    </w:p>
    <w:p w:rsidR="00B53C2A" w:rsidRPr="00C8321C" w:rsidRDefault="00B53C2A" w:rsidP="006C5A97">
      <w:pPr>
        <w:widowControl/>
        <w:spacing w:after="240"/>
        <w:ind w:left="567" w:hanging="567"/>
      </w:pPr>
      <w:r w:rsidRPr="00C8321C">
        <w:t>32.</w:t>
      </w:r>
      <w:r w:rsidRPr="00C8321C">
        <w:tab/>
        <w:t>w odniesieniu do innych uwag towarzyszących decyzji w sprawie absolutorium, które mają charakter przekrojowy, odsył</w:t>
      </w:r>
      <w:r w:rsidR="006C5A97">
        <w:t>a do swojej rezolucji z dnia 18 kwietnia</w:t>
      </w:r>
      <w:r w:rsidRPr="00C8321C">
        <w:t xml:space="preserve"> 2018 r.</w:t>
      </w:r>
      <w:r w:rsidRPr="00C8321C">
        <w:rPr>
          <w:rStyle w:val="FootnoteReference"/>
        </w:rPr>
        <w:footnoteReference w:id="14"/>
      </w:r>
      <w:r w:rsidRPr="00C8321C">
        <w:t xml:space="preserve"> w sprawie wyników, zarządzania finansami i kontroli agencji.</w:t>
      </w:r>
    </w:p>
    <w:p w:rsidR="00E365E1" w:rsidRPr="00C8321C" w:rsidRDefault="00E365E1" w:rsidP="00B53C2A">
      <w:bookmarkStart w:id="9" w:name="TextBodyEnd"/>
      <w:bookmarkStart w:id="10" w:name="_GoBack"/>
      <w:bookmarkEnd w:id="9"/>
      <w:bookmarkEnd w:id="10"/>
    </w:p>
    <w:sectPr w:rsidR="00E365E1" w:rsidRPr="00C8321C" w:rsidSect="00C8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AD" w:rsidRPr="00C8321C" w:rsidRDefault="000718AD">
      <w:r w:rsidRPr="00C8321C">
        <w:separator/>
      </w:r>
    </w:p>
  </w:endnote>
  <w:endnote w:type="continuationSeparator" w:id="0">
    <w:p w:rsidR="000718AD" w:rsidRPr="00C8321C" w:rsidRDefault="000718AD">
      <w:r w:rsidRPr="00C832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C" w:rsidRPr="00C8321C" w:rsidRDefault="00C8321C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C" w:rsidRPr="00C8321C" w:rsidRDefault="00C8321C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C" w:rsidRPr="00C8321C" w:rsidRDefault="00C8321C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AD" w:rsidRPr="00C8321C" w:rsidRDefault="000718AD">
      <w:r w:rsidRPr="00C8321C">
        <w:separator/>
      </w:r>
    </w:p>
  </w:footnote>
  <w:footnote w:type="continuationSeparator" w:id="0">
    <w:p w:rsidR="000718AD" w:rsidRPr="00C8321C" w:rsidRDefault="000718AD">
      <w:r w:rsidRPr="00C8321C">
        <w:continuationSeparator/>
      </w:r>
    </w:p>
  </w:footnote>
  <w:footnote w:id="1">
    <w:p w:rsidR="00B53C2A" w:rsidRPr="00C8321C" w:rsidRDefault="00B53C2A" w:rsidP="00C8321C">
      <w:pPr>
        <w:pStyle w:val="FootnoteText"/>
        <w:ind w:left="567" w:hanging="567"/>
        <w:rPr>
          <w:sz w:val="24"/>
          <w:highlight w:val="yellow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C 417 z 6.12.2017, s. 47.</w:t>
      </w:r>
    </w:p>
  </w:footnote>
  <w:footnote w:id="2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C 417 z 6.12.2017, s. 47.</w:t>
      </w:r>
    </w:p>
  </w:footnote>
  <w:footnote w:id="3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298 z 26.10.2012, s. 1.</w:t>
      </w:r>
    </w:p>
  </w:footnote>
  <w:footnote w:id="4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256 z 1.10.2005, s. 63.</w:t>
      </w:r>
    </w:p>
  </w:footnote>
  <w:footnote w:id="5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319 z 4.12.2015, s. 1.</w:t>
      </w:r>
    </w:p>
  </w:footnote>
  <w:footnote w:id="6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328 z 7.12.2013, s. 42.</w:t>
      </w:r>
    </w:p>
  </w:footnote>
  <w:footnote w:id="7">
    <w:p w:rsidR="00B53C2A" w:rsidRPr="00C8321C" w:rsidRDefault="00B53C2A" w:rsidP="00C8321C">
      <w:pPr>
        <w:pStyle w:val="FootnoteText"/>
        <w:ind w:left="567" w:hanging="567"/>
        <w:rPr>
          <w:sz w:val="24"/>
          <w:highlight w:val="yellow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C 417 z 6.12.2017, s. 47.</w:t>
      </w:r>
    </w:p>
  </w:footnote>
  <w:footnote w:id="8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C 417 z 6.12.2017, s. 47.</w:t>
      </w:r>
    </w:p>
  </w:footnote>
  <w:footnote w:id="9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298 z 26.10.2012, s. 1.</w:t>
      </w:r>
    </w:p>
  </w:footnote>
  <w:footnote w:id="10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256 z 1.10.2005, s. 63.</w:t>
      </w:r>
    </w:p>
  </w:footnote>
  <w:footnote w:id="11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319 z 4.12.2015, s. 1.</w:t>
      </w:r>
    </w:p>
  </w:footnote>
  <w:footnote w:id="12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L 328 z 7.12.2013, s. 42.</w:t>
      </w:r>
    </w:p>
  </w:footnote>
  <w:footnote w:id="13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Pr="00C8321C">
        <w:rPr>
          <w:sz w:val="24"/>
          <w:lang w:val="pl-PL"/>
        </w:rPr>
        <w:t>Dz.U. C 113 z 30.3.2016, s. 107.</w:t>
      </w:r>
    </w:p>
  </w:footnote>
  <w:footnote w:id="14">
    <w:p w:rsidR="00B53C2A" w:rsidRPr="00C8321C" w:rsidRDefault="00B53C2A" w:rsidP="00C8321C">
      <w:pPr>
        <w:pStyle w:val="FootnoteText"/>
        <w:ind w:left="567" w:hanging="567"/>
        <w:rPr>
          <w:sz w:val="24"/>
          <w:lang w:val="pl-PL"/>
        </w:rPr>
      </w:pPr>
      <w:r w:rsidRPr="00C8321C">
        <w:rPr>
          <w:rStyle w:val="FootnoteReference"/>
          <w:sz w:val="24"/>
          <w:lang w:val="pl-PL"/>
        </w:rPr>
        <w:footnoteRef/>
      </w:r>
      <w:r w:rsidR="00C8321C" w:rsidRPr="00C8321C">
        <w:rPr>
          <w:sz w:val="24"/>
          <w:lang w:val="pl-PL"/>
        </w:rPr>
        <w:t xml:space="preserve"> </w:t>
      </w:r>
      <w:r w:rsidR="00C8321C" w:rsidRPr="00C8321C">
        <w:rPr>
          <w:sz w:val="24"/>
          <w:lang w:val="pl-PL"/>
        </w:rPr>
        <w:tab/>
      </w:r>
      <w:r w:rsidR="00B97597">
        <w:rPr>
          <w:sz w:val="24"/>
          <w:lang w:val="pl-PL"/>
        </w:rPr>
        <w:t>Teksty przyjęte</w:t>
      </w:r>
      <w:r w:rsidR="00B6602C">
        <w:rPr>
          <w:sz w:val="24"/>
          <w:lang w:val="pl-PL"/>
        </w:rPr>
        <w:t>, P8_TA</w:t>
      </w:r>
      <w:r w:rsidRPr="00C8321C">
        <w:rPr>
          <w:sz w:val="24"/>
          <w:lang w:val="pl-PL"/>
        </w:rPr>
        <w:t>(2018)0</w:t>
      </w:r>
      <w:r w:rsidR="00E44216">
        <w:rPr>
          <w:sz w:val="24"/>
          <w:lang w:val="pl-PL"/>
        </w:rPr>
        <w:t>133</w:t>
      </w:r>
      <w:r w:rsidRPr="00C8321C">
        <w:rPr>
          <w:sz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C" w:rsidRPr="00C8321C" w:rsidRDefault="00C8321C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C" w:rsidRPr="00C8321C" w:rsidRDefault="00C8321C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C" w:rsidRPr="00C8321C" w:rsidRDefault="00C8321C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98/2018"/>
    <w:docVar w:name="dvlangue" w:val="PL"/>
    <w:docVar w:name="dvnumam" w:val="0"/>
    <w:docVar w:name="dvpe" w:val="613.463"/>
    <w:docVar w:name="dvrapporteur" w:val="Sprawozdawca: "/>
    <w:docVar w:name="dvtitre" w:val="Decyzja Parlamentu Europejskiego z dnia  2018 r. w sprawie absolutorium z wykonania budżetu Agencji Unii Europejskiej ds. Szkolenia w Dziedzinie Ścigania (przed 1 lipca 2016 r.: Europejskie Kolegium Policyjne) (CEPOL) za rok budżetowy 2016(2017/2163(DEC))"/>
  </w:docVars>
  <w:rsids>
    <w:rsidRoot w:val="000718AD"/>
    <w:rsid w:val="00002272"/>
    <w:rsid w:val="000677B9"/>
    <w:rsid w:val="000718AD"/>
    <w:rsid w:val="000E7DD9"/>
    <w:rsid w:val="000F5AB3"/>
    <w:rsid w:val="0010095E"/>
    <w:rsid w:val="00125B37"/>
    <w:rsid w:val="002767FF"/>
    <w:rsid w:val="002B3135"/>
    <w:rsid w:val="002B5493"/>
    <w:rsid w:val="00361C00"/>
    <w:rsid w:val="00395FA1"/>
    <w:rsid w:val="003E15D4"/>
    <w:rsid w:val="003E1E83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C5A9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3C2A"/>
    <w:rsid w:val="00B558F0"/>
    <w:rsid w:val="00B6602C"/>
    <w:rsid w:val="00B97597"/>
    <w:rsid w:val="00BD4925"/>
    <w:rsid w:val="00BD7BD8"/>
    <w:rsid w:val="00C05BFE"/>
    <w:rsid w:val="00C23CD4"/>
    <w:rsid w:val="00C8321C"/>
    <w:rsid w:val="00C941CB"/>
    <w:rsid w:val="00CC2357"/>
    <w:rsid w:val="00D058B8"/>
    <w:rsid w:val="00D834A0"/>
    <w:rsid w:val="00D91E21"/>
    <w:rsid w:val="00DF5E01"/>
    <w:rsid w:val="00E365E1"/>
    <w:rsid w:val="00E44216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11890D-ED05-4D5F-9CD0-3929831B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Normal12Centre">
    <w:name w:val="Normal12Centre"/>
    <w:basedOn w:val="Normal12"/>
    <w:rsid w:val="00B53C2A"/>
    <w:pPr>
      <w:jc w:val="center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ListParagraph">
    <w:name w:val="List Paragraph"/>
    <w:basedOn w:val="Normal"/>
    <w:uiPriority w:val="34"/>
    <w:qFormat/>
    <w:rsid w:val="00B53C2A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12HangingChar">
    <w:name w:val="Normal12Hanging Char"/>
    <w:link w:val="Normal12Hanging"/>
    <w:rsid w:val="00B53C2A"/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EB03C6A4.dotm</Template>
  <TotalTime>1</TotalTime>
  <Pages>10</Pages>
  <Words>2784</Words>
  <Characters>18155</Characters>
  <Application>Microsoft Office Word</Application>
  <DocSecurity>0</DocSecurity>
  <Lines>151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BOZYK-MAZURENKO Agnieszka</dc:creator>
  <cp:keywords/>
  <cp:lastModifiedBy>ZALESKI Tomasz</cp:lastModifiedBy>
  <cp:revision>2</cp:revision>
  <cp:lastPrinted>2004-11-19T14:42:00Z</cp:lastPrinted>
  <dcterms:created xsi:type="dcterms:W3CDTF">2018-07-02T08:40:00Z</dcterms:created>
  <dcterms:modified xsi:type="dcterms:W3CDTF">2018-07-02T08:40:00Z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A8-0098/2018</vt:lpwstr>
  </property>
  <property fmtid="{D5CDD505-2E9C-101B-9397-08002B2CF9AE}" pid="4" name="&lt;Type&gt;">
    <vt:lpwstr>RR</vt:lpwstr>
  </property>
</Properties>
</file>