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FC0AFE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FC0AFE" w:rsidRDefault="0090252E" w:rsidP="0010095E">
            <w:pPr>
              <w:pStyle w:val="EPName"/>
              <w:rPr>
                <w:lang w:val="mt-MT"/>
              </w:rPr>
            </w:pPr>
            <w:r w:rsidRPr="00FC0AFE">
              <w:rPr>
                <w:lang w:val="mt-MT"/>
              </w:rPr>
              <w:t>Parlament Ewropew</w:t>
            </w:r>
          </w:p>
          <w:p w:rsidR="00751A4A" w:rsidRPr="00FC0AFE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mt-MT"/>
              </w:rPr>
            </w:pPr>
            <w:r w:rsidRPr="00FC0AFE">
              <w:rPr>
                <w:lang w:val="mt-MT"/>
              </w:rPr>
              <w:t>2014</w:t>
            </w:r>
            <w:r w:rsidR="00C941CB" w:rsidRPr="00FC0AFE">
              <w:rPr>
                <w:lang w:val="mt-MT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FC0AFE" w:rsidRDefault="00307559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8" o:title="EP logo RGB_Mute"/>
                </v:shape>
              </w:pict>
            </w:r>
          </w:p>
        </w:tc>
      </w:tr>
    </w:tbl>
    <w:p w:rsidR="00D058B8" w:rsidRPr="00FC0AFE" w:rsidRDefault="00D058B8" w:rsidP="00D058B8">
      <w:pPr>
        <w:pStyle w:val="LineTop"/>
        <w:rPr>
          <w:lang w:val="mt-MT"/>
        </w:rPr>
      </w:pPr>
    </w:p>
    <w:p w:rsidR="00680577" w:rsidRPr="00FC0AFE" w:rsidRDefault="0090252E" w:rsidP="00680577">
      <w:pPr>
        <w:pStyle w:val="ZSessionDoc"/>
        <w:rPr>
          <w:b/>
          <w:i w:val="0"/>
        </w:rPr>
      </w:pPr>
      <w:r w:rsidRPr="00FC0AFE">
        <w:rPr>
          <w:b/>
          <w:i w:val="0"/>
        </w:rPr>
        <w:t>TESTI ADOTTATI</w:t>
      </w:r>
    </w:p>
    <w:p w:rsidR="00D058B8" w:rsidRPr="00FC0AFE" w:rsidRDefault="00D058B8" w:rsidP="00D058B8">
      <w:pPr>
        <w:pStyle w:val="LineBottom"/>
      </w:pPr>
    </w:p>
    <w:p w:rsidR="0090252E" w:rsidRPr="00FC0AFE" w:rsidRDefault="00307559" w:rsidP="0090252E">
      <w:pPr>
        <w:pStyle w:val="ATHeading1"/>
        <w:rPr>
          <w:noProof w:val="0"/>
          <w:lang w:val="mt-MT"/>
        </w:rPr>
      </w:pPr>
      <w:bookmarkStart w:id="0" w:name="TANumber"/>
      <w:r>
        <w:rPr>
          <w:noProof w:val="0"/>
          <w:lang w:val="mt-MT"/>
        </w:rPr>
        <w:t>P8_TA</w:t>
      </w:r>
      <w:r w:rsidR="0090252E" w:rsidRPr="00FC0AFE">
        <w:rPr>
          <w:noProof w:val="0"/>
          <w:lang w:val="mt-MT"/>
        </w:rPr>
        <w:t>(2018)0</w:t>
      </w:r>
      <w:r w:rsidR="004F5DEC">
        <w:rPr>
          <w:noProof w:val="0"/>
          <w:lang w:val="mt-MT"/>
        </w:rPr>
        <w:t>222</w:t>
      </w:r>
      <w:bookmarkEnd w:id="0"/>
    </w:p>
    <w:p w:rsidR="0090252E" w:rsidRPr="00FC0AFE" w:rsidRDefault="0090252E" w:rsidP="0090252E">
      <w:pPr>
        <w:pStyle w:val="ATHeading2"/>
        <w:rPr>
          <w:noProof w:val="0"/>
          <w:lang w:val="mt-MT"/>
        </w:rPr>
      </w:pPr>
      <w:bookmarkStart w:id="1" w:name="title"/>
      <w:r w:rsidRPr="00FC0AFE">
        <w:rPr>
          <w:noProof w:val="0"/>
          <w:lang w:val="mt-MT"/>
        </w:rPr>
        <w:t>Qamħirrum ġenetikament modifikat 1507 × 59122 × MON 810 ×</w:t>
      </w:r>
      <w:r w:rsidR="003632C8">
        <w:rPr>
          <w:noProof w:val="0"/>
          <w:lang w:val="mt-MT"/>
        </w:rPr>
        <w:t xml:space="preserve"> </w:t>
      </w:r>
      <w:r w:rsidRPr="00FC0AFE">
        <w:rPr>
          <w:noProof w:val="0"/>
          <w:lang w:val="mt-MT"/>
        </w:rPr>
        <w:t xml:space="preserve">NK603, u qamħirrum ġenetikament modifikat li jikkombina tnejn jew tlieta mill-eventi uniċi 1507, 59122, MON 810 u NK603 </w:t>
      </w:r>
      <w:bookmarkEnd w:id="1"/>
      <w:r w:rsidRPr="00FC0AFE">
        <w:rPr>
          <w:noProof w:val="0"/>
          <w:lang w:val="mt-MT"/>
        </w:rPr>
        <w:t xml:space="preserve"> </w:t>
      </w:r>
      <w:bookmarkStart w:id="2" w:name="Etoiles"/>
      <w:bookmarkEnd w:id="2"/>
    </w:p>
    <w:p w:rsidR="0090252E" w:rsidRPr="00FC0AFE" w:rsidRDefault="0090252E" w:rsidP="0090252E">
      <w:pPr>
        <w:rPr>
          <w:i/>
          <w:vanish/>
        </w:rPr>
      </w:pPr>
      <w:r w:rsidRPr="00FC0AFE">
        <w:rPr>
          <w:i/>
        </w:rPr>
        <w:fldChar w:fldCharType="begin"/>
      </w:r>
      <w:r w:rsidRPr="00FC0AFE">
        <w:rPr>
          <w:i/>
        </w:rPr>
        <w:instrText xml:space="preserve"> TC"(</w:instrText>
      </w:r>
      <w:bookmarkStart w:id="3" w:name="DocNumber"/>
      <w:r w:rsidRPr="00FC0AFE">
        <w:rPr>
          <w:i/>
        </w:rPr>
        <w:instrText>B8-0233/2018</w:instrText>
      </w:r>
      <w:bookmarkEnd w:id="3"/>
      <w:r w:rsidRPr="00FC0AFE">
        <w:rPr>
          <w:i/>
        </w:rPr>
        <w:instrText xml:space="preserve">)"\l3 \n&gt; \* MERGEFORMAT </w:instrText>
      </w:r>
      <w:r w:rsidRPr="00FC0AFE">
        <w:rPr>
          <w:i/>
        </w:rPr>
        <w:fldChar w:fldCharType="end"/>
      </w:r>
    </w:p>
    <w:p w:rsidR="0090252E" w:rsidRPr="00FC0AFE" w:rsidRDefault="0090252E" w:rsidP="0090252E">
      <w:pPr>
        <w:rPr>
          <w:vanish/>
        </w:rPr>
      </w:pPr>
      <w:bookmarkStart w:id="4" w:name="PE"/>
      <w:r w:rsidRPr="00FC0AFE">
        <w:rPr>
          <w:vanish/>
        </w:rPr>
        <w:t>PE621.608</w:t>
      </w:r>
      <w:bookmarkEnd w:id="4"/>
    </w:p>
    <w:p w:rsidR="0090252E" w:rsidRPr="00FC0AFE" w:rsidRDefault="0090252E" w:rsidP="0090252E">
      <w:pPr>
        <w:pStyle w:val="ATHeading3"/>
        <w:rPr>
          <w:noProof w:val="0"/>
          <w:lang w:val="mt-MT"/>
        </w:rPr>
      </w:pPr>
      <w:bookmarkStart w:id="5" w:name="Sujet"/>
      <w:r w:rsidRPr="00FC0AFE">
        <w:rPr>
          <w:noProof w:val="0"/>
          <w:lang w:val="mt-MT"/>
        </w:rPr>
        <w:t xml:space="preserve">Riżoluzzjoni tal-Parlament Ewropew tat-30 ta' Mejju 2018 dwar l-abbozz ta' deċiżjoni ta' implimentazzjoni tal-Kummissjoni li tawtorizza t-tqegħid fis-suq ta' prodotti li jkun fihom, ikunu jikkonsistu, jew li jkunu prodotti mill-qamħirrum ġenetikament modifikat 1507 × 59122 × MON 810 × NK603, u qamħirrum ġenetikament modifikat li jikkombina tnejn jew tlieta mill-eventi uniċi 1507, 59122, MON 810 u NK603, u li tħassar id-Deċiżjonijiet 2009/815/KE, 2010/428/UE u 2010/432/UE skont ir-Regolament (KE) Nru 1829/2003 tal-Parlament </w:t>
      </w:r>
      <w:r w:rsidR="004906E6">
        <w:rPr>
          <w:noProof w:val="0"/>
          <w:lang w:val="mt-MT"/>
        </w:rPr>
        <w:t xml:space="preserve">Ewropew </w:t>
      </w:r>
      <w:r w:rsidRPr="00FC0AFE">
        <w:rPr>
          <w:noProof w:val="0"/>
          <w:lang w:val="mt-MT"/>
        </w:rPr>
        <w:t>u tal-Kunsill dwar ikel u għalf ġenetikament modifikat</w:t>
      </w:r>
      <w:bookmarkEnd w:id="5"/>
      <w:r w:rsidRPr="00FC0AFE">
        <w:rPr>
          <w:noProof w:val="0"/>
          <w:lang w:val="mt-MT"/>
        </w:rPr>
        <w:t xml:space="preserve"> </w:t>
      </w:r>
      <w:bookmarkStart w:id="6" w:name="References"/>
      <w:r w:rsidRPr="00FC0AFE">
        <w:rPr>
          <w:noProof w:val="0"/>
          <w:lang w:val="mt-MT"/>
        </w:rPr>
        <w:t>(D056123</w:t>
      </w:r>
      <w:r w:rsidR="004906E6">
        <w:rPr>
          <w:noProof w:val="0"/>
          <w:lang w:val="mt-MT"/>
        </w:rPr>
        <w:t>-02</w:t>
      </w:r>
      <w:r w:rsidRPr="00FC0AFE">
        <w:rPr>
          <w:noProof w:val="0"/>
          <w:lang w:val="mt-MT"/>
        </w:rPr>
        <w:t xml:space="preserve"> – 2018/2699(RSP))</w:t>
      </w:r>
      <w:bookmarkEnd w:id="6"/>
    </w:p>
    <w:p w:rsidR="0090252E" w:rsidRPr="00FC0AFE" w:rsidRDefault="0090252E" w:rsidP="0090252E"/>
    <w:p w:rsidR="000B5DD9" w:rsidRPr="00FC0AFE" w:rsidRDefault="000B5DD9" w:rsidP="000B5DD9">
      <w:pPr>
        <w:pStyle w:val="Normal12"/>
      </w:pPr>
      <w:bookmarkStart w:id="7" w:name="TextBodyBegin"/>
      <w:bookmarkEnd w:id="7"/>
      <w:r w:rsidRPr="00FC0AFE">
        <w:rPr>
          <w:i/>
        </w:rPr>
        <w:t>Il-Parlament Ewropew</w:t>
      </w:r>
      <w:r w:rsidRPr="00FC0AFE">
        <w:t>,</w:t>
      </w:r>
    </w:p>
    <w:p w:rsidR="000B5DD9" w:rsidRPr="00FC0AFE" w:rsidRDefault="000B5DD9" w:rsidP="000B5DD9">
      <w:pPr>
        <w:pStyle w:val="Normal12Hanging"/>
      </w:pPr>
      <w:r w:rsidRPr="00FC0AFE">
        <w:t>–</w:t>
      </w:r>
      <w:r w:rsidRPr="00FC0AFE">
        <w:tab/>
        <w:t>wara li kkunsidra l-abbozz ta' deċiżjoni ta' implimentazzjoni tal-Kummissjoni li tawtorizza t-tqegħid fis-suq ta' prodotti li jkun fihom, ikunu jikkonsistu, jew li jkunu prodotti mill-qamħirrum ġenetikament modifikat 1507 × 59122 × MON 810 × NK603, u qamħirrum ġenetikament modifikat li jikkombina tnejn jew tlieta mill-eventi uniċi 1507, 59122, MON 810 u NK603, u li tħassar id-Deċiżjonijiet 2009/815/KE, 2010/428/UE u 2010/432/UE skont ir-Regolament (KE) Nru 1829/2003 tal-Parlament u tal-Kunsill dwar ikel u għalf ġenetikament modifikat (D056123-02),</w:t>
      </w:r>
    </w:p>
    <w:p w:rsidR="000B5DD9" w:rsidRPr="00FC0AFE" w:rsidRDefault="000B5DD9" w:rsidP="000B5DD9">
      <w:pPr>
        <w:pStyle w:val="Normal12Hanging"/>
        <w:rPr>
          <w:szCs w:val="24"/>
        </w:rPr>
      </w:pPr>
      <w:r w:rsidRPr="00FC0AFE">
        <w:t>–</w:t>
      </w:r>
      <w:r w:rsidRPr="00FC0AFE">
        <w:tab/>
        <w:t>wara li kkunsidra r-Regolament (KE) Nru 1829/2003 tal-Parlament Ewropew u tal-Kunsill tat-22 ta' Settembru 2003 dwar ikel u għalf modifikat ġenetikament</w:t>
      </w:r>
      <w:r w:rsidRPr="00FC0AFE">
        <w:rPr>
          <w:szCs w:val="24"/>
          <w:vertAlign w:val="superscript"/>
        </w:rPr>
        <w:footnoteReference w:id="1"/>
      </w:r>
      <w:r w:rsidRPr="00FC0AFE">
        <w:t>, u b'mod partikolari l-Artikoli 7(3) u 19(3) tiegħu,</w:t>
      </w:r>
    </w:p>
    <w:p w:rsidR="000B5DD9" w:rsidRPr="00FC0AFE" w:rsidRDefault="000B5DD9" w:rsidP="000B5DD9">
      <w:pPr>
        <w:pStyle w:val="Normal12Hanging"/>
      </w:pPr>
      <w:r w:rsidRPr="00FC0AFE">
        <w:t>–</w:t>
      </w:r>
      <w:r w:rsidRPr="00FC0AFE">
        <w:tab/>
        <w:t>wara li kkunsidra l-votazzjoni fil-Kumitat Permanenti dwar il-Katina Alimentari u s-Saħħa tal-Annimali msemmi fl-Artikolu 35 tar-Regolament (KE) Nru 1829/2003, tat-23 ta' April 2018, li matulha ma ngħatat ebda opinjoni,</w:t>
      </w:r>
    </w:p>
    <w:p w:rsidR="000B5DD9" w:rsidRPr="00FC0AFE" w:rsidRDefault="000B5DD9" w:rsidP="000B5DD9">
      <w:pPr>
        <w:pStyle w:val="Normal12Hanging"/>
      </w:pPr>
      <w:r w:rsidRPr="00FC0AFE">
        <w:t>–</w:t>
      </w:r>
      <w:r w:rsidRPr="00FC0AFE">
        <w:tab/>
        <w:t>wara li kkunsidra l-Artikolu 11 tar-Regolament (UE) Nru 182/2011 tal-Parlament Ewropew u tal-Kunsill tas-16 ta' Frar 2011 li jistabbilixxi r-regoli u l-prinċipji ġenerali dwar il-modalitajiet ta' kontroll mill-Istati Membri tal-eżerċizzju mill-Kummissjoni tas-</w:t>
      </w:r>
      <w:r w:rsidRPr="00FC0AFE">
        <w:lastRenderedPageBreak/>
        <w:t>setgħat ta' implimentazzjoni</w:t>
      </w:r>
      <w:r w:rsidRPr="00FC0AFE">
        <w:rPr>
          <w:rStyle w:val="FootnoteReference"/>
          <w:color w:val="000000"/>
        </w:rPr>
        <w:footnoteReference w:id="2"/>
      </w:r>
      <w:r w:rsidRPr="00FC0AFE">
        <w:t>,</w:t>
      </w:r>
    </w:p>
    <w:p w:rsidR="000B5DD9" w:rsidRPr="00FC0AFE" w:rsidRDefault="000B5DD9" w:rsidP="000B5DD9">
      <w:pPr>
        <w:pStyle w:val="Normal12Hanging"/>
        <w:rPr>
          <w:szCs w:val="24"/>
        </w:rPr>
      </w:pPr>
      <w:r w:rsidRPr="00FC0AFE">
        <w:t>–</w:t>
      </w:r>
      <w:r w:rsidRPr="00FC0AFE">
        <w:tab/>
        <w:t>wara li kkunsidra l-opinjoni adottata mill-Awtorità Ewropea dwar is-Sigurtà fl-Ikel fl-14 ta' Novembru 2017 u ppubblikata fit-28 ta' Novembru 2017</w:t>
      </w:r>
      <w:r w:rsidRPr="00FC0AFE">
        <w:rPr>
          <w:rStyle w:val="FootnoteReference"/>
          <w:color w:val="000000"/>
          <w:szCs w:val="24"/>
        </w:rPr>
        <w:footnoteReference w:id="3"/>
      </w:r>
      <w:r w:rsidRPr="00FC0AFE">
        <w:t>,</w:t>
      </w:r>
    </w:p>
    <w:p w:rsidR="000B5DD9" w:rsidRPr="00FC0AFE" w:rsidRDefault="000B5DD9" w:rsidP="000B5DD9">
      <w:pPr>
        <w:pStyle w:val="Normal12Hanging"/>
        <w:rPr>
          <w:szCs w:val="24"/>
        </w:rPr>
      </w:pPr>
      <w:r w:rsidRPr="00FC0AFE">
        <w:t>–</w:t>
      </w:r>
      <w:r w:rsidRPr="00FC0AFE">
        <w:tab/>
        <w:t>wara li kkunsidra l-proposta għal regolament tal-Parlament Ewropew u tal-Kunsill li jemenda r-Regolament (UE) Nru 182/2011 li jistabbilixxi r-regoli u l-prinċipji ġenerali dwar il-modalitajiet ta' kontroll mill-Istati Membri tal-eżerċizzju mill-Kummissjoni tas-setgħat ta' implimentazzjoni (COM(2017)0085, COD(2017)0035),</w:t>
      </w:r>
    </w:p>
    <w:p w:rsidR="000B5DD9" w:rsidRPr="00FC0AFE" w:rsidRDefault="000B5DD9" w:rsidP="000B5DD9">
      <w:pPr>
        <w:pStyle w:val="Normal12Hanging"/>
        <w:rPr>
          <w:szCs w:val="24"/>
        </w:rPr>
      </w:pPr>
      <w:r w:rsidRPr="00FC0AFE">
        <w:t>–</w:t>
      </w:r>
      <w:r w:rsidRPr="00FC0AFE">
        <w:tab/>
        <w:t>wara li kkunsidra r-riżoluzzjonijiet preċedenti tiegħu li joġġezzjonaw għall-awtorizzazzjoni ta' organiżmi ġenetikament modifikati</w:t>
      </w:r>
      <w:r w:rsidRPr="00FC0AFE">
        <w:rPr>
          <w:szCs w:val="24"/>
          <w:vertAlign w:val="superscript"/>
        </w:rPr>
        <w:footnoteReference w:id="4"/>
      </w:r>
      <w:r w:rsidRPr="00FC0AFE">
        <w:t>,</w:t>
      </w:r>
    </w:p>
    <w:p w:rsidR="000B5DD9" w:rsidRPr="00FC0AFE" w:rsidRDefault="000B5DD9" w:rsidP="000B5DD9">
      <w:pPr>
        <w:pStyle w:val="Normal12Hanging"/>
        <w:rPr>
          <w:szCs w:val="24"/>
        </w:rPr>
      </w:pPr>
      <w:r w:rsidRPr="00FC0AFE">
        <w:lastRenderedPageBreak/>
        <w:t>–</w:t>
      </w:r>
      <w:r w:rsidRPr="00FC0AFE">
        <w:tab/>
        <w:t>wara li kkunsidra l-mozzjoni għal riżoluzzjoni tal-Kumitat għall-Ambjent, is-Saħħa Pubblika u s-Sikurezza tal-Ikel,</w:t>
      </w:r>
    </w:p>
    <w:p w:rsidR="000B5DD9" w:rsidRPr="00FC0AFE" w:rsidRDefault="000B5DD9" w:rsidP="000B5DD9">
      <w:pPr>
        <w:pStyle w:val="Normal12Hanging"/>
      </w:pPr>
      <w:r w:rsidRPr="00FC0AFE">
        <w:t>–</w:t>
      </w:r>
      <w:r w:rsidRPr="00FC0AFE">
        <w:tab/>
        <w:t>wara li kkunsidra l-Artikolu 106(2) u (3) tar-Regoli ta' Proċedura tiegħu,</w:t>
      </w:r>
    </w:p>
    <w:p w:rsidR="000B5DD9" w:rsidRPr="00FC0AFE" w:rsidRDefault="000B5DD9" w:rsidP="000B5DD9">
      <w:pPr>
        <w:pStyle w:val="Normal12Hanging"/>
      </w:pPr>
      <w:r w:rsidRPr="00FC0AFE">
        <w:t>A.</w:t>
      </w:r>
      <w:r w:rsidRPr="00FC0AFE">
        <w:tab/>
        <w:t xml:space="preserve">billi fit-3 ta' Frar 2011, </w:t>
      </w:r>
      <w:r w:rsidRPr="00FC0AFE">
        <w:rPr>
          <w:snapToGrid w:val="0"/>
        </w:rPr>
        <w:t>Pioneer Overseas Corporation</w:t>
      </w:r>
      <w:r w:rsidRPr="00FC0AFE">
        <w:t>, f'isem Pioneer Hi-Bred International Inc., tal-Istati Uniti tal-Amerka, ressqet applikazzjoni għat-tqegħid fis-suq ta' ikel, ingredjenti tal-ikel u għalf li fihom, jikkonsistu minn jew prodotti minn qamħirrum ġenetikament modifikat 1507 × 59122 × MON 810 × NK603 (minn hawn 'il quddiem "l-applikazzjoni") lill-awtorità nazzjonali kompetenti tan-Netherlands bi qbil mal-Artikoli 5 u 17 tar-Regolament (KE) Nru 1829/2003; billi l-applikazzjoni kopriet wkoll it-tqegħid fis-suq tal-prodotti li jikkonsistu jew li fihom qamħirrum ġenetikament modifikat 1507 × 59122 × MON 810 × NK603 ("il-qamħirrum ĠM") għal użi oħra għajr għall-ikel u għall-għalf, bl-eċċezzjoni tal-kultivazzjoni;</w:t>
      </w:r>
    </w:p>
    <w:p w:rsidR="000B5DD9" w:rsidRPr="00FC0AFE" w:rsidRDefault="000B5DD9" w:rsidP="000B5DD9">
      <w:pPr>
        <w:pStyle w:val="Normal12Hanging"/>
        <w:rPr>
          <w:szCs w:val="24"/>
        </w:rPr>
      </w:pPr>
      <w:r w:rsidRPr="00FC0AFE">
        <w:t>B.</w:t>
      </w:r>
      <w:r w:rsidRPr="00FC0AFE">
        <w:tab/>
        <w:t xml:space="preserve">billi l-applikazzjoni kienet tkopri għaxar sottokombinazzjonijiet tal-eventi ta' trasformazzjoni uniċi li jikkostitwixxu l-qamħirrum ĠM, li minnhom ħamsa kienu diġà ġew awtorizzati; billi tmienja minn dawk is-sottokombinazzjonijiet huma rregolati mill-abbozz ta' deċiżjoni ta' implimentazzjoni tal-Kummissjoni; billi s-sottokombinazzjonijiet 1507 × NK603 </w:t>
      </w:r>
      <w:r w:rsidR="00DE5EB5" w:rsidRPr="00C930FA">
        <w:t>×</w:t>
      </w:r>
      <w:r w:rsidRPr="00FC0AFE">
        <w:t xml:space="preserve"> MON 810 × NK603 diġà ġew awtorizzati </w:t>
      </w:r>
      <w:r w:rsidRPr="00FC0AFE">
        <w:lastRenderedPageBreak/>
        <w:t>b'deċiżjonijiet differenti tal-Kummissjoni;</w:t>
      </w:r>
    </w:p>
    <w:p w:rsidR="000B5DD9" w:rsidRPr="00FC0AFE" w:rsidRDefault="000B5DD9" w:rsidP="000B5DD9">
      <w:pPr>
        <w:pStyle w:val="Normal12Hanging"/>
        <w:rPr>
          <w:szCs w:val="24"/>
        </w:rPr>
      </w:pPr>
      <w:r w:rsidRPr="00FC0AFE">
        <w:t>C.</w:t>
      </w:r>
      <w:r w:rsidRPr="00FC0AFE">
        <w:tab/>
        <w:t>billi fl-14 ta' Novembru 2017, l-Awtorità Ewropea dwar is-Sigurtà fl-Ikel (EFSA) adottat opinjoni favorevoli f'konformità mal-Artikoli 6 u 18 tar-Regolament (KE) Nru 1829/2003, li ġiet ippubblikata fit-28 ta' Novembru 2017</w:t>
      </w:r>
      <w:r w:rsidRPr="00FC0AFE">
        <w:rPr>
          <w:szCs w:val="24"/>
          <w:vertAlign w:val="superscript"/>
        </w:rPr>
        <w:footnoteReference w:id="5"/>
      </w:r>
      <w:r w:rsidRPr="00FC0AFE">
        <w:t>;</w:t>
      </w:r>
    </w:p>
    <w:p w:rsidR="000B5DD9" w:rsidRPr="00FC0AFE" w:rsidRDefault="000B5DD9" w:rsidP="000B5DD9">
      <w:pPr>
        <w:pStyle w:val="Normal12Hanging"/>
        <w:rPr>
          <w:rFonts w:eastAsia="LiberationSerif"/>
          <w:szCs w:val="24"/>
        </w:rPr>
      </w:pPr>
      <w:r w:rsidRPr="00FC0AFE">
        <w:t>D.</w:t>
      </w:r>
      <w:r w:rsidRPr="00FC0AFE">
        <w:tab/>
        <w:t>billi l-qamħirrum ĠM huwa dderivat bit-taħlit ta' erba' eventi ta' qamħirrum ġenetikament modifikat: l-event 1507 jipproduċi l-proteina insettiċida Cr1F u huwa reżistenti għall-erbiċida glufosinat; l-event 59122 jipproduċi l-proteini insettiċidi Cry34Ab1 u Cry35Ab1 u huwa wkoll reżistenti għall-erbiċida glufosinat; l-event MON810 jipproduċi l-proteina insettiċida Cr1Ab; l-event NK603 jipproduċi żewġ enzimi li jikkawżaw reżistenza għall-erbiċida glifosat;</w:t>
      </w:r>
    </w:p>
    <w:p w:rsidR="000B5DD9" w:rsidRPr="00FC0AFE" w:rsidRDefault="000B5DD9" w:rsidP="000B5DD9">
      <w:pPr>
        <w:pStyle w:val="Normal12Hanging"/>
      </w:pPr>
      <w:r w:rsidRPr="00FC0AFE">
        <w:t>E.</w:t>
      </w:r>
      <w:r w:rsidRPr="00FC0AFE">
        <w:tab/>
        <w:t>billi l-applikazzjoni tal-erbiċidi komplementari, f'dan il-każ tal-glifosat u tal-glufosinat, hija parti minn prattika agrikola regolari fil-kultivazzjoni ta' pjanti reżistenti għall-erbiċidi u għalhekk jista' jkun mistenni li r-residwi mill-bexx ikunu preżenti fil-ħsad u huma kostitwenti inevitabbli; billi ntwera li l-għelejjel ġenetikament modifikati tolleranti għall-erbiċidi jwasslu għal użu akbar ta' erbiċidi komplementari mill-kontropartijiet konvenzjonali tagħhom;</w:t>
      </w:r>
    </w:p>
    <w:p w:rsidR="000B5DD9" w:rsidRPr="00FC0AFE" w:rsidRDefault="000B5DD9" w:rsidP="000B5DD9">
      <w:pPr>
        <w:pStyle w:val="Normal12Hanging"/>
        <w:rPr>
          <w:szCs w:val="24"/>
        </w:rPr>
      </w:pPr>
      <w:r w:rsidRPr="00FC0AFE">
        <w:t>F.</w:t>
      </w:r>
      <w:r w:rsidRPr="00FC0AFE">
        <w:tab/>
        <w:t>billi, b'konsegwenza, għandu jkun mistenni li l-qamħirrum ĠM ser ikun espost għal dożi kemm ogħla kif ukoll ripetuti ta' glifosat u glufosinat, li mhux biss iwasslu għal piż ogħla ta' residwi fil-ħsad iżda jistgħu wkoll jinfluwenzaw il-kompożizzjoni tal-pjanta tal-qamħirrum ĠM u l-karatteristiċi agronomiċi tagħha;</w:t>
      </w:r>
    </w:p>
    <w:p w:rsidR="000B5DD9" w:rsidRPr="00FC0AFE" w:rsidRDefault="000B5DD9" w:rsidP="000B5DD9">
      <w:pPr>
        <w:pStyle w:val="Normal12Hanging"/>
        <w:rPr>
          <w:rFonts w:eastAsia="LiberationSerif"/>
          <w:szCs w:val="24"/>
        </w:rPr>
      </w:pPr>
      <w:r w:rsidRPr="00FC0AFE">
        <w:t>G.</w:t>
      </w:r>
      <w:r w:rsidRPr="00FC0AFE">
        <w:tab/>
        <w:t>billi studju indipendenti kkonkluda li l-valutazzjoni tar-riskju tal-EFSA m'għandhiex tiġi aċċettata minħabba li, fost l-oħrajn, l-EFSA ma talbet ebda data empirika dwar tossiċità u l-impatt fuq is-sistema immunitarja, l-effetti kombinatorji, filwaqt li l-konsegwenzi tal-bexx ta' dożi ogħla tal-erbiċidi komplementari ġew injorati, il-valutazzjoni tar-riskju ambjentali kienet inaċċettabbli u kienet ibbażata fuq suppożizzjonijiet żbaljati, u ma kienet prevista ebda sistema biex twettaq monitoraġġ speċifiku għal kull każ ta' tixrid u tal-effetti potenzjali fuq is-saħħa</w:t>
      </w:r>
      <w:r w:rsidRPr="00FC0AFE">
        <w:rPr>
          <w:rStyle w:val="FootnoteReference"/>
          <w:color w:val="000000"/>
          <w:szCs w:val="24"/>
        </w:rPr>
        <w:footnoteReference w:id="6"/>
      </w:r>
      <w:r w:rsidRPr="00FC0AFE">
        <w:t>;</w:t>
      </w:r>
    </w:p>
    <w:p w:rsidR="000B5DD9" w:rsidRPr="00FC0AFE" w:rsidRDefault="000B5DD9" w:rsidP="000B5DD9">
      <w:pPr>
        <w:pStyle w:val="Normal12Hanging"/>
        <w:rPr>
          <w:szCs w:val="24"/>
        </w:rPr>
      </w:pPr>
      <w:r w:rsidRPr="00FC0AFE">
        <w:t>H.</w:t>
      </w:r>
      <w:r w:rsidRPr="00FC0AFE">
        <w:tab/>
        <w:t>billi ebda data sperimentali ma ġiet ipprovduta mill-applikant għal subkombinazzjoni ta' event ta' trasformazzjoni multiplu li bħalissa mhijiex awtorizzata (59122 × MON810 × NK603); billi l-awtorizzazzjoni ta' event ta' trasformazzjoni multiplu m'għandhiex titqies mingħajr valutazzjoni profonda tad-data sperimentali għal kull sottokombinazzjoni;</w:t>
      </w:r>
    </w:p>
    <w:p w:rsidR="000B5DD9" w:rsidRPr="00FC0AFE" w:rsidRDefault="000B5DD9" w:rsidP="000B5DD9">
      <w:pPr>
        <w:pStyle w:val="Normal12Hanging"/>
        <w:rPr>
          <w:szCs w:val="24"/>
        </w:rPr>
      </w:pPr>
      <w:r w:rsidRPr="00FC0AFE">
        <w:t>I.</w:t>
      </w:r>
      <w:r w:rsidRPr="00FC0AFE">
        <w:tab/>
        <w:t>billi l-glufosinat huwa klassifikat bħala sustanza tossika għar-riproduzzjoni u għalhekk jaqa' taħt il-kriterji ta' esklużjoni stabbiliti fir-Regolament (KE) Nru 1107/2009 tal-Parlament Ewropew u tal-Kunsill</w:t>
      </w:r>
      <w:r w:rsidRPr="00FC0AFE">
        <w:rPr>
          <w:rStyle w:val="FootnoteReference"/>
          <w:color w:val="000000"/>
          <w:szCs w:val="24"/>
        </w:rPr>
        <w:footnoteReference w:id="7"/>
      </w:r>
      <w:r w:rsidRPr="00FC0AFE">
        <w:t>; billi l-approvazzjoni għall-użu tal-glufosinat fl-Unjoni tiskadi fil-31 ta' Lulju 2018</w:t>
      </w:r>
      <w:r w:rsidRPr="00FC0AFE">
        <w:rPr>
          <w:rStyle w:val="FootnoteReference"/>
          <w:color w:val="000000"/>
          <w:szCs w:val="24"/>
        </w:rPr>
        <w:footnoteReference w:id="8"/>
      </w:r>
      <w:r w:rsidRPr="00FC0AFE">
        <w:t>;</w:t>
      </w:r>
    </w:p>
    <w:p w:rsidR="000B5DD9" w:rsidRPr="00FC0AFE" w:rsidRDefault="000B5DD9" w:rsidP="000B5DD9">
      <w:pPr>
        <w:pStyle w:val="Normal12Hanging"/>
        <w:rPr>
          <w:szCs w:val="24"/>
        </w:rPr>
      </w:pPr>
      <w:r w:rsidRPr="00FC0AFE">
        <w:t>J.</w:t>
      </w:r>
      <w:r w:rsidRPr="00FC0AFE">
        <w:tab/>
        <w:t xml:space="preserve">billi għad hemm dubji dwar il-karċinoġeniċità tal-glifosat; billi, f'Novembru 2015, l-EFSA kkonkludiet li l-glifosat x'aktarx mhuwiex karċinoġeniku, filwaqt li, </w:t>
      </w:r>
      <w:r w:rsidRPr="00FC0AFE">
        <w:lastRenderedPageBreak/>
        <w:t>f'Marzu 2017, l-Aġenzija Ewropea għas-Sustanzi Kimiċi (ECHA) ikkonkludiet li ebda klassifikazzjoni ma kienet ġustifikata; billi, għall-kuntrarju, fl-2015 l-Aġenzija Internazzjonali għar-Riċerka dwar il-Kanċer tal-Organizzazzjoni Dinjija tas-Saħħa kklassifikat il-glifosat bħala probabbilment karċinoġeniku għall-bnedmin;</w:t>
      </w:r>
    </w:p>
    <w:p w:rsidR="000B5DD9" w:rsidRPr="00FC0AFE" w:rsidRDefault="000B5DD9" w:rsidP="000B5DD9">
      <w:pPr>
        <w:pStyle w:val="Normal12Hanging"/>
        <w:rPr>
          <w:szCs w:val="24"/>
        </w:rPr>
      </w:pPr>
      <w:r w:rsidRPr="00FC0AFE">
        <w:t>K.</w:t>
      </w:r>
      <w:r w:rsidRPr="00FC0AFE">
        <w:tab/>
        <w:t>billi, b'mod ġenerali, skont il-bord tal-EFSA dwar il-pestiċidi, ma jistgħux isiru konklużjonijiet dwar is-sikurezza ta' residwi mill-bexx ta' għelejjel ĠM b'formazzjonijiet ta' glifosat</w:t>
      </w:r>
      <w:r w:rsidRPr="00FC0AFE">
        <w:rPr>
          <w:rStyle w:val="FootnoteReference"/>
          <w:color w:val="000000"/>
          <w:szCs w:val="24"/>
        </w:rPr>
        <w:footnoteReference w:id="9"/>
      </w:r>
      <w:r w:rsidRPr="00FC0AFE">
        <w:t>; billi l-addittivi u t-taħlitiet tagħhom użati f'formulazzjonijiet kummerċjali tal-glifosat għall-bexx jistgħu juru tossiċità ogħla minn ingredjenti attivi waħedhom</w:t>
      </w:r>
      <w:r w:rsidRPr="00FC0AFE">
        <w:rPr>
          <w:rStyle w:val="FootnoteReference"/>
          <w:color w:val="000000"/>
          <w:szCs w:val="24"/>
        </w:rPr>
        <w:footnoteReference w:id="10"/>
      </w:r>
      <w:r w:rsidRPr="00FC0AFE">
        <w:t>;</w:t>
      </w:r>
    </w:p>
    <w:p w:rsidR="000B5DD9" w:rsidRPr="00FC0AFE" w:rsidRDefault="000B5DD9" w:rsidP="000B5DD9">
      <w:pPr>
        <w:pStyle w:val="Normal12Hanging"/>
        <w:rPr>
          <w:szCs w:val="24"/>
        </w:rPr>
      </w:pPr>
      <w:r w:rsidRPr="00FC0AFE">
        <w:t>L.</w:t>
      </w:r>
      <w:r w:rsidRPr="00FC0AFE">
        <w:tab/>
        <w:t>billi l-Unjoni diġà neħħiet mis-suq addittiv tal-glufosinat magħruf bħala "POE tallowamine" minħabba tħassib dwar it-tossiċità tiegħu; billi addittivi u taħlitiet problematiċi jistgħu, madankollu, xorta waħda jiġu permessi f'pajjiżi fejn jiġi kkultivat il-qamħirrum ĠM (il-Kanada u l-Ġappun);</w:t>
      </w:r>
    </w:p>
    <w:p w:rsidR="000B5DD9" w:rsidRPr="00FC0AFE" w:rsidRDefault="000B5DD9" w:rsidP="000B5DD9">
      <w:pPr>
        <w:pStyle w:val="Normal12Hanging"/>
        <w:rPr>
          <w:szCs w:val="24"/>
        </w:rPr>
      </w:pPr>
      <w:r w:rsidRPr="00FC0AFE">
        <w:t>M.</w:t>
      </w:r>
      <w:r w:rsidRPr="00FC0AFE">
        <w:tab/>
        <w:t>billi informazzjoni dwar il-livelli ta' residwi ta' erbiċidi u l-metaboliti tagħhom hija essenzjali għal valutazzjoni tar-riskju bir-reqqa ta' pjanti ĠM tolleranti għall-erbiċidi; billi r-residwi mill-bexx bl-erbiċidi huma meqjusa barra mill-mandat tal-bord tal-EFSA dwar l OĠM; billi l-impatti tal-bexx tal-qamħirrum ĠM bl-erbiċidi ma ġewx ivvalutati, u lanqas ma ġie vvalutat l-effett kumulattiv tal-bexx bil-glifosat u bil-glufosinat;</w:t>
      </w:r>
    </w:p>
    <w:p w:rsidR="000B5DD9" w:rsidRPr="00FC0AFE" w:rsidRDefault="000B5DD9" w:rsidP="000B5DD9">
      <w:pPr>
        <w:pStyle w:val="Normal12Hanging"/>
        <w:rPr>
          <w:szCs w:val="24"/>
        </w:rPr>
      </w:pPr>
      <w:r w:rsidRPr="00FC0AFE">
        <w:t>N.</w:t>
      </w:r>
      <w:r w:rsidRPr="00FC0AFE">
        <w:tab/>
        <w:t>billi l-Istati Membri mhumiex meħtieġa li jkejlu r-residwi tal-glifosat jew tal-glufosinat fuq l-importazzjonijiet tal-qamħirrum sabiex jiżguraw il-konformità mal-livelli massimi ta' residwu bħala parti mill-programm multiannwali tal-Unjoni kkoordinat u ta' kontroll għall-2018, l-2019 u l-2020, skont ir-Regolament ta' Implimentazzjoni tal-Kummissjoni (UE) 2017/660</w:t>
      </w:r>
      <w:r w:rsidRPr="00FC0AFE">
        <w:rPr>
          <w:rStyle w:val="FootnoteReference"/>
          <w:color w:val="000000"/>
          <w:szCs w:val="24"/>
        </w:rPr>
        <w:footnoteReference w:id="11"/>
      </w:r>
      <w:r w:rsidRPr="00FC0AFE">
        <w:t>, u lanqas m'huma meħtieġa jagħmlu dan għas-snin 2019, 2020 u 2021</w:t>
      </w:r>
      <w:r w:rsidRPr="00FC0AFE">
        <w:rPr>
          <w:rStyle w:val="FootnoteReference"/>
          <w:color w:val="000000"/>
          <w:szCs w:val="24"/>
        </w:rPr>
        <w:footnoteReference w:id="12"/>
      </w:r>
      <w:r w:rsidRPr="00FC0AFE">
        <w:t>; billi għalhekk mhuwiex magħruf jekk ir-residwi tal-glifosat jew tal-glufosinat fuq dan il-qamħirrum ĠM importat humiex konformi mal-limiti massimi ta' residwi tal-UE;</w:t>
      </w:r>
    </w:p>
    <w:p w:rsidR="000B5DD9" w:rsidRPr="00FC0AFE" w:rsidRDefault="000B5DD9" w:rsidP="000B5DD9">
      <w:pPr>
        <w:pStyle w:val="Normal12Hanging"/>
        <w:rPr>
          <w:szCs w:val="24"/>
        </w:rPr>
      </w:pPr>
      <w:r w:rsidRPr="00FC0AFE">
        <w:t>O.</w:t>
      </w:r>
      <w:r w:rsidRPr="00FC0AFE">
        <w:tab/>
        <w:t>billi l-proċeduri ta' event ta' trasformazzjoni multiplu jipproduċi erba' tossini insettiċidali (Cry1F u Cry1Ab, immirati għall-insetti lepidoptera, u Cry34Ab1 u Cry35Ab1, immirati għall-coleptera); billi studju xjentifiku fl-2017 dwar l-impatti possibbli fuq is-saħħa ta' tossini Bt u residwi minn bexx b'erbiċidi komplementari kkonkluda li għandha tingħata attenzjoni speċifika għar-residwi tal-erbiċidi u l-</w:t>
      </w:r>
      <w:r w:rsidRPr="00FC0AFE">
        <w:lastRenderedPageBreak/>
        <w:t>interazzjoni tagħhom ma' tossini Bt</w:t>
      </w:r>
      <w:r w:rsidRPr="00FC0AFE">
        <w:rPr>
          <w:rStyle w:val="FootnoteReference"/>
          <w:color w:val="000000"/>
          <w:szCs w:val="24"/>
        </w:rPr>
        <w:footnoteReference w:id="13"/>
      </w:r>
      <w:r w:rsidRPr="00FC0AFE">
        <w:t>; billi dan ma ġiex investigat mill-EFSA;</w:t>
      </w:r>
    </w:p>
    <w:p w:rsidR="000B5DD9" w:rsidRPr="00FC0AFE" w:rsidRDefault="000B5DD9" w:rsidP="000B5DD9">
      <w:pPr>
        <w:pStyle w:val="Normal12Hanging"/>
        <w:rPr>
          <w:rFonts w:eastAsia="Calibri"/>
          <w:szCs w:val="24"/>
        </w:rPr>
      </w:pPr>
      <w:r w:rsidRPr="00FC0AFE">
        <w:t>P.</w:t>
      </w:r>
      <w:r w:rsidRPr="00FC0AFE">
        <w:tab/>
        <w:t>billi l-EFSA kkonkludiet li bl-eċċezzjoni ta' wieħed, l-użi rappreżentattivi tal-glifosat għall-għelejjel konvenzjonali (jiġifieri għelejjel mhux ĠM) jirrappreżentaw "riskju għall-vertebrati terrestri selvaġġi mhux fil-mira", u identifikat ukoll riskju għoli fuq terminu twil għall-mammiferi għal uħud mill-użi ewlenin għall-għelejjel konvenzjonali</w:t>
      </w:r>
      <w:r w:rsidRPr="00FC0AFE">
        <w:rPr>
          <w:rStyle w:val="FootnoteReference"/>
          <w:rFonts w:eastAsia="Calibri"/>
          <w:color w:val="000000"/>
          <w:szCs w:val="24"/>
          <w:lang w:eastAsia="en-US"/>
        </w:rPr>
        <w:footnoteReference w:id="14"/>
      </w:r>
      <w:r w:rsidRPr="00FC0AFE">
        <w:t>; billi l-ECHA kklassifikat il-glifosat bħala tossiku għall-organiżmi akkwatiċi b'mod li jħalli effetti dejjiema; billi l-impatti negattivi tal-użu tal-glifosat fuq il-bijodiversità u fuq l-ambjent huma dokumentati b'mod wiesa'; billi, pereżempju, studju tal-Istati Uniti tal-2017 sab korrelazzjoni negattiva bejn l-użu tal-glifosat u l-abbundanza ta' friefet adulti tar-razza Monarch, partikolarment f'żoni fejn hemm konċentrazzjoni ta' agrikoltura</w:t>
      </w:r>
      <w:r w:rsidRPr="00FC0AFE">
        <w:rPr>
          <w:rStyle w:val="FootnoteReference"/>
          <w:color w:val="000000"/>
          <w:szCs w:val="24"/>
        </w:rPr>
        <w:footnoteReference w:id="15"/>
      </w:r>
      <w:r w:rsidRPr="00FC0AFE">
        <w:t>;</w:t>
      </w:r>
    </w:p>
    <w:p w:rsidR="000B5DD9" w:rsidRPr="00FC0AFE" w:rsidRDefault="000B5DD9" w:rsidP="000B5DD9">
      <w:pPr>
        <w:pStyle w:val="Normal12Hanging"/>
        <w:rPr>
          <w:szCs w:val="24"/>
        </w:rPr>
      </w:pPr>
      <w:r w:rsidRPr="00FC0AFE">
        <w:t>Q.</w:t>
      </w:r>
      <w:r w:rsidRPr="00FC0AFE">
        <w:tab/>
        <w:t>billi l-awtorizzazzjoni għat-tqegħid fis-suq tal-qamħirrum ĠM ser iżżid id-domanda għat-tkabbir tiegħu f'pajjiżi terzi; billi, kif imsemmi hawn fuq, dożi ogħla u ripetuti ta' erbiċida jintużaw għal pjanti ĠM li jittolleraw l-erbiċida (meta mqabbel ma' pjanti mhux ĠM), peress li dawn ġew iddisinjati speċifikament għal dan l-iskop;</w:t>
      </w:r>
    </w:p>
    <w:p w:rsidR="000B5DD9" w:rsidRPr="00FC0AFE" w:rsidRDefault="000B5DD9" w:rsidP="000B5DD9">
      <w:pPr>
        <w:pStyle w:val="Normal12Hanging"/>
        <w:rPr>
          <w:szCs w:val="24"/>
        </w:rPr>
      </w:pPr>
      <w:r w:rsidRPr="00FC0AFE">
        <w:t>R.</w:t>
      </w:r>
      <w:r w:rsidRPr="00FC0AFE">
        <w:tab/>
        <w:t>billi l-Unjoni hija firmatarja tal-Konvenzjoni tan-NU dwar id-Diversità Bijoloġika, li jimponi fuq il-partijiet kontraenti tagħha r-responsabbiltà li jiżguraw li l-attivitajiet fil-ġurisdizzjoni tagħhom ma jikkawżawx ħsara lill-ambjent ta' stati oħrajn</w:t>
      </w:r>
      <w:r w:rsidRPr="00FC0AFE">
        <w:rPr>
          <w:rStyle w:val="FootnoteReference"/>
          <w:color w:val="000000"/>
          <w:szCs w:val="24"/>
        </w:rPr>
        <w:footnoteReference w:id="16"/>
      </w:r>
      <w:r w:rsidRPr="00FC0AFE">
        <w:t>; billi d-deċiżjoni dwar jekk tiġix imġedda l-awtorizzazzjoni għall-qamħirrum ĠM hija fi ħdan il-ġurisdizzjoni tal-Unjoni;</w:t>
      </w:r>
    </w:p>
    <w:p w:rsidR="000B5DD9" w:rsidRPr="00FC0AFE" w:rsidRDefault="000B5DD9" w:rsidP="000B5DD9">
      <w:pPr>
        <w:pStyle w:val="Normal12Hanging"/>
        <w:rPr>
          <w:szCs w:val="24"/>
        </w:rPr>
      </w:pPr>
      <w:r w:rsidRPr="00FC0AFE">
        <w:t>S.</w:t>
      </w:r>
      <w:r w:rsidRPr="00FC0AFE">
        <w:tab/>
        <w:t>billi l-iżvilupp ta' għelejjel ĠM tolleranti għal diversi erbiċidi selettivi huwa prinċipalment dovut għall-evoluzzjoni mgħaġġla ta' ħaxix ħażin reżistenti għall-glifosat f'pajjiżi li kienu jiddependu ħafna fuq għelejjel ĠM; billi fl-2015, fuq livell globali kien hemm mill-inqas 29 speċi ta' ħaxix ħażin reżistenti għall-glifosat</w:t>
      </w:r>
      <w:r w:rsidRPr="00FC0AFE">
        <w:rPr>
          <w:rStyle w:val="FootnoteReference"/>
          <w:color w:val="000000"/>
          <w:szCs w:val="24"/>
        </w:rPr>
        <w:footnoteReference w:id="17"/>
      </w:r>
      <w:r w:rsidRPr="00FC0AFE">
        <w:t>;</w:t>
      </w:r>
    </w:p>
    <w:p w:rsidR="000B5DD9" w:rsidRPr="00FC0AFE" w:rsidRDefault="000B5DD9" w:rsidP="000B5DD9">
      <w:pPr>
        <w:pStyle w:val="Normal12Hanging"/>
        <w:rPr>
          <w:szCs w:val="24"/>
        </w:rPr>
      </w:pPr>
      <w:r w:rsidRPr="00FC0AFE">
        <w:t>T.</w:t>
      </w:r>
      <w:r w:rsidRPr="00FC0AFE">
        <w:tab/>
        <w:t>billi, b'segwitu ta ' votazzjoni fit-23 ta' April 2018, il-Kumitat Permanenti dwar il-Katina tal-Ikel u s-Saħħa tal-Annimali, imsemmi fl-Artikolu 35 tar-Regolament (KE) Nru 1829/2003, ma ta ebda opinjoni;</w:t>
      </w:r>
    </w:p>
    <w:p w:rsidR="000B5DD9" w:rsidRPr="00FC0AFE" w:rsidRDefault="000B5DD9" w:rsidP="000B5DD9">
      <w:pPr>
        <w:pStyle w:val="Normal12Hanging"/>
        <w:rPr>
          <w:szCs w:val="24"/>
        </w:rPr>
      </w:pPr>
      <w:r w:rsidRPr="00FC0AFE">
        <w:t>U.</w:t>
      </w:r>
      <w:r w:rsidRPr="00FC0AFE">
        <w:tab/>
        <w:t>billi f'diversi okkażjonijiet il-Kummissjoni ddeplorat il-fatt li mindu daħal fis-seħħ ir-Regolament (KE) Nru 1829/2003 hija kellha tadotta deċiżjonijiet ta' awtorizzazzjoni mingħajr l-appoġġ tal-Kumitat Permanenti dwar il-Katina Alimentari u s-Saħħa tal-Annimali, u li r-ritorn tad-dossier lill-Kummissjoni għal deċiżjoni finali, li hija verament l-eċċezzjoni għall-proċedura kollha kemm hija, sar in-norma għat-teħid ta' deċiżjonijiet dwar l-awtorizzazzjonijiet tal-ikel u l-għalf ĠM; billi din il-prattika ġiet ukoll ikkundannata mill-President Juncker bħala mhijiex demokratika</w:t>
      </w:r>
      <w:r w:rsidRPr="00FC0AFE">
        <w:rPr>
          <w:vertAlign w:val="superscript"/>
        </w:rPr>
        <w:footnoteReference w:id="18"/>
      </w:r>
      <w:r w:rsidRPr="00FC0AFE">
        <w:t>;</w:t>
      </w:r>
    </w:p>
    <w:p w:rsidR="000B5DD9" w:rsidRPr="00FC0AFE" w:rsidRDefault="000B5DD9" w:rsidP="000B5DD9">
      <w:pPr>
        <w:pStyle w:val="Normal12Hanging"/>
        <w:rPr>
          <w:szCs w:val="24"/>
        </w:rPr>
      </w:pPr>
      <w:r w:rsidRPr="00FC0AFE">
        <w:lastRenderedPageBreak/>
        <w:t>V.</w:t>
      </w:r>
      <w:r w:rsidRPr="00FC0AFE">
        <w:tab/>
        <w:t>billi, fit-28 ta' Ottubru 2015, il-Parlament ċaħad fl-ewwel qari</w:t>
      </w:r>
      <w:r w:rsidR="00DE5EB5">
        <w:rPr>
          <w:rStyle w:val="FootnoteReference"/>
        </w:rPr>
        <w:footnoteReference w:id="19"/>
      </w:r>
      <w:r w:rsidRPr="00FC0AFE">
        <w:t xml:space="preserve"> l-proposta leġiżlattiva tat-22 ta' April 2015 li temenda r-Regolament (KE) Nru 1829/2003 u talab lill-Kummissjoni tirtiraha u tressaq proposta ġdida;</w:t>
      </w:r>
    </w:p>
    <w:p w:rsidR="000B5DD9" w:rsidRPr="00FC0AFE" w:rsidRDefault="000B5DD9" w:rsidP="000B5DD9">
      <w:pPr>
        <w:pStyle w:val="Normal12Hanging"/>
        <w:rPr>
          <w:szCs w:val="24"/>
        </w:rPr>
      </w:pPr>
      <w:r w:rsidRPr="00FC0AFE">
        <w:t>W.</w:t>
      </w:r>
      <w:r w:rsidRPr="00FC0AFE">
        <w:tab/>
        <w:t>billi l-premessa 14 tar-Regolament (UE) Nru 182/2011 tafferma li jenħtieġ li l-Kummissjoni, kemm jista' jkun, timxi b'tali mod li topponi kwalunkwe pożizzjoni predominanti li tista' tqum fil-kumitat ta' appell kontra l-idoneità ta' att ta' implimentazzjoni, speċjalment meta dak l-att jikkonċerna kwistjonijiet sensittivi bħalma huma s-saħħa tal-konsumatur, is-sikurezza tal-ikel u l-ambjent;</w:t>
      </w:r>
    </w:p>
    <w:p w:rsidR="000B5DD9" w:rsidRPr="00FC0AFE" w:rsidRDefault="000B5DD9" w:rsidP="000B5DD9">
      <w:pPr>
        <w:pStyle w:val="Normal12Hanging"/>
        <w:rPr>
          <w:szCs w:val="24"/>
        </w:rPr>
      </w:pPr>
      <w:r w:rsidRPr="00FC0AFE">
        <w:t>X.</w:t>
      </w:r>
      <w:r w:rsidRPr="00FC0AFE">
        <w:tab/>
        <w:t>billi r-Regolament (</w:t>
      </w:r>
      <w:r w:rsidR="00307559">
        <w:t>KE</w:t>
      </w:r>
      <w:r w:rsidRPr="00FC0AFE">
        <w:t>) Nru 1829/2003 jiddikjara li ikel jew għalf ġenetikament modifikat ma jridx ikollu effetti negattivi fuq is-saħħa tal-bniedem, is-saħħa tal-annimali jew l-ambjent u li l-Kummissjoni għandha tikkunsidra kwalunkwe dispożizzjoni rilevanti tad-dritt tal-Unjoni u fatturi leġittimi oħrajn li jkunu rilevanti għall-kwistjoni li tkun qiegħda tiġi kkunsidrata fl-abbozzar tad-deċiżjoni tagħha għat-tiġdid tal-awtorizzazzjoni;</w:t>
      </w:r>
    </w:p>
    <w:p w:rsidR="000B5DD9" w:rsidRPr="00FC0AFE" w:rsidRDefault="000B5DD9" w:rsidP="000B5DD9">
      <w:pPr>
        <w:pStyle w:val="Normal12Hanging"/>
        <w:rPr>
          <w:szCs w:val="24"/>
        </w:rPr>
      </w:pPr>
      <w:r w:rsidRPr="00FC0AFE">
        <w:t>1.</w:t>
      </w:r>
      <w:r w:rsidRPr="00FC0AFE">
        <w:tab/>
        <w:t>Iqis li l-abbozz ta' deċiżjoni ta' implimentazzjoni tal-Kummissjoni jmur lil hinn mis-setgħat ta' implimentazzjoni previsti fir-Regolament (</w:t>
      </w:r>
      <w:r w:rsidR="00307559">
        <w:t>KE</w:t>
      </w:r>
      <w:bookmarkStart w:id="8" w:name="_GoBack"/>
      <w:bookmarkEnd w:id="8"/>
      <w:r w:rsidRPr="00FC0AFE">
        <w:t>) Nru 1829/2003;</w:t>
      </w:r>
    </w:p>
    <w:p w:rsidR="000B5DD9" w:rsidRPr="00FC0AFE" w:rsidRDefault="000B5DD9" w:rsidP="000B5DD9">
      <w:pPr>
        <w:pStyle w:val="Normal12Hanging"/>
        <w:rPr>
          <w:szCs w:val="24"/>
        </w:rPr>
      </w:pPr>
      <w:r w:rsidRPr="00FC0AFE">
        <w:t>2.</w:t>
      </w:r>
      <w:r w:rsidRPr="00FC0AFE">
        <w:tab/>
        <w:t>Iqis li l-abbozz ta' deċiżjoni ta' implimentazzjoni tal-Kummissjoni mhijiex konsistenti mad-dritt tal-Unjoni billi mhijiex kompatibbli mal-għan tar-Regolament (KE) Nru 1829/2003 li, skont il-prinċipji ġenerali stabbiliti fir-Regolament (KE) Nru 178/2002 tal-Parlament Ewropew u tal-Kunsill</w:t>
      </w:r>
      <w:r w:rsidRPr="00FC0AFE">
        <w:rPr>
          <w:szCs w:val="24"/>
          <w:vertAlign w:val="superscript"/>
        </w:rPr>
        <w:t xml:space="preserve"> </w:t>
      </w:r>
      <w:r w:rsidRPr="00FC0AFE">
        <w:rPr>
          <w:szCs w:val="24"/>
          <w:vertAlign w:val="superscript"/>
        </w:rPr>
        <w:footnoteReference w:id="20"/>
      </w:r>
      <w:r w:rsidRPr="00FC0AFE">
        <w:t>, huwa li jipprovdi l-bażi biex, fir-rigward ta' ikel u għalf ġenetikament modifikati, jiżgura livell għoli ta' protezzjoni għall-ħajja u s-saħħa tal-bniedem, is-saħħa u l-benesseri tal-annimali, u l-interessi tal-ambjent u tal-konsumaturi, filwaqt li jiżgura l-funzjonament effettiv tas-suq intern;</w:t>
      </w:r>
    </w:p>
    <w:p w:rsidR="000B5DD9" w:rsidRPr="00FC0AFE" w:rsidRDefault="000B5DD9" w:rsidP="000B5DD9">
      <w:pPr>
        <w:pStyle w:val="Normal12Hanging"/>
        <w:rPr>
          <w:szCs w:val="24"/>
        </w:rPr>
      </w:pPr>
      <w:r w:rsidRPr="00FC0AFE">
        <w:t>3.</w:t>
      </w:r>
      <w:r w:rsidRPr="00FC0AFE">
        <w:tab/>
        <w:t>Jitlob lill-Kummissjoni tirtira l-abbozz ta' deċiżjoni ta' implimentazzjoni tagħha;</w:t>
      </w:r>
    </w:p>
    <w:p w:rsidR="000B5DD9" w:rsidRPr="00FC0AFE" w:rsidRDefault="000B5DD9" w:rsidP="000B5DD9">
      <w:pPr>
        <w:pStyle w:val="Normal12Hanging"/>
        <w:rPr>
          <w:szCs w:val="24"/>
        </w:rPr>
      </w:pPr>
      <w:r w:rsidRPr="00FC0AFE">
        <w:t>4.</w:t>
      </w:r>
      <w:r w:rsidRPr="00FC0AFE">
        <w:tab/>
        <w:t>Jistieden lill-Kummissjoni tissospendi kwalunkwe deċiżjoni ta' implimentazzjoni rigward l-applikazzjonijiet għal awtorizzazzjoni ta' OĠM sa ma tiġi riveduta l-proċedura ta' awtorizzazzjoni b'tali mod li tindirizza n-nuqqasijiet tal-proċedura attwali, li wriet li mhix adegwata;</w:t>
      </w:r>
    </w:p>
    <w:p w:rsidR="000B5DD9" w:rsidRPr="00FC0AFE" w:rsidRDefault="000B5DD9" w:rsidP="000B5DD9">
      <w:pPr>
        <w:pStyle w:val="Normal12Hanging"/>
        <w:rPr>
          <w:szCs w:val="24"/>
        </w:rPr>
      </w:pPr>
      <w:r w:rsidRPr="00FC0AFE">
        <w:t>5.</w:t>
      </w:r>
      <w:r w:rsidRPr="00FC0AFE">
        <w:tab/>
        <w:t>Jistieden, b'mod partikolari, lill-Kummissjoni tirrispetta l-impenji tagħha skont il-Konvenzjoni tan-NU dwar id-Diversità Bijoloġika, billi tissospendi l-importazzjonijiet kollha ta' pjanti ĠM li huma tolleranti għall-glifosat;</w:t>
      </w:r>
    </w:p>
    <w:p w:rsidR="000B5DD9" w:rsidRPr="00FC0AFE" w:rsidRDefault="000B5DD9" w:rsidP="000B5DD9">
      <w:pPr>
        <w:pStyle w:val="Normal12Hanging"/>
        <w:rPr>
          <w:szCs w:val="24"/>
        </w:rPr>
      </w:pPr>
      <w:r w:rsidRPr="00FC0AFE">
        <w:t>6.</w:t>
      </w:r>
      <w:r w:rsidRPr="00FC0AFE">
        <w:tab/>
        <w:t>Jistieden, b'mod partikolari, lill-Kummissjoni ma tawtorizzax l-importazzjoni ta' kwalunkwe pjanta ġenetikament modifikata għall-użi bħala ikel jew għalf li tkun ġiet magħmula tolleranti għal erbiċida li ma jkunx awtorizzat għal użu fl-Unjoni (f'dan il-każ il-glufosinat, li l-awtorizzazzjoni għalih tiskadi fil-31 ta' Lulju 2018);</w:t>
      </w:r>
    </w:p>
    <w:p w:rsidR="000B5DD9" w:rsidRPr="00FC0AFE" w:rsidRDefault="000B5DD9" w:rsidP="000B5DD9">
      <w:pPr>
        <w:pStyle w:val="Normal12Hanging"/>
        <w:rPr>
          <w:szCs w:val="24"/>
        </w:rPr>
      </w:pPr>
      <w:r w:rsidRPr="00FC0AFE">
        <w:t>7.</w:t>
      </w:r>
      <w:r w:rsidRPr="00FC0AFE">
        <w:tab/>
        <w:t>Jistieden lill-Kummissjoni ma tawtorizza ebda pjanta ĠM tolleranti għall-erbiċida mingħajr valutazzjoni sħiħa tar-residwi minn bexx b'erbiċidi komplementari u l-formulazzjonijiet kummerċjali tagħhom kif applikati fil-pajjiżi ta' kultivazzjoni;</w:t>
      </w:r>
    </w:p>
    <w:p w:rsidR="000B5DD9" w:rsidRPr="00FC0AFE" w:rsidRDefault="000B5DD9" w:rsidP="000B5DD9">
      <w:pPr>
        <w:pStyle w:val="Normal12Hanging"/>
        <w:rPr>
          <w:szCs w:val="24"/>
        </w:rPr>
      </w:pPr>
      <w:r w:rsidRPr="00FC0AFE">
        <w:t>8.</w:t>
      </w:r>
      <w:r w:rsidRPr="00FC0AFE">
        <w:tab/>
        <w:t xml:space="preserve">Jistieden lill-Kummissjoni tintegra bis-sħiħ il-valutazzjoni tar-riskju tal-applikazzjoni </w:t>
      </w:r>
      <w:r w:rsidRPr="00FC0AFE">
        <w:lastRenderedPageBreak/>
        <w:t>tal-erbiċidi komplementari u r-residwi tagħhom fil-valutazzjoni tar-riskju tal-pjanti ĠM tolleranti għall-erbiċidi, irrispettivament minn jekk il-pjanta ĠM tkunx maħsuba għall-kultivazzjoni fl-Unjoni jew għall-importazzjoni fl-Unjoni għall-ikel u l-għalf;</w:t>
      </w:r>
    </w:p>
    <w:p w:rsidR="000B5DD9" w:rsidRPr="00FC0AFE" w:rsidRDefault="000B5DD9" w:rsidP="000B5DD9">
      <w:pPr>
        <w:pStyle w:val="Normal12Hanging"/>
        <w:rPr>
          <w:szCs w:val="24"/>
        </w:rPr>
      </w:pPr>
      <w:r w:rsidRPr="00FC0AFE">
        <w:t>9.</w:t>
      </w:r>
      <w:r w:rsidRPr="00FC0AFE">
        <w:tab/>
        <w:t>Itenni l-impenn tiegħu li javvanza bil-ħidma fuq il-proposta tal-Kummissjoni li temenda r-Regolament (UE) Nru 182/2011 sabiex jiżgura li, fost l-oħrajn, jekk il-Kumitat Permanenti dwar il-Katina tal-Ikel u s-Saħħa tal-Annimali ma jagħti ebda opinjoni fir-rigward ta' approvazzjonijiet ta' OĠM, sew għall-kultivazzjoni u sew għall-ikel u l-għalf, il-Kummissjoni tirtira l-proposta; jistieden lill-Kunsill imexxi 'l quddiem il-ħidma tiegħu fuq l-istess proposta tal-Kummissjoni bħala kwistjoni ta' urġenza;</w:t>
      </w:r>
    </w:p>
    <w:p w:rsidR="000B5DD9" w:rsidRPr="00FC0AFE" w:rsidRDefault="000B5DD9" w:rsidP="004F5DEC">
      <w:pPr>
        <w:pStyle w:val="Normal12Hanging"/>
      </w:pPr>
      <w:r w:rsidRPr="00FC0AFE">
        <w:t>10.</w:t>
      </w:r>
      <w:r w:rsidRPr="00FC0AFE">
        <w:tab/>
        <w:t>Jagħti istruzzjonijiet lill-President tiegħu sabiex jgħaddi din ir-riżoluzzjoni lill-Kunsill u lill-Kummissjoni, kif ukoll lill-gvernijiet u lill-parlamenti tal-Istati Membri.</w:t>
      </w:r>
    </w:p>
    <w:p w:rsidR="00E365E1" w:rsidRPr="00FC0AFE" w:rsidRDefault="00E365E1" w:rsidP="000B5DD9">
      <w:bookmarkStart w:id="9" w:name="TextBodyEnd"/>
      <w:bookmarkEnd w:id="9"/>
    </w:p>
    <w:sectPr w:rsidR="00E365E1" w:rsidRPr="00FC0AFE" w:rsidSect="00FC0A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52E" w:rsidRPr="00FC0AFE" w:rsidRDefault="0090252E">
      <w:r w:rsidRPr="00FC0AFE">
        <w:separator/>
      </w:r>
    </w:p>
  </w:endnote>
  <w:endnote w:type="continuationSeparator" w:id="0">
    <w:p w:rsidR="0090252E" w:rsidRPr="00FC0AFE" w:rsidRDefault="0090252E">
      <w:r w:rsidRPr="00FC0A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FE" w:rsidRPr="00FC0AFE" w:rsidRDefault="00FC0AFE">
    <w:pPr>
      <w:pStyle w:val="Footer"/>
      <w:rPr>
        <w:lang w:val="mt-M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FE" w:rsidRPr="00FC0AFE" w:rsidRDefault="00FC0AFE">
    <w:pPr>
      <w:pStyle w:val="Footer"/>
      <w:rPr>
        <w:lang w:val="mt-M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FE" w:rsidRPr="00FC0AFE" w:rsidRDefault="00FC0AFE">
    <w:pPr>
      <w:pStyle w:val="Footer"/>
      <w:rPr>
        <w:lang w:val="mt-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52E" w:rsidRPr="00FC0AFE" w:rsidRDefault="0090252E">
      <w:r w:rsidRPr="00FC0AFE">
        <w:separator/>
      </w:r>
    </w:p>
  </w:footnote>
  <w:footnote w:type="continuationSeparator" w:id="0">
    <w:p w:rsidR="0090252E" w:rsidRPr="00FC0AFE" w:rsidRDefault="0090252E">
      <w:r w:rsidRPr="00FC0AFE">
        <w:continuationSeparator/>
      </w:r>
    </w:p>
  </w:footnote>
  <w:footnote w:id="1">
    <w:p w:rsidR="000B5DD9" w:rsidRPr="00DE5EB5" w:rsidRDefault="000B5DD9" w:rsidP="00FC0AFE">
      <w:pPr>
        <w:pStyle w:val="FootnoteText"/>
        <w:ind w:left="567" w:hanging="567"/>
        <w:rPr>
          <w:sz w:val="24"/>
          <w:szCs w:val="24"/>
          <w:lang w:val="mt-MT"/>
        </w:rPr>
      </w:pPr>
      <w:r w:rsidRPr="00DE5EB5">
        <w:rPr>
          <w:rStyle w:val="FootnoteReference"/>
          <w:sz w:val="24"/>
          <w:szCs w:val="24"/>
          <w:lang w:val="mt-MT"/>
        </w:rPr>
        <w:footnoteRef/>
      </w:r>
      <w:r w:rsidR="00FC0AFE" w:rsidRPr="00DE5EB5">
        <w:rPr>
          <w:sz w:val="24"/>
          <w:szCs w:val="24"/>
          <w:lang w:val="mt-MT"/>
        </w:rPr>
        <w:t xml:space="preserve"> </w:t>
      </w:r>
      <w:r w:rsidR="00FC0AFE" w:rsidRPr="00DE5EB5">
        <w:rPr>
          <w:sz w:val="24"/>
          <w:szCs w:val="24"/>
          <w:lang w:val="mt-MT"/>
        </w:rPr>
        <w:tab/>
      </w:r>
      <w:r w:rsidRPr="00DE5EB5">
        <w:rPr>
          <w:sz w:val="24"/>
          <w:szCs w:val="24"/>
          <w:lang w:val="mt-MT"/>
        </w:rPr>
        <w:t>ĠU L 268, 18.10.2003, p. 1.</w:t>
      </w:r>
    </w:p>
  </w:footnote>
  <w:footnote w:id="2">
    <w:p w:rsidR="000B5DD9" w:rsidRPr="00DE5EB5" w:rsidRDefault="000B5DD9" w:rsidP="00FC0AFE">
      <w:pPr>
        <w:pStyle w:val="FootnoteText"/>
        <w:ind w:left="567" w:hanging="567"/>
        <w:rPr>
          <w:sz w:val="24"/>
          <w:szCs w:val="24"/>
          <w:lang w:val="mt-MT"/>
        </w:rPr>
      </w:pPr>
      <w:r w:rsidRPr="00DE5EB5">
        <w:rPr>
          <w:rStyle w:val="FootnoteReference"/>
          <w:sz w:val="24"/>
          <w:szCs w:val="24"/>
          <w:lang w:val="mt-MT"/>
        </w:rPr>
        <w:footnoteRef/>
      </w:r>
      <w:r w:rsidR="00FC0AFE" w:rsidRPr="00DE5EB5">
        <w:rPr>
          <w:sz w:val="24"/>
          <w:szCs w:val="24"/>
          <w:lang w:val="mt-MT"/>
        </w:rPr>
        <w:t xml:space="preserve"> </w:t>
      </w:r>
      <w:r w:rsidR="00FC0AFE" w:rsidRPr="00DE5EB5">
        <w:rPr>
          <w:sz w:val="24"/>
          <w:szCs w:val="24"/>
          <w:lang w:val="mt-MT"/>
        </w:rPr>
        <w:tab/>
      </w:r>
      <w:r w:rsidRPr="00DE5EB5">
        <w:rPr>
          <w:sz w:val="24"/>
          <w:szCs w:val="24"/>
          <w:lang w:val="mt-MT"/>
        </w:rPr>
        <w:t>ĠU L 55, 28.2.2011, p. 13.</w:t>
      </w:r>
    </w:p>
  </w:footnote>
  <w:footnote w:id="3">
    <w:p w:rsidR="000B5DD9" w:rsidRPr="00DE5EB5" w:rsidRDefault="000B5DD9" w:rsidP="00FC0AFE">
      <w:pPr>
        <w:pStyle w:val="FootnoteText"/>
        <w:ind w:left="567" w:hanging="567"/>
        <w:rPr>
          <w:sz w:val="24"/>
          <w:szCs w:val="24"/>
          <w:lang w:val="mt-MT"/>
        </w:rPr>
      </w:pPr>
      <w:r w:rsidRPr="00DE5EB5">
        <w:rPr>
          <w:rStyle w:val="FootnoteReference"/>
          <w:sz w:val="24"/>
          <w:szCs w:val="24"/>
          <w:lang w:val="mt-MT"/>
        </w:rPr>
        <w:footnoteRef/>
      </w:r>
      <w:r w:rsidR="00FC0AFE" w:rsidRPr="00DE5EB5">
        <w:rPr>
          <w:sz w:val="24"/>
          <w:szCs w:val="24"/>
          <w:lang w:val="mt-MT"/>
        </w:rPr>
        <w:t xml:space="preserve"> </w:t>
      </w:r>
      <w:r w:rsidR="00FC0AFE" w:rsidRPr="00DE5EB5">
        <w:rPr>
          <w:sz w:val="24"/>
          <w:szCs w:val="24"/>
          <w:lang w:val="mt-MT"/>
        </w:rPr>
        <w:tab/>
      </w:r>
      <w:hyperlink r:id="rId1" w:history="1">
        <w:r w:rsidRPr="00DE5EB5">
          <w:rPr>
            <w:rStyle w:val="Hyperlink"/>
            <w:sz w:val="24"/>
            <w:szCs w:val="24"/>
            <w:lang w:val="mt-MT"/>
          </w:rPr>
          <w:t>https://efsa.onlinelibrary.wiley.com/doi/10.2903/j.efsa.2017.5000</w:t>
        </w:r>
      </w:hyperlink>
    </w:p>
  </w:footnote>
  <w:footnote w:id="4">
    <w:p w:rsidR="000B5DD9" w:rsidRPr="00DE5EB5" w:rsidRDefault="000B5DD9" w:rsidP="00FC0AFE">
      <w:pPr>
        <w:pStyle w:val="FootnoteText"/>
        <w:ind w:left="567" w:hanging="567"/>
        <w:rPr>
          <w:sz w:val="24"/>
          <w:szCs w:val="24"/>
          <w:vertAlign w:val="superscript"/>
          <w:lang w:val="mt-MT"/>
        </w:rPr>
      </w:pPr>
      <w:r w:rsidRPr="00DE5EB5">
        <w:rPr>
          <w:rStyle w:val="FootnoteReference"/>
          <w:sz w:val="24"/>
          <w:szCs w:val="24"/>
          <w:lang w:val="mt-MT"/>
        </w:rPr>
        <w:footnoteRef/>
      </w:r>
      <w:r w:rsidR="00FC0AFE" w:rsidRPr="00DE5EB5">
        <w:rPr>
          <w:sz w:val="24"/>
          <w:szCs w:val="24"/>
          <w:lang w:val="mt-MT"/>
        </w:rPr>
        <w:t xml:space="preserve"> </w:t>
      </w:r>
      <w:r w:rsidR="00FC0AFE" w:rsidRPr="00DE5EB5">
        <w:rPr>
          <w:sz w:val="24"/>
          <w:szCs w:val="24"/>
          <w:lang w:val="mt-MT"/>
        </w:rPr>
        <w:tab/>
      </w:r>
      <w:r w:rsidRPr="00DE5EB5">
        <w:rPr>
          <w:sz w:val="24"/>
          <w:szCs w:val="24"/>
          <w:lang w:val="mt-MT"/>
        </w:rPr>
        <w:t>- Riżoluzzjoni tas-16 ta' Jannar 2014 dwar il-proposta għal deċiżjoni tal-Kunsill dwar it-tqegħid fis-suq għall-kultivazzjoni, skont id-Direttiva 2001/18/KE tal-Parlament Ewropew u tal-Kunsill, ta' prodott tal-qamħirrum (Zea mays L., il-linja 1507) ġenetikament modifikat għar-reżistenza għal ċerti organiżmi ta' ħsara lepidopterani (ĠU C 482, 23.12.2016, p. 110)</w:t>
      </w:r>
      <w:r w:rsidRPr="00DE5EB5">
        <w:rPr>
          <w:rStyle w:val="contents"/>
          <w:sz w:val="24"/>
          <w:szCs w:val="24"/>
          <w:lang w:val="mt-MT"/>
        </w:rPr>
        <w:t>.</w:t>
      </w:r>
    </w:p>
    <w:p w:rsidR="000B5DD9" w:rsidRPr="00DE5EB5" w:rsidRDefault="00FC0AFE" w:rsidP="00FC0AFE">
      <w:pPr>
        <w:pStyle w:val="FootnoteText"/>
        <w:ind w:left="567" w:hanging="567"/>
        <w:rPr>
          <w:sz w:val="24"/>
          <w:szCs w:val="24"/>
          <w:vertAlign w:val="superscript"/>
          <w:lang w:val="mt-MT"/>
        </w:rPr>
      </w:pPr>
      <w:r w:rsidRPr="00DE5EB5">
        <w:rPr>
          <w:sz w:val="24"/>
          <w:szCs w:val="24"/>
          <w:lang w:val="mt-MT"/>
        </w:rPr>
        <w:t xml:space="preserve"> </w:t>
      </w:r>
      <w:r w:rsidRPr="00DE5EB5">
        <w:rPr>
          <w:sz w:val="24"/>
          <w:szCs w:val="24"/>
          <w:lang w:val="mt-MT"/>
        </w:rPr>
        <w:tab/>
      </w:r>
      <w:r w:rsidR="000B5DD9" w:rsidRPr="00DE5EB5">
        <w:rPr>
          <w:sz w:val="24"/>
          <w:szCs w:val="24"/>
          <w:lang w:val="mt-MT"/>
        </w:rPr>
        <w:t>- Riżoluzzjoni tas-16 ta' Diċembru 2015 dwar id-deċiżjoni ta' implimentazzjoni tal-Kummissjoni (UE) 2015/2279 tal-4 ta' Diċembru 2015 li tawtorizza l-introduzzjoni fis-suq ta' prodotti li fihom il-qamħirrum ġenetikament modifikat NK603 × T25 (ĠU C 399, 24.11.2017, p. 71).</w:t>
      </w:r>
    </w:p>
    <w:p w:rsidR="000B5DD9" w:rsidRPr="00DE5EB5" w:rsidRDefault="00FC0AFE" w:rsidP="00FC0AFE">
      <w:pPr>
        <w:pStyle w:val="FootnoteText"/>
        <w:ind w:left="567" w:hanging="567"/>
        <w:rPr>
          <w:sz w:val="24"/>
          <w:szCs w:val="24"/>
          <w:vertAlign w:val="superscript"/>
          <w:lang w:val="mt-MT"/>
        </w:rPr>
      </w:pPr>
      <w:r w:rsidRPr="00DE5EB5">
        <w:rPr>
          <w:sz w:val="24"/>
          <w:szCs w:val="24"/>
          <w:lang w:val="mt-MT"/>
        </w:rPr>
        <w:t xml:space="preserve"> </w:t>
      </w:r>
      <w:r w:rsidRPr="00DE5EB5">
        <w:rPr>
          <w:sz w:val="24"/>
          <w:szCs w:val="24"/>
          <w:lang w:val="mt-MT"/>
        </w:rPr>
        <w:tab/>
      </w:r>
      <w:r w:rsidR="000B5DD9" w:rsidRPr="00DE5EB5">
        <w:rPr>
          <w:sz w:val="24"/>
          <w:szCs w:val="24"/>
          <w:lang w:val="mt-MT"/>
        </w:rPr>
        <w:t>- Riżoluzzjoni tat-3 ta' Frar 2016 dwar l-abbozz ta' deċiżjoni ta' implimentazzjoni tal-Kummissjoni li tawtorizza t-tqegħid fis-suq ta' prodotti li jkun fihom, ikunu jikkonsistu, jew li jkunu prodotti minn, fażola tas-sojja ġenetikament modifikata MON 87705 × MON 89788 (ĠU C 35, 31.1.2018, p. 19).</w:t>
      </w:r>
    </w:p>
    <w:p w:rsidR="000B5DD9" w:rsidRPr="00DE5EB5" w:rsidRDefault="00FC0AFE" w:rsidP="00FC0AFE">
      <w:pPr>
        <w:pStyle w:val="FootnoteText"/>
        <w:ind w:left="567" w:hanging="567"/>
        <w:rPr>
          <w:sz w:val="24"/>
          <w:szCs w:val="24"/>
          <w:vertAlign w:val="superscript"/>
          <w:lang w:val="mt-MT"/>
        </w:rPr>
      </w:pPr>
      <w:r w:rsidRPr="00DE5EB5">
        <w:rPr>
          <w:sz w:val="24"/>
          <w:szCs w:val="24"/>
          <w:lang w:val="mt-MT"/>
        </w:rPr>
        <w:t xml:space="preserve"> </w:t>
      </w:r>
      <w:r w:rsidRPr="00DE5EB5">
        <w:rPr>
          <w:sz w:val="24"/>
          <w:szCs w:val="24"/>
          <w:lang w:val="mt-MT"/>
        </w:rPr>
        <w:tab/>
      </w:r>
      <w:r w:rsidR="000B5DD9" w:rsidRPr="00DE5EB5">
        <w:rPr>
          <w:sz w:val="24"/>
          <w:szCs w:val="24"/>
          <w:lang w:val="mt-MT"/>
        </w:rPr>
        <w:t>- Riżoluzzjoni tat-3 ta' Frar 2016 dwar l-abbozz ta' deċiżjoni ta' implimentazzjoni tal-Kummissjoni li tawtorizza t-tqegħid fis-suq ta' prodotti li jkun fihom, ikunu jikkonsistu, jew li jkunu prodotti minn, fażola tas-sojja ġenetikament modifikata MON 87708 × MON 89788 (ĠU C 35, 31.1.2018, p. 17).</w:t>
      </w:r>
    </w:p>
    <w:p w:rsidR="000B5DD9" w:rsidRPr="00DE5EB5" w:rsidRDefault="00FC0AFE" w:rsidP="00FC0AFE">
      <w:pPr>
        <w:pStyle w:val="FootnoteText"/>
        <w:ind w:left="567" w:hanging="567"/>
        <w:rPr>
          <w:sz w:val="24"/>
          <w:szCs w:val="24"/>
          <w:vertAlign w:val="superscript"/>
          <w:lang w:val="mt-MT"/>
        </w:rPr>
      </w:pPr>
      <w:r w:rsidRPr="00DE5EB5">
        <w:rPr>
          <w:sz w:val="24"/>
          <w:szCs w:val="24"/>
          <w:lang w:val="mt-MT"/>
        </w:rPr>
        <w:t xml:space="preserve"> </w:t>
      </w:r>
      <w:r w:rsidRPr="00DE5EB5">
        <w:rPr>
          <w:sz w:val="24"/>
          <w:szCs w:val="24"/>
          <w:lang w:val="mt-MT"/>
        </w:rPr>
        <w:tab/>
      </w:r>
      <w:r w:rsidR="000B5DD9" w:rsidRPr="00DE5EB5">
        <w:rPr>
          <w:sz w:val="24"/>
          <w:szCs w:val="24"/>
          <w:lang w:val="mt-MT"/>
        </w:rPr>
        <w:t>- Riżoluzzjoni tat-3 ta' Frar 2016 dwar l-abbozz ta' deċiżjoni ta' implimentazzjoni tal-Kummissjoni li tawtorizza t-tqegħid fis-suq ta' prodotti li jkun fihom, ikunu jikkonsistu, jew li jkunu prodotti minn, fażola tas-sojja ġenetikament modifikata FG72 (MST-FGØ72-2) (ĠU C 35, 31.1.2018, p. 15).</w:t>
      </w:r>
    </w:p>
    <w:p w:rsidR="000B5DD9" w:rsidRPr="00DE5EB5" w:rsidRDefault="00FC0AFE" w:rsidP="00FC0AFE">
      <w:pPr>
        <w:pStyle w:val="FootnoteText"/>
        <w:ind w:left="567" w:hanging="567"/>
        <w:rPr>
          <w:sz w:val="24"/>
          <w:szCs w:val="24"/>
          <w:vertAlign w:val="superscript"/>
          <w:lang w:val="mt-MT"/>
        </w:rPr>
      </w:pPr>
      <w:r w:rsidRPr="00DE5EB5">
        <w:rPr>
          <w:sz w:val="24"/>
          <w:szCs w:val="24"/>
          <w:lang w:val="mt-MT"/>
        </w:rPr>
        <w:t xml:space="preserve"> </w:t>
      </w:r>
      <w:r w:rsidRPr="00DE5EB5">
        <w:rPr>
          <w:sz w:val="24"/>
          <w:szCs w:val="24"/>
          <w:lang w:val="mt-MT"/>
        </w:rPr>
        <w:tab/>
      </w:r>
      <w:r w:rsidR="000B5DD9" w:rsidRPr="00DE5EB5">
        <w:rPr>
          <w:sz w:val="24"/>
          <w:szCs w:val="24"/>
          <w:lang w:val="mt-MT"/>
        </w:rPr>
        <w:t>- Riżoluzzjoni tat-8 ta' Ġunju 2016 dwar l-abbozz ta' deċiżjoni ta' implimentazzjoni tal-Kummissjoni li tawtorizza t-tqegħid fis-suq ta' prodotti li jkun fihom, ikunu jikkonsistu, jew li jkunu prodotti mill-qamħirrum ġenetikament modifikat Bt11 × MIR162 × MIR604 × GA21, u qamħirrum ġenetikament modifikat li jgħaqqad tnejn jew tlieta minn dawk l-eventi (</w:t>
      </w:r>
      <w:r w:rsidR="00DE5EB5" w:rsidRPr="00DE5EB5">
        <w:rPr>
          <w:sz w:val="24"/>
          <w:szCs w:val="24"/>
          <w:lang w:val="mt-MT"/>
        </w:rPr>
        <w:t>ĠU</w:t>
      </w:r>
      <w:r w:rsidR="00DE5EB5" w:rsidRPr="004F5DEC">
        <w:rPr>
          <w:sz w:val="24"/>
          <w:szCs w:val="24"/>
          <w:lang w:val="mt-MT"/>
        </w:rPr>
        <w:t xml:space="preserve"> C 86, 6.3.2018, p. 108</w:t>
      </w:r>
      <w:r w:rsidR="000B5DD9" w:rsidRPr="00DE5EB5">
        <w:rPr>
          <w:sz w:val="24"/>
          <w:szCs w:val="24"/>
          <w:lang w:val="mt-MT"/>
        </w:rPr>
        <w:t>).</w:t>
      </w:r>
    </w:p>
    <w:p w:rsidR="000B5DD9" w:rsidRPr="004F5DEC" w:rsidRDefault="00FC0AFE" w:rsidP="00FC0AFE">
      <w:pPr>
        <w:pStyle w:val="FootnoteText"/>
        <w:ind w:left="567" w:hanging="567"/>
        <w:rPr>
          <w:sz w:val="24"/>
          <w:szCs w:val="24"/>
          <w:vertAlign w:val="superscript"/>
          <w:lang w:val="mt-MT"/>
        </w:rPr>
      </w:pPr>
      <w:r w:rsidRPr="004F5DEC">
        <w:rPr>
          <w:sz w:val="24"/>
          <w:szCs w:val="24"/>
          <w:lang w:val="mt-MT"/>
        </w:rPr>
        <w:t xml:space="preserve"> </w:t>
      </w:r>
      <w:r w:rsidRPr="004F5DEC">
        <w:rPr>
          <w:sz w:val="24"/>
          <w:szCs w:val="24"/>
          <w:lang w:val="mt-MT"/>
        </w:rPr>
        <w:tab/>
      </w:r>
      <w:r w:rsidR="000B5DD9" w:rsidRPr="004F5DEC">
        <w:rPr>
          <w:sz w:val="24"/>
          <w:szCs w:val="24"/>
          <w:lang w:val="mt-MT"/>
        </w:rPr>
        <w:t>- Riżoluzzjoni tat-8 ta' Ġunju 2016 dwar l-abbozz ta' deċiżjoni ta' implimentazzjoni tal-Kummissjoni dwar it-tqegħid fis-suq ta' qronfla mmodifikata ġenetikament (</w:t>
      </w:r>
      <w:r w:rsidR="000B5DD9" w:rsidRPr="004F5DEC">
        <w:rPr>
          <w:i/>
          <w:sz w:val="24"/>
          <w:szCs w:val="24"/>
          <w:lang w:val="mt-MT"/>
        </w:rPr>
        <w:t>Dianthus caryophyllus</w:t>
      </w:r>
      <w:r w:rsidR="000B5DD9" w:rsidRPr="004F5DEC">
        <w:rPr>
          <w:sz w:val="24"/>
          <w:szCs w:val="24"/>
          <w:lang w:val="mt-MT"/>
        </w:rPr>
        <w:t xml:space="preserve"> L., linja SHD-27531-4) (</w:t>
      </w:r>
      <w:r w:rsidR="00DE5EB5" w:rsidRPr="004F5DEC">
        <w:rPr>
          <w:sz w:val="24"/>
          <w:szCs w:val="24"/>
          <w:lang w:val="mt-MT"/>
        </w:rPr>
        <w:t>ĠU C 86, 6.3.2018, p. 111</w:t>
      </w:r>
      <w:r w:rsidR="000B5DD9" w:rsidRPr="004F5DEC">
        <w:rPr>
          <w:sz w:val="24"/>
          <w:szCs w:val="24"/>
          <w:lang w:val="mt-MT"/>
        </w:rPr>
        <w:t>).</w:t>
      </w:r>
    </w:p>
    <w:p w:rsidR="000B5DD9" w:rsidRPr="004F5DEC" w:rsidRDefault="00FC0AFE" w:rsidP="00FC0AFE">
      <w:pPr>
        <w:pStyle w:val="FootnoteText"/>
        <w:ind w:left="567" w:hanging="567"/>
        <w:rPr>
          <w:sz w:val="24"/>
          <w:szCs w:val="24"/>
          <w:vertAlign w:val="superscript"/>
          <w:lang w:val="mt-MT"/>
        </w:rPr>
      </w:pPr>
      <w:r w:rsidRPr="004F5DEC">
        <w:rPr>
          <w:sz w:val="24"/>
          <w:szCs w:val="24"/>
          <w:lang w:val="mt-MT"/>
        </w:rPr>
        <w:t xml:space="preserve"> </w:t>
      </w:r>
      <w:r w:rsidRPr="004F5DEC">
        <w:rPr>
          <w:sz w:val="24"/>
          <w:szCs w:val="24"/>
          <w:lang w:val="mt-MT"/>
        </w:rPr>
        <w:tab/>
      </w:r>
      <w:r w:rsidR="000B5DD9" w:rsidRPr="004F5DEC">
        <w:rPr>
          <w:sz w:val="24"/>
          <w:szCs w:val="24"/>
          <w:lang w:val="mt-MT"/>
        </w:rPr>
        <w:t>- Riżoluzzjoni tas-6 ta' Ottubru 2016 dwar l-abbozz ta' deċiżjoni ta' implimentazzjoni tal-Kummissjoni dwar it-tiġdid tal-awtorizzazzjoni għall-introduzzjoni fis-suq għall-kultivazzjoni ta' żerriegħa ta' qamħirrum ġenetikament modifikat MON 810 (Testi adottati, P8_TA(2016)0388).</w:t>
      </w:r>
    </w:p>
    <w:p w:rsidR="000B5DD9" w:rsidRPr="004F5DEC" w:rsidRDefault="00FC0AFE" w:rsidP="00FC0AFE">
      <w:pPr>
        <w:pStyle w:val="FootnoteText"/>
        <w:ind w:left="567" w:hanging="567"/>
        <w:rPr>
          <w:sz w:val="24"/>
          <w:szCs w:val="24"/>
          <w:vertAlign w:val="superscript"/>
          <w:lang w:val="mt-MT"/>
        </w:rPr>
      </w:pPr>
      <w:r w:rsidRPr="004F5DEC">
        <w:rPr>
          <w:sz w:val="24"/>
          <w:szCs w:val="24"/>
          <w:lang w:val="mt-MT"/>
        </w:rPr>
        <w:t xml:space="preserve"> </w:t>
      </w:r>
      <w:r w:rsidRPr="004F5DEC">
        <w:rPr>
          <w:sz w:val="24"/>
          <w:szCs w:val="24"/>
          <w:lang w:val="mt-MT"/>
        </w:rPr>
        <w:tab/>
      </w:r>
      <w:r w:rsidR="000B5DD9" w:rsidRPr="004F5DEC">
        <w:rPr>
          <w:sz w:val="24"/>
          <w:szCs w:val="24"/>
          <w:lang w:val="mt-MT"/>
        </w:rPr>
        <w:t>- Riżoluzzjoni tas-6 ta' Ottubru 2016 dwar l-abbozz ta' deċiżjoni ta' implimentazzjoni tal-Kummissjoni li tawtorizza l-introduzzjoni fis-suq ta' prodotti ta' qamħirrum ġenetikament modifikat MON 810 (Testi adottati, P8_TA(2016)0389).</w:t>
      </w:r>
    </w:p>
    <w:p w:rsidR="000B5DD9" w:rsidRPr="004F5DEC" w:rsidRDefault="00FC0AFE" w:rsidP="00FC0AFE">
      <w:pPr>
        <w:pStyle w:val="FootnoteText"/>
        <w:ind w:left="567" w:hanging="567"/>
        <w:rPr>
          <w:sz w:val="24"/>
          <w:szCs w:val="24"/>
          <w:vertAlign w:val="superscript"/>
          <w:lang w:val="mt-MT"/>
        </w:rPr>
      </w:pPr>
      <w:r w:rsidRPr="004F5DEC">
        <w:rPr>
          <w:sz w:val="24"/>
          <w:szCs w:val="24"/>
          <w:lang w:val="mt-MT"/>
        </w:rPr>
        <w:t xml:space="preserve"> </w:t>
      </w:r>
      <w:r w:rsidRPr="004F5DEC">
        <w:rPr>
          <w:sz w:val="24"/>
          <w:szCs w:val="24"/>
          <w:lang w:val="mt-MT"/>
        </w:rPr>
        <w:tab/>
      </w:r>
      <w:r w:rsidR="000B5DD9" w:rsidRPr="004F5DEC">
        <w:rPr>
          <w:sz w:val="24"/>
          <w:szCs w:val="24"/>
          <w:lang w:val="mt-MT"/>
        </w:rPr>
        <w:t>- Riżoluzzjoni tas-6 ta' Ottubru 2016 dwar l-abbozz ta' deċiżjoni ta' implimentazzjoni tal-Kummissjoni dwar l-introduzzjoni fis-suq għall-kultivazzjoni ta' żerriegħa ta' qamħirrum ġenetikament modifikat Bt11 (Testi adottati, P8_TA(2016)0386).</w:t>
      </w:r>
    </w:p>
    <w:p w:rsidR="000B5DD9" w:rsidRPr="004F5DEC" w:rsidRDefault="00FC0AFE" w:rsidP="00FC0AFE">
      <w:pPr>
        <w:pStyle w:val="FootnoteText"/>
        <w:ind w:left="567" w:hanging="567"/>
        <w:rPr>
          <w:sz w:val="24"/>
          <w:szCs w:val="24"/>
          <w:vertAlign w:val="superscript"/>
          <w:lang w:val="mt-MT"/>
        </w:rPr>
      </w:pPr>
      <w:r w:rsidRPr="004F5DEC">
        <w:rPr>
          <w:sz w:val="24"/>
          <w:szCs w:val="24"/>
          <w:lang w:val="mt-MT"/>
        </w:rPr>
        <w:t xml:space="preserve"> </w:t>
      </w:r>
      <w:r w:rsidRPr="004F5DEC">
        <w:rPr>
          <w:sz w:val="24"/>
          <w:szCs w:val="24"/>
          <w:lang w:val="mt-MT"/>
        </w:rPr>
        <w:tab/>
      </w:r>
      <w:r w:rsidR="000B5DD9" w:rsidRPr="004F5DEC">
        <w:rPr>
          <w:sz w:val="24"/>
          <w:szCs w:val="24"/>
          <w:lang w:val="mt-MT"/>
        </w:rPr>
        <w:t>- Riżoluzzjoni tas-6 ta' Ottubru 2016 dwar l-abbozz ta' deċiżjoni ta' implimentazzjoni tal-Kummissjoni dwar l-introduzzjoni fis-suq għall-kultivazzjoni ta' żerriegħa ta' qamħirrum ġenetikament modifikat 1507 (Testi adottati, P8_TA(2016)0387).</w:t>
      </w:r>
    </w:p>
    <w:p w:rsidR="000B5DD9" w:rsidRPr="004F5DEC" w:rsidRDefault="00FC0AFE" w:rsidP="00FC0AFE">
      <w:pPr>
        <w:pStyle w:val="FootnoteText"/>
        <w:ind w:left="567" w:hanging="567"/>
        <w:rPr>
          <w:sz w:val="24"/>
          <w:szCs w:val="24"/>
          <w:vertAlign w:val="superscript"/>
          <w:lang w:val="mt-MT"/>
        </w:rPr>
      </w:pPr>
      <w:r w:rsidRPr="004F5DEC">
        <w:rPr>
          <w:sz w:val="24"/>
          <w:szCs w:val="24"/>
          <w:lang w:val="mt-MT"/>
        </w:rPr>
        <w:t xml:space="preserve"> </w:t>
      </w:r>
      <w:r w:rsidRPr="004F5DEC">
        <w:rPr>
          <w:sz w:val="24"/>
          <w:szCs w:val="24"/>
          <w:lang w:val="mt-MT"/>
        </w:rPr>
        <w:tab/>
      </w:r>
      <w:r w:rsidR="000B5DD9" w:rsidRPr="004F5DEC">
        <w:rPr>
          <w:sz w:val="24"/>
          <w:szCs w:val="24"/>
          <w:lang w:val="mt-MT"/>
        </w:rPr>
        <w:t>- Riżoluzzjoni tas-6 ta' Ottubru 2016 dwar l-abbozz ta' deċiżjoni ta' implimentazzjoni tal-Kummissjoni li tawtorizza l-introduzzjoni fis-suq ta' prodotti li jkun fihom, ikunu jikkonsistu, jew ikunu prodotti minn qoton ġenetikament modifikat 281-24-236 × 3006-210-23 × MON 88913 (Testi adottati, P8_TA(2016)0390).</w:t>
      </w:r>
    </w:p>
    <w:p w:rsidR="000B5DD9" w:rsidRPr="004F5DEC" w:rsidRDefault="00FC0AFE" w:rsidP="00FC0AFE">
      <w:pPr>
        <w:pStyle w:val="FootnoteText"/>
        <w:ind w:left="567" w:hanging="567"/>
        <w:rPr>
          <w:sz w:val="24"/>
          <w:szCs w:val="24"/>
          <w:vertAlign w:val="superscript"/>
          <w:lang w:val="mt-MT"/>
        </w:rPr>
      </w:pPr>
      <w:r w:rsidRPr="004F5DEC">
        <w:rPr>
          <w:sz w:val="24"/>
          <w:szCs w:val="24"/>
          <w:lang w:val="mt-MT"/>
        </w:rPr>
        <w:t xml:space="preserve"> </w:t>
      </w:r>
      <w:r w:rsidRPr="004F5DEC">
        <w:rPr>
          <w:sz w:val="24"/>
          <w:szCs w:val="24"/>
          <w:lang w:val="mt-MT"/>
        </w:rPr>
        <w:tab/>
      </w:r>
      <w:r w:rsidR="000B5DD9" w:rsidRPr="004F5DEC">
        <w:rPr>
          <w:sz w:val="24"/>
          <w:szCs w:val="24"/>
          <w:lang w:val="mt-MT"/>
        </w:rPr>
        <w:t>- Riżoluzzjoni tal-5 ta' April 2017 dwar l-abbozz ta' deċiżjoni ta' implimentazzjoni tal-Kummissjoni li tawtorizza t-tqegħid fis-suq ta' prodotti li jkun fihom, ikunu jikkonsistu, jew li jkunu prodotti mill-qamħirrum ġenetikament modifikat Bt11 × 59122 × MIR604 × 1507 × GA21, u qamħirrum ġenetikament modifikat li jgħaqqad tnejn, tlieta jew erbgħa mill-eventi Bt11, 59122, MIR604, 1507 u GA21, skont ir-Regolament (KE) Nru 1829/2003 tal-Parlament Ewropew u tal-Kunsill dwar ikel u għalf ġenetikament modifikat (Testi adottati, P8_TA(2017)0123).</w:t>
      </w:r>
    </w:p>
    <w:p w:rsidR="000B5DD9" w:rsidRPr="004F5DEC" w:rsidRDefault="00FC0AFE" w:rsidP="00FC0AFE">
      <w:pPr>
        <w:pStyle w:val="FootnoteText"/>
        <w:ind w:left="567" w:hanging="567"/>
        <w:rPr>
          <w:sz w:val="24"/>
          <w:szCs w:val="24"/>
          <w:vertAlign w:val="superscript"/>
          <w:lang w:val="mt-MT"/>
        </w:rPr>
      </w:pPr>
      <w:r w:rsidRPr="004F5DEC">
        <w:rPr>
          <w:sz w:val="24"/>
          <w:szCs w:val="24"/>
          <w:lang w:val="mt-MT"/>
        </w:rPr>
        <w:t xml:space="preserve"> </w:t>
      </w:r>
      <w:r w:rsidRPr="004F5DEC">
        <w:rPr>
          <w:sz w:val="24"/>
          <w:szCs w:val="24"/>
          <w:lang w:val="mt-MT"/>
        </w:rPr>
        <w:tab/>
      </w:r>
      <w:r w:rsidR="000B5DD9" w:rsidRPr="004F5DEC">
        <w:rPr>
          <w:sz w:val="24"/>
          <w:szCs w:val="24"/>
          <w:lang w:val="mt-MT"/>
        </w:rPr>
        <w:t>- Riżoluzzjoni tas-17 ta' Mejju 2017 dwar l-abbozz ta' deċiżjoni ta' implimentazzjoni tal-Kummissjoni li tawtorizza t-tqegħid fis-suq ta' prodotti li fihom, jikkonsistu minn, jew li huma prodotti mill-qamħirrum ġenetikament modifikat DAS-40278-9, skont ir-Regolament (KE) Nru 1829/2003 tal-Parlament Ewropew u tal-Kunsill dwar ikel u għalf modifikat ġenetikament (Testi adottati, P8_TA(2017)0215).</w:t>
      </w:r>
    </w:p>
    <w:p w:rsidR="000B5DD9" w:rsidRPr="004F5DEC" w:rsidRDefault="00FC0AFE" w:rsidP="00FC0AFE">
      <w:pPr>
        <w:pStyle w:val="FootnoteText"/>
        <w:ind w:left="567" w:hanging="567"/>
        <w:rPr>
          <w:sz w:val="24"/>
          <w:szCs w:val="24"/>
          <w:vertAlign w:val="superscript"/>
          <w:lang w:val="mt-MT"/>
        </w:rPr>
      </w:pPr>
      <w:r w:rsidRPr="004F5DEC">
        <w:rPr>
          <w:sz w:val="24"/>
          <w:szCs w:val="24"/>
          <w:lang w:val="mt-MT"/>
        </w:rPr>
        <w:t xml:space="preserve"> </w:t>
      </w:r>
      <w:r w:rsidRPr="004F5DEC">
        <w:rPr>
          <w:sz w:val="24"/>
          <w:szCs w:val="24"/>
          <w:lang w:val="mt-MT"/>
        </w:rPr>
        <w:tab/>
      </w:r>
      <w:r w:rsidR="000B5DD9" w:rsidRPr="004F5DEC">
        <w:rPr>
          <w:sz w:val="24"/>
          <w:szCs w:val="24"/>
          <w:lang w:val="mt-MT"/>
        </w:rPr>
        <w:t>- Riżoluzzjoni tas-17 ta' Mejju 2017 dwar l-abbozz ta' deċiżjoni ta' implimentazzjoni tal-Kummissjoni li tawtorizza t-tqegħid fis-suq ta' prodotti li jkun fihom, ikunu jikkonsistu, jew ikunu prodotti minn qoton ġenetikament modifikat GHB119 (BCS-GHØØ5-8) skont ir-Regolament (KE) Nru 1829/2003 tal-Parlament Ewropew u tal-Kunsill (Testi adottati, P8_TA(2017)0214).</w:t>
      </w:r>
    </w:p>
    <w:p w:rsidR="000B5DD9" w:rsidRPr="004F5DEC" w:rsidRDefault="00FC0AFE" w:rsidP="00FC0AFE">
      <w:pPr>
        <w:pStyle w:val="FootnoteText"/>
        <w:ind w:left="567" w:hanging="567"/>
        <w:rPr>
          <w:sz w:val="24"/>
          <w:szCs w:val="24"/>
          <w:vertAlign w:val="superscript"/>
          <w:lang w:val="mt-MT"/>
        </w:rPr>
      </w:pPr>
      <w:r w:rsidRPr="004F5DEC">
        <w:rPr>
          <w:sz w:val="24"/>
          <w:szCs w:val="24"/>
          <w:lang w:val="mt-MT"/>
        </w:rPr>
        <w:t xml:space="preserve"> </w:t>
      </w:r>
      <w:r w:rsidRPr="004F5DEC">
        <w:rPr>
          <w:sz w:val="24"/>
          <w:szCs w:val="24"/>
          <w:lang w:val="mt-MT"/>
        </w:rPr>
        <w:tab/>
      </w:r>
      <w:r w:rsidR="000B5DD9" w:rsidRPr="004F5DEC">
        <w:rPr>
          <w:sz w:val="24"/>
          <w:szCs w:val="24"/>
          <w:lang w:val="mt-MT"/>
        </w:rPr>
        <w:t>- Riżoluzzjoni tat-13 ta' Settembru 2017 dwar l-abbozz ta' deċiżjoni ta' implimentazzjoni tal-Kummissjoni li tawtorizza t-tqegħid fis-suq ta' prodotti li fihom, jikkonsistu minn, jew li huma prodotti mill-fażola tas-sojja ġenetikament modifikata DAS-68416-4, skont ir-Regolament (KE) Nru 1829/2003 tal-Parlament Ewropew u tal-Kunsill dwar ikel u għalf modifikat ġenetikament (Testi adottati, P8_TA(2017)0341).</w:t>
      </w:r>
    </w:p>
    <w:p w:rsidR="000B5DD9" w:rsidRPr="004F5DEC" w:rsidRDefault="00FC0AFE" w:rsidP="00FC0AFE">
      <w:pPr>
        <w:pStyle w:val="FootnoteText"/>
        <w:ind w:left="567" w:hanging="567"/>
        <w:rPr>
          <w:sz w:val="24"/>
          <w:szCs w:val="24"/>
          <w:vertAlign w:val="superscript"/>
          <w:lang w:val="mt-MT"/>
        </w:rPr>
      </w:pPr>
      <w:r w:rsidRPr="004F5DEC">
        <w:rPr>
          <w:sz w:val="24"/>
          <w:szCs w:val="24"/>
          <w:lang w:val="mt-MT"/>
        </w:rPr>
        <w:t xml:space="preserve"> </w:t>
      </w:r>
      <w:r w:rsidRPr="004F5DEC">
        <w:rPr>
          <w:sz w:val="24"/>
          <w:szCs w:val="24"/>
          <w:lang w:val="mt-MT"/>
        </w:rPr>
        <w:tab/>
      </w:r>
      <w:r w:rsidR="000B5DD9" w:rsidRPr="004F5DEC">
        <w:rPr>
          <w:sz w:val="24"/>
          <w:szCs w:val="24"/>
          <w:lang w:val="mt-MT"/>
        </w:rPr>
        <w:t>- Riżoluzzjoni tal-4 ta' Ottubru 2017 dwar l-abbozz ta' deċiżjoni ta' implimentazzjoni tal-Kummissjoni li tawtorizza t-tqegħid fis-suq ta' prodotti li fihom, jikkonsistu minn, jew li huma prodotti mill-fażola tas-sojja ġenetikament modifikata FG72 × A5547-127, skont ir-Regolament (KE) Nru 1829/2003 tal-Parlament Ewropew u tal-Kunsill dwar ikel u għalf modifikat ġenetikament (Testi adottati, P8_TA(2017)0377).</w:t>
      </w:r>
    </w:p>
    <w:p w:rsidR="000B5DD9" w:rsidRPr="004F5DEC" w:rsidRDefault="00FC0AFE" w:rsidP="00FC0AFE">
      <w:pPr>
        <w:pStyle w:val="FootnoteText"/>
        <w:ind w:left="567" w:hanging="567"/>
        <w:rPr>
          <w:sz w:val="24"/>
          <w:szCs w:val="24"/>
          <w:vertAlign w:val="superscript"/>
          <w:lang w:val="mt-MT"/>
        </w:rPr>
      </w:pPr>
      <w:r w:rsidRPr="004F5DEC">
        <w:rPr>
          <w:sz w:val="24"/>
          <w:szCs w:val="24"/>
          <w:lang w:val="mt-MT"/>
        </w:rPr>
        <w:t xml:space="preserve"> </w:t>
      </w:r>
      <w:r w:rsidRPr="004F5DEC">
        <w:rPr>
          <w:sz w:val="24"/>
          <w:szCs w:val="24"/>
          <w:lang w:val="mt-MT"/>
        </w:rPr>
        <w:tab/>
      </w:r>
      <w:r w:rsidR="000B5DD9" w:rsidRPr="004F5DEC">
        <w:rPr>
          <w:sz w:val="24"/>
          <w:szCs w:val="24"/>
          <w:lang w:val="mt-MT"/>
        </w:rPr>
        <w:t>- Riżoluzzjoni tal-4 ta' Ottubru 2017 dwar l-abbozz ta' deċiżjoni ta' implimentazzjoni tal-Kummissjoni li tawtorizza t-tqegħid fis-suq ta' prodotti li fihom, jikkonsistu minn, jew li huma prodotti mill-fażola tas-sojja ġenetikament modifikata DAS-44406-6, skont ir-Regolament (KE) Nru 1829/2003 tal-Parlament Ewropew u tal-Kunsill dwar ikel u għalf modifikat ġenetikament (Testi adottati, P8_TA(2017)0378).</w:t>
      </w:r>
    </w:p>
    <w:p w:rsidR="000B5DD9" w:rsidRPr="004F5DEC" w:rsidRDefault="00FC0AFE" w:rsidP="00FC0AFE">
      <w:pPr>
        <w:pStyle w:val="FootnoteText"/>
        <w:ind w:left="567" w:hanging="567"/>
        <w:rPr>
          <w:sz w:val="24"/>
          <w:szCs w:val="24"/>
          <w:vertAlign w:val="superscript"/>
          <w:lang w:val="mt-MT"/>
        </w:rPr>
      </w:pPr>
      <w:r w:rsidRPr="004F5DEC">
        <w:rPr>
          <w:sz w:val="24"/>
          <w:szCs w:val="24"/>
          <w:lang w:val="mt-MT"/>
        </w:rPr>
        <w:t xml:space="preserve"> </w:t>
      </w:r>
      <w:r w:rsidRPr="004F5DEC">
        <w:rPr>
          <w:sz w:val="24"/>
          <w:szCs w:val="24"/>
          <w:lang w:val="mt-MT"/>
        </w:rPr>
        <w:tab/>
      </w:r>
      <w:r w:rsidR="000B5DD9" w:rsidRPr="004F5DEC">
        <w:rPr>
          <w:sz w:val="24"/>
          <w:szCs w:val="24"/>
          <w:lang w:val="mt-MT"/>
        </w:rPr>
        <w:t>- Riżoluzzjoni tal-24 ta' Ottubru 2017 dwar l-abbozz ta' deċiżjoni ta' implimentazzjoni tal-Kummissjoni dwar it-tiġdid tal-awtorizzazzjoni għall-introduzzjoni fis-suq ta' prodotti li fihom, jikkonsistu minn, jew li huma prodotti mill-qamħirrum ġenetikament modifikat 1507 (DAS-Ø15Ø7-1) skont ir-Regolament (KE) Nru 1829/2003 tal-Parlament Ewropew u tal-Kunsill dwar ikel u għalf modifikat ġenetikament (Testi adottati, P8_TA(2017)0396).</w:t>
      </w:r>
    </w:p>
    <w:p w:rsidR="000B5DD9" w:rsidRPr="004F5DEC" w:rsidRDefault="00FC0AFE" w:rsidP="00FC0AFE">
      <w:pPr>
        <w:pStyle w:val="FootnoteText"/>
        <w:ind w:left="567" w:hanging="567"/>
        <w:rPr>
          <w:sz w:val="24"/>
          <w:szCs w:val="24"/>
          <w:vertAlign w:val="superscript"/>
          <w:lang w:val="mt-MT"/>
        </w:rPr>
      </w:pPr>
      <w:r w:rsidRPr="004F5DEC">
        <w:rPr>
          <w:sz w:val="24"/>
          <w:szCs w:val="24"/>
          <w:lang w:val="mt-MT"/>
        </w:rPr>
        <w:t xml:space="preserve"> </w:t>
      </w:r>
      <w:r w:rsidRPr="004F5DEC">
        <w:rPr>
          <w:sz w:val="24"/>
          <w:szCs w:val="24"/>
          <w:lang w:val="mt-MT"/>
        </w:rPr>
        <w:tab/>
      </w:r>
      <w:r w:rsidR="000B5DD9" w:rsidRPr="004F5DEC">
        <w:rPr>
          <w:sz w:val="24"/>
          <w:szCs w:val="24"/>
          <w:lang w:val="mt-MT"/>
        </w:rPr>
        <w:t>- Riżoluzzjoni tal-24 ta' Ottubru 2017 dwar l-abbozz ta' deċiżjoni ta' implimentazzjoni tal-Kummissjoni li tawtorizza t-tqegħid fis-suq ta' prodotti li fihom, jikkonsistu minn, jew li huma prodotti mill-fażola tas-sojja ġenetikament modifikata 305423 × 40-3-2 (DP-3Ø5423-1 × MON-Ø4Ø32-6) skont ir-Regolament (KE) Nru 1829/2003 tal-Parlament Ewropew u tal-Kunsill dwar ikel u għalf modifikat ġenetikament (Testi adottati, P8_TA(2017)0397).</w:t>
      </w:r>
    </w:p>
    <w:p w:rsidR="000B5DD9" w:rsidRPr="004F5DEC" w:rsidRDefault="00FC0AFE" w:rsidP="00FC0AFE">
      <w:pPr>
        <w:pStyle w:val="FootnoteText"/>
        <w:ind w:left="567" w:hanging="567"/>
        <w:rPr>
          <w:sz w:val="24"/>
          <w:szCs w:val="24"/>
          <w:vertAlign w:val="superscript"/>
          <w:lang w:val="mt-MT"/>
        </w:rPr>
      </w:pPr>
      <w:r w:rsidRPr="004F5DEC">
        <w:rPr>
          <w:sz w:val="24"/>
          <w:szCs w:val="24"/>
          <w:lang w:val="mt-MT"/>
        </w:rPr>
        <w:t xml:space="preserve"> </w:t>
      </w:r>
      <w:r w:rsidRPr="004F5DEC">
        <w:rPr>
          <w:sz w:val="24"/>
          <w:szCs w:val="24"/>
          <w:lang w:val="mt-MT"/>
        </w:rPr>
        <w:tab/>
      </w:r>
      <w:r w:rsidR="000B5DD9" w:rsidRPr="004F5DEC">
        <w:rPr>
          <w:sz w:val="24"/>
          <w:szCs w:val="24"/>
          <w:lang w:val="mt-MT"/>
        </w:rPr>
        <w:t>- Riżoluzzjoni tal-24 ta' Ottubru 2017 dwar l-abbozz ta' deċiżjoni ta' implimentazzjoni tal-Kummissjoni li tawtorizza t-tqegħid fis-suq ta' prodotti li fihom, jikkonsistu minn, jew li huma prodotti mill-kolza ġenetikament modifikata MON 88302 × Ms8 × Rf3 (MON-883Ø2-9 × ACSBNØØ5-8× ACS-BNØØ3-6), MON 88302 × Ms8 (MON-883Ø2-9 × ACSBNØØ5-8) u MON 88302 × Rf3 (MON-883Ø2-9 × ACS-BNØØ3-6) skont ir-Regolament (KE) Nru 1829/2003 tal-Parlament Ewropew u tal-Kunsill dwar ikel u għalf ġenetikament modifikat (Testi adottati, P8_TA(2017)0398).</w:t>
      </w:r>
    </w:p>
    <w:p w:rsidR="000B5DD9" w:rsidRPr="004F5DEC" w:rsidRDefault="00FC0AFE" w:rsidP="00FC0AFE">
      <w:pPr>
        <w:pStyle w:val="FootnoteText"/>
        <w:ind w:left="567" w:hanging="567"/>
        <w:rPr>
          <w:sz w:val="24"/>
          <w:szCs w:val="24"/>
          <w:vertAlign w:val="superscript"/>
          <w:lang w:val="mt-MT"/>
        </w:rPr>
      </w:pPr>
      <w:r w:rsidRPr="004F5DEC">
        <w:rPr>
          <w:sz w:val="24"/>
          <w:szCs w:val="24"/>
          <w:lang w:val="mt-MT"/>
        </w:rPr>
        <w:t xml:space="preserve"> </w:t>
      </w:r>
      <w:r w:rsidRPr="004F5DEC">
        <w:rPr>
          <w:sz w:val="24"/>
          <w:szCs w:val="24"/>
          <w:lang w:val="mt-MT"/>
        </w:rPr>
        <w:tab/>
      </w:r>
      <w:r w:rsidR="000B5DD9" w:rsidRPr="004F5DEC">
        <w:rPr>
          <w:sz w:val="24"/>
          <w:szCs w:val="24"/>
          <w:lang w:val="mt-MT"/>
        </w:rPr>
        <w:t>- Riżoluzzjoni tal-Parlament Ewropew tal-1 ta' Marzu 2018 dwar l-abbozz ta' deċiżjoni ta' implimentazzjoni tal-Kummissjoni dwar it-tiġdid tal-awtorizzazzjoni għall-introduzzjoni fis-suq ta' prodotti li fihom, jikkonsistu minn, jew li huma prodotti mill-qamħirrum ġenetikament modifikat 59122 (DAS-59122-7) skont ir-Regolament (KE) Nru 1829/2003 tal-Parlament Ewropew u tal-Kunsill dwar ikel u għalf modifikat ġenetikament (Testi adottati, P8_TA(2018)0051).</w:t>
      </w:r>
    </w:p>
    <w:p w:rsidR="000B5DD9" w:rsidRPr="004F5DEC" w:rsidRDefault="00FC0AFE" w:rsidP="00FC0AFE">
      <w:pPr>
        <w:pStyle w:val="FootnoteText"/>
        <w:ind w:left="567" w:hanging="567"/>
        <w:rPr>
          <w:sz w:val="24"/>
          <w:szCs w:val="24"/>
          <w:vertAlign w:val="superscript"/>
          <w:lang w:val="mt-MT"/>
        </w:rPr>
      </w:pPr>
      <w:r w:rsidRPr="004F5DEC">
        <w:rPr>
          <w:sz w:val="24"/>
          <w:szCs w:val="24"/>
          <w:lang w:val="mt-MT"/>
        </w:rPr>
        <w:t xml:space="preserve"> </w:t>
      </w:r>
      <w:r w:rsidRPr="004F5DEC">
        <w:rPr>
          <w:sz w:val="24"/>
          <w:szCs w:val="24"/>
          <w:lang w:val="mt-MT"/>
        </w:rPr>
        <w:tab/>
      </w:r>
      <w:r w:rsidR="000B5DD9" w:rsidRPr="004F5DEC">
        <w:rPr>
          <w:sz w:val="24"/>
          <w:szCs w:val="24"/>
          <w:lang w:val="mt-MT"/>
        </w:rPr>
        <w:t>- Riżoluzzjoni tal-1 ta' Marzu 2018 dwar l-abbozz ta' deċiżjoni ta' implimentazzjoni tal-Kummissjoni li tawtorizza t-tqegħid fis-suq ta' prodotti li fihom, jikkonsistu, jew li huma prodotti mill-qamħirrum ġenetikament modifikat MON 87427 × MON 89034 × NK603 (MON-87427-7 × MON-89Ø34-3 × MON-ØØ6Ø3-6) u qamħirrum ġenetikament modifikat li jikkombina tnejn mill-eventi MON 87427, MON 89034 u NK603 u li tħassar id-Deċiżjoni 2010/420/UE (Testi adottati, P8_TA(2018)0052).</w:t>
      </w:r>
    </w:p>
    <w:p w:rsidR="000B5DD9" w:rsidRPr="004F5DEC" w:rsidRDefault="00FC0AFE" w:rsidP="00FC0AFE">
      <w:pPr>
        <w:pStyle w:val="FootnoteText"/>
        <w:ind w:left="567" w:hanging="567"/>
        <w:rPr>
          <w:sz w:val="24"/>
          <w:szCs w:val="24"/>
          <w:lang w:val="mt-MT"/>
        </w:rPr>
      </w:pPr>
      <w:r w:rsidRPr="004F5DEC">
        <w:rPr>
          <w:sz w:val="24"/>
          <w:szCs w:val="24"/>
          <w:lang w:val="mt-MT"/>
        </w:rPr>
        <w:t xml:space="preserve"> </w:t>
      </w:r>
      <w:r w:rsidRPr="004F5DEC">
        <w:rPr>
          <w:sz w:val="24"/>
          <w:szCs w:val="24"/>
          <w:lang w:val="mt-MT"/>
        </w:rPr>
        <w:tab/>
      </w:r>
      <w:r w:rsidR="000B5DD9" w:rsidRPr="004F5DEC">
        <w:rPr>
          <w:sz w:val="24"/>
          <w:szCs w:val="24"/>
          <w:lang w:val="mt-MT"/>
        </w:rPr>
        <w:t>- Riżoluzzjoni tat-3 ta' Mejju 2018 dwar l-abbozz ta' deċiżjoni ta' implimentazzjoni tal-Kummissjoni dwar it-tiġdid tal-awtorizzazzjoni għall-introduzzjoni fis-suq ta' prodotti li fihom, jikkonsistu minn, jew li huma prodotti mill-pitrava zokkrija ġenetikament modifikata H7-1 (KM-ØØØH71-4) skont ir-Regolament (KE) Nru 1829/2003 tal-Parlament Ewropew u tal-Kunsill dwar ikel u għalf modifikat ġenetikament (Testi adottati, P8_TA(2018)0197).</w:t>
      </w:r>
    </w:p>
  </w:footnote>
  <w:footnote w:id="5">
    <w:p w:rsidR="000B5DD9" w:rsidRPr="00DE5EB5" w:rsidRDefault="000B5DD9" w:rsidP="00FC0AFE">
      <w:pPr>
        <w:pStyle w:val="FootnoteText"/>
        <w:ind w:left="567" w:hanging="567"/>
        <w:rPr>
          <w:sz w:val="24"/>
          <w:szCs w:val="24"/>
          <w:lang w:val="mt-MT"/>
        </w:rPr>
      </w:pPr>
      <w:r w:rsidRPr="00DE5EB5">
        <w:rPr>
          <w:rStyle w:val="FootnoteReference"/>
          <w:sz w:val="24"/>
          <w:szCs w:val="24"/>
          <w:lang w:val="mt-MT"/>
        </w:rPr>
        <w:footnoteRef/>
      </w:r>
      <w:r w:rsidR="00FC0AFE" w:rsidRPr="00DE5EB5">
        <w:rPr>
          <w:sz w:val="24"/>
          <w:szCs w:val="24"/>
          <w:lang w:val="mt-MT"/>
        </w:rPr>
        <w:t xml:space="preserve"> </w:t>
      </w:r>
      <w:r w:rsidR="00FC0AFE" w:rsidRPr="00DE5EB5">
        <w:rPr>
          <w:sz w:val="24"/>
          <w:szCs w:val="24"/>
          <w:lang w:val="mt-MT"/>
        </w:rPr>
        <w:tab/>
      </w:r>
      <w:hyperlink r:id="rId2" w:history="1">
        <w:r w:rsidRPr="004F5DEC">
          <w:rPr>
            <w:rStyle w:val="Hyperlink"/>
            <w:sz w:val="24"/>
            <w:szCs w:val="24"/>
            <w:lang w:val="mt-MT"/>
          </w:rPr>
          <w:t>https://efsa.onlinelibrary.wiley.com/doi/10.2903/j.efsa.2017.5000</w:t>
        </w:r>
      </w:hyperlink>
      <w:r w:rsidRPr="00DE5EB5">
        <w:rPr>
          <w:sz w:val="24"/>
          <w:szCs w:val="24"/>
          <w:lang w:val="mt-MT"/>
        </w:rPr>
        <w:t xml:space="preserve"> </w:t>
      </w:r>
    </w:p>
  </w:footnote>
  <w:footnote w:id="6">
    <w:p w:rsidR="000B5DD9" w:rsidRPr="00DE5EB5" w:rsidRDefault="000B5DD9" w:rsidP="00FC0AFE">
      <w:pPr>
        <w:pStyle w:val="FootnoteText"/>
        <w:ind w:left="567" w:hanging="567"/>
        <w:rPr>
          <w:sz w:val="24"/>
          <w:szCs w:val="24"/>
          <w:lang w:val="mt-MT"/>
        </w:rPr>
      </w:pPr>
      <w:r w:rsidRPr="00DE5EB5">
        <w:rPr>
          <w:rStyle w:val="FootnoteReference"/>
          <w:sz w:val="24"/>
          <w:szCs w:val="24"/>
          <w:lang w:val="mt-MT"/>
        </w:rPr>
        <w:footnoteRef/>
      </w:r>
      <w:r w:rsidR="00FC0AFE" w:rsidRPr="00DE5EB5">
        <w:rPr>
          <w:sz w:val="24"/>
          <w:szCs w:val="24"/>
          <w:lang w:val="mt-MT"/>
        </w:rPr>
        <w:t xml:space="preserve"> </w:t>
      </w:r>
      <w:r w:rsidR="00FC0AFE" w:rsidRPr="00DE5EB5">
        <w:rPr>
          <w:sz w:val="24"/>
          <w:szCs w:val="24"/>
          <w:lang w:val="mt-MT"/>
        </w:rPr>
        <w:tab/>
      </w:r>
      <w:hyperlink r:id="rId3" w:history="1">
        <w:r w:rsidRPr="004F5DEC">
          <w:rPr>
            <w:rStyle w:val="Hyperlink"/>
            <w:sz w:val="24"/>
            <w:szCs w:val="24"/>
            <w:lang w:val="mt-MT"/>
          </w:rPr>
          <w:t>https://www.testbiotech.org/node/2130</w:t>
        </w:r>
      </w:hyperlink>
    </w:p>
  </w:footnote>
  <w:footnote w:id="7">
    <w:p w:rsidR="000B5DD9" w:rsidRPr="00DE5EB5" w:rsidRDefault="000B5DD9" w:rsidP="00FC0AFE">
      <w:pPr>
        <w:pStyle w:val="FootnoteText"/>
        <w:ind w:left="567" w:hanging="567"/>
        <w:rPr>
          <w:sz w:val="24"/>
          <w:szCs w:val="24"/>
          <w:lang w:val="mt-MT"/>
        </w:rPr>
      </w:pPr>
      <w:r w:rsidRPr="00DE5EB5">
        <w:rPr>
          <w:rStyle w:val="FootnoteReference"/>
          <w:sz w:val="24"/>
          <w:szCs w:val="24"/>
          <w:lang w:val="mt-MT"/>
        </w:rPr>
        <w:footnoteRef/>
      </w:r>
      <w:r w:rsidR="00FC0AFE" w:rsidRPr="00DE5EB5">
        <w:rPr>
          <w:sz w:val="24"/>
          <w:szCs w:val="24"/>
          <w:lang w:val="mt-MT"/>
        </w:rPr>
        <w:t xml:space="preserve"> </w:t>
      </w:r>
      <w:r w:rsidR="00FC0AFE" w:rsidRPr="00DE5EB5">
        <w:rPr>
          <w:sz w:val="24"/>
          <w:szCs w:val="24"/>
          <w:lang w:val="mt-MT"/>
        </w:rPr>
        <w:tab/>
      </w:r>
      <w:r w:rsidRPr="00DE5EB5">
        <w:rPr>
          <w:sz w:val="24"/>
          <w:szCs w:val="24"/>
          <w:lang w:val="mt-MT"/>
        </w:rPr>
        <w:t>ĠU L 309, 24.11.2009, p. 1.</w:t>
      </w:r>
    </w:p>
  </w:footnote>
  <w:footnote w:id="8">
    <w:p w:rsidR="000B5DD9" w:rsidRPr="00DE5EB5" w:rsidRDefault="000B5DD9" w:rsidP="00FC0AFE">
      <w:pPr>
        <w:pStyle w:val="FootnoteText"/>
        <w:ind w:left="567" w:hanging="567"/>
        <w:rPr>
          <w:sz w:val="24"/>
          <w:szCs w:val="24"/>
          <w:lang w:val="mt-MT"/>
        </w:rPr>
      </w:pPr>
      <w:r w:rsidRPr="00DE5EB5">
        <w:rPr>
          <w:rStyle w:val="FootnoteReference"/>
          <w:sz w:val="24"/>
          <w:szCs w:val="24"/>
          <w:lang w:val="mt-MT"/>
        </w:rPr>
        <w:footnoteRef/>
      </w:r>
      <w:r w:rsidR="00FC0AFE" w:rsidRPr="00DE5EB5">
        <w:rPr>
          <w:sz w:val="24"/>
          <w:szCs w:val="24"/>
          <w:lang w:val="mt-MT"/>
        </w:rPr>
        <w:t xml:space="preserve"> </w:t>
      </w:r>
      <w:r w:rsidR="00FC0AFE" w:rsidRPr="00DE5EB5">
        <w:rPr>
          <w:sz w:val="24"/>
          <w:szCs w:val="24"/>
          <w:lang w:val="mt-MT"/>
        </w:rPr>
        <w:tab/>
      </w:r>
      <w:r w:rsidRPr="00DE5EB5">
        <w:rPr>
          <w:sz w:val="24"/>
          <w:szCs w:val="24"/>
          <w:lang w:val="mt-MT"/>
        </w:rPr>
        <w:t>Punt 7 tal-Anness għar-Regolament ta' Implimentazzjoni tal-Kummissjoni (UE) 2015/404 (ĠU L 67, 12.3.2015, p. 6).</w:t>
      </w:r>
    </w:p>
  </w:footnote>
  <w:footnote w:id="9">
    <w:p w:rsidR="000B5DD9" w:rsidRPr="00DE5EB5" w:rsidRDefault="000B5DD9" w:rsidP="00FC0AFE">
      <w:pPr>
        <w:pStyle w:val="FootnoteText"/>
        <w:ind w:left="567" w:hanging="567"/>
        <w:rPr>
          <w:sz w:val="24"/>
          <w:szCs w:val="24"/>
          <w:lang w:val="mt-MT"/>
        </w:rPr>
      </w:pPr>
      <w:r w:rsidRPr="00DE5EB5">
        <w:rPr>
          <w:rStyle w:val="FootnoteReference"/>
          <w:sz w:val="24"/>
          <w:szCs w:val="24"/>
          <w:lang w:val="mt-MT"/>
        </w:rPr>
        <w:footnoteRef/>
      </w:r>
      <w:r w:rsidR="00FC0AFE" w:rsidRPr="00DE5EB5">
        <w:rPr>
          <w:sz w:val="24"/>
          <w:szCs w:val="24"/>
          <w:lang w:val="mt-MT"/>
        </w:rPr>
        <w:t xml:space="preserve"> </w:t>
      </w:r>
      <w:r w:rsidR="00FC0AFE" w:rsidRPr="00DE5EB5">
        <w:rPr>
          <w:sz w:val="24"/>
          <w:szCs w:val="24"/>
          <w:lang w:val="mt-MT"/>
        </w:rPr>
        <w:tab/>
      </w:r>
      <w:r w:rsidRPr="00DE5EB5">
        <w:rPr>
          <w:sz w:val="24"/>
          <w:szCs w:val="24"/>
          <w:lang w:val="mt-MT"/>
        </w:rPr>
        <w:t xml:space="preserve">Konklużjoni tal-EFSA dwar l-evalwazzjoni bejn il-pari tal-valutazzjoni tar-riskju tal-pestiċidi tas-sustanza attiva glifosat. Il-Ġurnal tal-EFSA 2015, 13 (11):4302, </w:t>
      </w:r>
      <w:hyperlink r:id="rId4" w:history="1">
        <w:r w:rsidRPr="004F5DEC">
          <w:rPr>
            <w:rStyle w:val="Hyperlink"/>
            <w:sz w:val="24"/>
            <w:szCs w:val="24"/>
            <w:lang w:val="mt-MT"/>
          </w:rPr>
          <w:t>http://onlinelibrary.wiley.com/doi/10.2903/j.efsa.2015.4302/epdf</w:t>
        </w:r>
      </w:hyperlink>
    </w:p>
  </w:footnote>
  <w:footnote w:id="10">
    <w:p w:rsidR="000B5DD9" w:rsidRPr="00DE5EB5" w:rsidRDefault="000B5DD9" w:rsidP="00FC0AFE">
      <w:pPr>
        <w:pStyle w:val="FootnoteText"/>
        <w:ind w:left="567" w:hanging="567"/>
        <w:rPr>
          <w:sz w:val="24"/>
          <w:szCs w:val="24"/>
          <w:lang w:val="mt-MT"/>
        </w:rPr>
      </w:pPr>
      <w:r w:rsidRPr="00DE5EB5">
        <w:rPr>
          <w:rStyle w:val="FootnoteReference"/>
          <w:sz w:val="24"/>
          <w:szCs w:val="24"/>
          <w:lang w:val="mt-MT"/>
        </w:rPr>
        <w:footnoteRef/>
      </w:r>
      <w:r w:rsidR="00FC0AFE" w:rsidRPr="00DE5EB5">
        <w:rPr>
          <w:sz w:val="24"/>
          <w:szCs w:val="24"/>
          <w:lang w:val="mt-MT"/>
        </w:rPr>
        <w:t xml:space="preserve"> </w:t>
      </w:r>
      <w:r w:rsidR="00FC0AFE" w:rsidRPr="00DE5EB5">
        <w:rPr>
          <w:sz w:val="24"/>
          <w:szCs w:val="24"/>
          <w:lang w:val="mt-MT"/>
        </w:rPr>
        <w:tab/>
      </w:r>
      <w:hyperlink r:id="rId5" w:history="1">
        <w:r w:rsidRPr="004F5DEC">
          <w:rPr>
            <w:rStyle w:val="Hyperlink"/>
            <w:sz w:val="24"/>
            <w:szCs w:val="24"/>
            <w:lang w:val="mt-MT"/>
          </w:rPr>
          <w:t>https://www.ncbi.nlm.nih.gov/pmc/articles/PMC3955666</w:t>
        </w:r>
      </w:hyperlink>
    </w:p>
  </w:footnote>
  <w:footnote w:id="11">
    <w:p w:rsidR="000B5DD9" w:rsidRPr="004F5DEC" w:rsidRDefault="000B5DD9" w:rsidP="00FC0AFE">
      <w:pPr>
        <w:pStyle w:val="FootnoteText"/>
        <w:ind w:left="567" w:hanging="567"/>
        <w:rPr>
          <w:sz w:val="24"/>
          <w:szCs w:val="24"/>
          <w:lang w:val="mt-MT"/>
        </w:rPr>
      </w:pPr>
      <w:r w:rsidRPr="00DE5EB5">
        <w:rPr>
          <w:rStyle w:val="FootnoteReference"/>
          <w:sz w:val="24"/>
          <w:szCs w:val="24"/>
          <w:lang w:val="mt-MT"/>
        </w:rPr>
        <w:footnoteRef/>
      </w:r>
      <w:r w:rsidR="00FC0AFE" w:rsidRPr="00DE5EB5">
        <w:rPr>
          <w:sz w:val="24"/>
          <w:szCs w:val="24"/>
          <w:lang w:val="mt-MT"/>
        </w:rPr>
        <w:t xml:space="preserve"> </w:t>
      </w:r>
      <w:r w:rsidR="00FC0AFE" w:rsidRPr="00DE5EB5">
        <w:rPr>
          <w:sz w:val="24"/>
          <w:szCs w:val="24"/>
          <w:lang w:val="mt-MT"/>
        </w:rPr>
        <w:tab/>
      </w:r>
      <w:r w:rsidRPr="00DE5EB5">
        <w:rPr>
          <w:sz w:val="24"/>
          <w:szCs w:val="24"/>
          <w:lang w:val="mt-MT"/>
        </w:rPr>
        <w:t xml:space="preserve">Regolament ta' Implimentazzjoni tal-Kummissjoni (UE) 2017/660 </w:t>
      </w:r>
      <w:r w:rsidR="00DE5EB5" w:rsidRPr="00DE5EB5">
        <w:rPr>
          <w:sz w:val="24"/>
          <w:szCs w:val="24"/>
          <w:lang w:val="mt-MT"/>
        </w:rPr>
        <w:t>tas-6 ta</w:t>
      </w:r>
      <w:r w:rsidR="00DE5EB5" w:rsidRPr="004F5DEC">
        <w:rPr>
          <w:sz w:val="24"/>
          <w:szCs w:val="24"/>
          <w:lang w:val="mt-MT"/>
        </w:rPr>
        <w:t xml:space="preserve">’ April 2017 </w:t>
      </w:r>
      <w:r w:rsidRPr="004F5DEC">
        <w:rPr>
          <w:sz w:val="24"/>
          <w:szCs w:val="24"/>
          <w:lang w:val="mt-MT"/>
        </w:rPr>
        <w:t xml:space="preserve">dwar programm multiannwali tal-Unjoni kkoordinat u ta' kontroll għall-2018, l-2019 u l-2020 biex tiġi żgurata l-konformità mal-livelli massimi ta' residwi ta' pestiċidi fi u fuq ikel li joriġina mill-pjanti u mill-annimali u biex jiġi vvalutat l-esponiment tal-konsumatur għalihom (ĠU L 94, 7.4.2017, p. 12). </w:t>
      </w:r>
    </w:p>
  </w:footnote>
  <w:footnote w:id="12">
    <w:p w:rsidR="000B5DD9" w:rsidRPr="00DE5EB5" w:rsidRDefault="000B5DD9" w:rsidP="00FC0AFE">
      <w:pPr>
        <w:pStyle w:val="FootnoteText"/>
        <w:ind w:left="567" w:hanging="567"/>
        <w:rPr>
          <w:sz w:val="24"/>
          <w:szCs w:val="24"/>
          <w:lang w:val="mt-MT"/>
        </w:rPr>
      </w:pPr>
      <w:r w:rsidRPr="00DE5EB5">
        <w:rPr>
          <w:rStyle w:val="FootnoteReference"/>
          <w:sz w:val="24"/>
          <w:szCs w:val="24"/>
          <w:lang w:val="mt-MT"/>
        </w:rPr>
        <w:footnoteRef/>
      </w:r>
      <w:r w:rsidR="00FC0AFE" w:rsidRPr="00DE5EB5">
        <w:rPr>
          <w:sz w:val="24"/>
          <w:szCs w:val="24"/>
          <w:lang w:val="mt-MT"/>
        </w:rPr>
        <w:t xml:space="preserve"> </w:t>
      </w:r>
      <w:r w:rsidR="00FC0AFE" w:rsidRPr="00DE5EB5">
        <w:rPr>
          <w:sz w:val="24"/>
          <w:szCs w:val="24"/>
          <w:lang w:val="mt-MT"/>
        </w:rPr>
        <w:tab/>
      </w:r>
      <w:r w:rsidRPr="00DE5EB5">
        <w:rPr>
          <w:sz w:val="24"/>
          <w:szCs w:val="24"/>
          <w:lang w:val="mt-MT"/>
        </w:rPr>
        <w:t xml:space="preserve">Regolament ta' Implimentazzjoni tal-Kummissjoni (UE) 2018/555 tad-9 ta' April 2018 dwar programm multiannwali tal-Unjoni kkoordinat u ta' kontroll għall-2019, l-2020 u l-2021 biex tiġi żgurata l-konformità mal-livelli massimi ta' residwi ta' pestiċidi fi u fuq ikel li joriġina mill-pjanti u mill-annimali u biex jiġi vvalutat l-esponiment tal-konsumatur għalihom (ĠU L 92, 10.4.2018, p. 6). </w:t>
      </w:r>
    </w:p>
  </w:footnote>
  <w:footnote w:id="13">
    <w:p w:rsidR="000B5DD9" w:rsidRPr="00DE5EB5" w:rsidRDefault="000B5DD9" w:rsidP="00FC0AFE">
      <w:pPr>
        <w:pStyle w:val="FootnoteText"/>
        <w:ind w:left="567" w:hanging="567"/>
        <w:rPr>
          <w:sz w:val="24"/>
          <w:szCs w:val="24"/>
          <w:lang w:val="mt-MT"/>
        </w:rPr>
      </w:pPr>
      <w:r w:rsidRPr="00DE5EB5">
        <w:rPr>
          <w:rStyle w:val="FootnoteReference"/>
          <w:sz w:val="24"/>
          <w:szCs w:val="24"/>
          <w:lang w:val="mt-MT"/>
        </w:rPr>
        <w:footnoteRef/>
      </w:r>
      <w:r w:rsidR="00FC0AFE" w:rsidRPr="00DE5EB5">
        <w:rPr>
          <w:sz w:val="24"/>
          <w:szCs w:val="24"/>
          <w:lang w:val="mt-MT"/>
        </w:rPr>
        <w:t xml:space="preserve"> </w:t>
      </w:r>
      <w:r w:rsidR="00FC0AFE" w:rsidRPr="00DE5EB5">
        <w:rPr>
          <w:sz w:val="24"/>
          <w:szCs w:val="24"/>
          <w:lang w:val="mt-MT"/>
        </w:rPr>
        <w:tab/>
      </w:r>
      <w:hyperlink r:id="rId6" w:history="1">
        <w:r w:rsidRPr="00DE5EB5">
          <w:rPr>
            <w:rStyle w:val="Hyperlink"/>
            <w:sz w:val="24"/>
            <w:szCs w:val="24"/>
            <w:lang w:val="mt-MT"/>
          </w:rPr>
          <w:t>https://www.ncbi.nlm.nih.gov/pmc/articles/PMC5236067/</w:t>
        </w:r>
      </w:hyperlink>
    </w:p>
  </w:footnote>
  <w:footnote w:id="14">
    <w:p w:rsidR="000B5DD9" w:rsidRPr="00DE5EB5" w:rsidRDefault="000B5DD9" w:rsidP="00FC0AFE">
      <w:pPr>
        <w:pStyle w:val="FootnoteText"/>
        <w:ind w:left="567" w:hanging="567"/>
        <w:rPr>
          <w:sz w:val="24"/>
          <w:szCs w:val="24"/>
          <w:lang w:val="mt-MT"/>
        </w:rPr>
      </w:pPr>
      <w:r w:rsidRPr="00DE5EB5">
        <w:rPr>
          <w:rStyle w:val="FootnoteReference"/>
          <w:sz w:val="24"/>
          <w:szCs w:val="24"/>
          <w:lang w:val="mt-MT"/>
        </w:rPr>
        <w:footnoteRef/>
      </w:r>
      <w:r w:rsidR="00FC0AFE" w:rsidRPr="00DE5EB5">
        <w:rPr>
          <w:sz w:val="24"/>
          <w:szCs w:val="24"/>
          <w:lang w:val="mt-MT"/>
        </w:rPr>
        <w:t xml:space="preserve"> </w:t>
      </w:r>
      <w:r w:rsidR="00FC0AFE" w:rsidRPr="00DE5EB5">
        <w:rPr>
          <w:sz w:val="24"/>
          <w:szCs w:val="24"/>
          <w:lang w:val="mt-MT"/>
        </w:rPr>
        <w:tab/>
      </w:r>
      <w:hyperlink r:id="rId7" w:history="1">
        <w:r w:rsidRPr="00DE5EB5">
          <w:rPr>
            <w:rStyle w:val="Hyperlink"/>
            <w:sz w:val="24"/>
            <w:szCs w:val="24"/>
            <w:lang w:val="mt-MT"/>
          </w:rPr>
          <w:t>https://efsa.onlinelibrary.wiley.com/doi/epdf/10.2903/j.efsa.2015.4302</w:t>
        </w:r>
      </w:hyperlink>
    </w:p>
  </w:footnote>
  <w:footnote w:id="15">
    <w:p w:rsidR="000B5DD9" w:rsidRPr="00DE5EB5" w:rsidRDefault="000B5DD9" w:rsidP="00FC0AFE">
      <w:pPr>
        <w:pStyle w:val="FootnoteText"/>
        <w:ind w:left="567" w:hanging="567"/>
        <w:rPr>
          <w:sz w:val="24"/>
          <w:szCs w:val="24"/>
          <w:lang w:val="mt-MT"/>
        </w:rPr>
      </w:pPr>
      <w:r w:rsidRPr="00DE5EB5">
        <w:rPr>
          <w:rStyle w:val="FootnoteReference"/>
          <w:sz w:val="24"/>
          <w:szCs w:val="24"/>
          <w:lang w:val="mt-MT"/>
        </w:rPr>
        <w:footnoteRef/>
      </w:r>
      <w:r w:rsidR="00FC0AFE" w:rsidRPr="00DE5EB5">
        <w:rPr>
          <w:sz w:val="24"/>
          <w:szCs w:val="24"/>
          <w:lang w:val="mt-MT"/>
        </w:rPr>
        <w:t xml:space="preserve"> </w:t>
      </w:r>
      <w:r w:rsidR="00FC0AFE" w:rsidRPr="00DE5EB5">
        <w:rPr>
          <w:sz w:val="24"/>
          <w:szCs w:val="24"/>
          <w:lang w:val="mt-MT"/>
        </w:rPr>
        <w:tab/>
      </w:r>
      <w:hyperlink r:id="rId8" w:history="1">
        <w:r w:rsidRPr="00DE5EB5">
          <w:rPr>
            <w:rStyle w:val="Hyperlink"/>
            <w:sz w:val="24"/>
            <w:szCs w:val="24"/>
            <w:lang w:val="mt-MT"/>
          </w:rPr>
          <w:t>https://onlinelibrary.wiley.com/doi/abs/10.1111/ecog.02719</w:t>
        </w:r>
      </w:hyperlink>
    </w:p>
  </w:footnote>
  <w:footnote w:id="16">
    <w:p w:rsidR="000B5DD9" w:rsidRPr="00DE5EB5" w:rsidRDefault="000B5DD9" w:rsidP="00FC0AFE">
      <w:pPr>
        <w:pStyle w:val="FootnoteText"/>
        <w:ind w:left="567" w:hanging="567"/>
        <w:rPr>
          <w:sz w:val="24"/>
          <w:szCs w:val="24"/>
          <w:lang w:val="mt-MT"/>
        </w:rPr>
      </w:pPr>
      <w:r w:rsidRPr="00DE5EB5">
        <w:rPr>
          <w:rStyle w:val="FootnoteReference"/>
          <w:sz w:val="24"/>
          <w:szCs w:val="24"/>
          <w:lang w:val="mt-MT"/>
        </w:rPr>
        <w:footnoteRef/>
      </w:r>
      <w:r w:rsidR="00FC0AFE" w:rsidRPr="00DE5EB5">
        <w:rPr>
          <w:sz w:val="24"/>
          <w:szCs w:val="24"/>
          <w:lang w:val="mt-MT"/>
        </w:rPr>
        <w:t xml:space="preserve"> </w:t>
      </w:r>
      <w:r w:rsidR="00FC0AFE" w:rsidRPr="00DE5EB5">
        <w:rPr>
          <w:sz w:val="24"/>
          <w:szCs w:val="24"/>
          <w:lang w:val="mt-MT"/>
        </w:rPr>
        <w:tab/>
      </w:r>
      <w:r w:rsidRPr="00DE5EB5">
        <w:rPr>
          <w:sz w:val="24"/>
          <w:szCs w:val="24"/>
          <w:lang w:val="mt-MT"/>
        </w:rPr>
        <w:t xml:space="preserve">Artikolu 3, </w:t>
      </w:r>
      <w:hyperlink r:id="rId9" w:history="1">
        <w:r w:rsidRPr="00DE5EB5">
          <w:rPr>
            <w:rStyle w:val="Hyperlink"/>
            <w:sz w:val="24"/>
            <w:szCs w:val="24"/>
            <w:lang w:val="mt-MT"/>
          </w:rPr>
          <w:t>https://www.cbd.int/convention/articles/default.shtml?a=cbd-03</w:t>
        </w:r>
      </w:hyperlink>
    </w:p>
  </w:footnote>
  <w:footnote w:id="17">
    <w:p w:rsidR="000B5DD9" w:rsidRPr="00DE5EB5" w:rsidRDefault="000B5DD9" w:rsidP="00FC0AFE">
      <w:pPr>
        <w:pStyle w:val="FootnoteText"/>
        <w:ind w:left="567" w:hanging="567"/>
        <w:rPr>
          <w:sz w:val="24"/>
          <w:szCs w:val="24"/>
          <w:lang w:val="mt-MT"/>
        </w:rPr>
      </w:pPr>
      <w:r w:rsidRPr="00DE5EB5">
        <w:rPr>
          <w:rStyle w:val="FootnoteReference"/>
          <w:sz w:val="24"/>
          <w:szCs w:val="24"/>
          <w:lang w:val="mt-MT"/>
        </w:rPr>
        <w:footnoteRef/>
      </w:r>
      <w:r w:rsidR="00FC0AFE" w:rsidRPr="00DE5EB5">
        <w:rPr>
          <w:sz w:val="24"/>
          <w:szCs w:val="24"/>
          <w:lang w:val="mt-MT"/>
        </w:rPr>
        <w:t xml:space="preserve"> </w:t>
      </w:r>
      <w:r w:rsidR="00FC0AFE" w:rsidRPr="00DE5EB5">
        <w:rPr>
          <w:sz w:val="24"/>
          <w:szCs w:val="24"/>
          <w:lang w:val="mt-MT"/>
        </w:rPr>
        <w:tab/>
      </w:r>
      <w:hyperlink r:id="rId10" w:history="1">
        <w:r w:rsidRPr="00DE5EB5">
          <w:rPr>
            <w:rStyle w:val="Hyperlink"/>
            <w:sz w:val="24"/>
            <w:szCs w:val="24"/>
            <w:lang w:val="mt-MT"/>
          </w:rPr>
          <w:t>https://www.ncbi.nlm.nih.gov/pmc/articles/PMC5606642/</w:t>
        </w:r>
      </w:hyperlink>
    </w:p>
  </w:footnote>
  <w:footnote w:id="18">
    <w:p w:rsidR="000B5DD9" w:rsidRPr="00DE5EB5" w:rsidRDefault="000B5DD9" w:rsidP="00FC0AFE">
      <w:pPr>
        <w:pStyle w:val="FootnoteText"/>
        <w:ind w:left="567" w:hanging="567"/>
        <w:rPr>
          <w:sz w:val="24"/>
          <w:szCs w:val="24"/>
          <w:lang w:val="mt-MT"/>
        </w:rPr>
      </w:pPr>
      <w:r w:rsidRPr="00DE5EB5">
        <w:rPr>
          <w:rStyle w:val="FootnoteReference"/>
          <w:sz w:val="24"/>
          <w:szCs w:val="24"/>
          <w:lang w:val="mt-MT"/>
        </w:rPr>
        <w:footnoteRef/>
      </w:r>
      <w:r w:rsidR="00FC0AFE" w:rsidRPr="00DE5EB5">
        <w:rPr>
          <w:sz w:val="24"/>
          <w:szCs w:val="24"/>
          <w:lang w:val="mt-MT"/>
        </w:rPr>
        <w:t xml:space="preserve"> </w:t>
      </w:r>
      <w:r w:rsidR="00FC0AFE" w:rsidRPr="00DE5EB5">
        <w:rPr>
          <w:sz w:val="24"/>
          <w:szCs w:val="24"/>
          <w:lang w:val="mt-MT"/>
        </w:rPr>
        <w:tab/>
      </w:r>
      <w:r w:rsidRPr="00DE5EB5">
        <w:rPr>
          <w:sz w:val="24"/>
          <w:szCs w:val="24"/>
          <w:lang w:val="mt-MT"/>
        </w:rPr>
        <w:t>Ara, pereżempju, id-dikjarazzjoni inawgurali fis-sessjoni plenarja tal-Parlament Ewropew inkluża fil-linji gwida politiċi għall-Kummissjoni Ewropea li jmiss (Strasburgu, il-15 ta' Lulju 2014), jew id-diskors dwar l-Istat tal-Unjoni 2016 (Strasburgu, l-14 ta' Settembru 2016).</w:t>
      </w:r>
    </w:p>
  </w:footnote>
  <w:footnote w:id="19">
    <w:p w:rsidR="00DE5EB5" w:rsidRPr="004F5DEC" w:rsidRDefault="00DE5EB5" w:rsidP="004F5DEC">
      <w:pPr>
        <w:pStyle w:val="FootnoteText"/>
        <w:ind w:left="567" w:hanging="567"/>
        <w:rPr>
          <w:sz w:val="24"/>
          <w:szCs w:val="24"/>
          <w:lang w:val="mt-MT"/>
        </w:rPr>
      </w:pPr>
      <w:r w:rsidRPr="004F5DEC">
        <w:rPr>
          <w:rStyle w:val="FootnoteReference"/>
          <w:sz w:val="24"/>
          <w:szCs w:val="24"/>
        </w:rPr>
        <w:footnoteRef/>
      </w:r>
      <w:r w:rsidRPr="004F5DEC">
        <w:rPr>
          <w:sz w:val="24"/>
          <w:szCs w:val="24"/>
        </w:rPr>
        <w:t xml:space="preserve"> </w:t>
      </w:r>
      <w:r w:rsidRPr="004F5DEC">
        <w:rPr>
          <w:sz w:val="24"/>
          <w:szCs w:val="24"/>
          <w:lang w:val="mt-MT"/>
        </w:rPr>
        <w:tab/>
      </w:r>
      <w:r w:rsidRPr="004F5DEC">
        <w:rPr>
          <w:sz w:val="24"/>
          <w:szCs w:val="24"/>
          <w:lang w:val="en-GB"/>
        </w:rPr>
        <w:t>ĠU C 355, 20.10.2017, p. 165.</w:t>
      </w:r>
    </w:p>
  </w:footnote>
  <w:footnote w:id="20">
    <w:p w:rsidR="000B5DD9" w:rsidRPr="00DE5EB5" w:rsidRDefault="000B5DD9" w:rsidP="00FC0AFE">
      <w:pPr>
        <w:pStyle w:val="FootnoteText"/>
        <w:ind w:left="567" w:hanging="567"/>
        <w:rPr>
          <w:sz w:val="24"/>
          <w:szCs w:val="24"/>
          <w:lang w:val="mt-MT"/>
        </w:rPr>
      </w:pPr>
      <w:r w:rsidRPr="00DE5EB5">
        <w:rPr>
          <w:rStyle w:val="FootnoteReference"/>
          <w:sz w:val="24"/>
          <w:szCs w:val="24"/>
          <w:lang w:val="mt-MT"/>
        </w:rPr>
        <w:footnoteRef/>
      </w:r>
      <w:r w:rsidR="00FC0AFE" w:rsidRPr="00DE5EB5">
        <w:rPr>
          <w:sz w:val="24"/>
          <w:szCs w:val="24"/>
          <w:lang w:val="mt-MT"/>
        </w:rPr>
        <w:t xml:space="preserve"> </w:t>
      </w:r>
      <w:r w:rsidR="00FC0AFE" w:rsidRPr="00DE5EB5">
        <w:rPr>
          <w:sz w:val="24"/>
          <w:szCs w:val="24"/>
          <w:lang w:val="mt-MT"/>
        </w:rPr>
        <w:tab/>
      </w:r>
      <w:r w:rsidRPr="00DE5EB5">
        <w:rPr>
          <w:sz w:val="24"/>
          <w:szCs w:val="24"/>
          <w:lang w:val="mt-MT"/>
        </w:rPr>
        <w:t>ĠU L 31, 1.2.2002, p. 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FE" w:rsidRPr="00FC0AFE" w:rsidRDefault="00FC0AFE">
    <w:pPr>
      <w:pStyle w:val="Header"/>
      <w:rPr>
        <w:lang w:val="mt-M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FE" w:rsidRPr="00FC0AFE" w:rsidRDefault="00FC0AFE">
    <w:pPr>
      <w:pStyle w:val="Header"/>
      <w:rPr>
        <w:lang w:val="mt-M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FE" w:rsidRPr="00FC0AFE" w:rsidRDefault="00FC0AFE">
    <w:pPr>
      <w:pStyle w:val="Header"/>
      <w:rPr>
        <w:lang w:val="mt-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B8-0233/2018"/>
    <w:docVar w:name="dvlangue" w:val="MT"/>
    <w:docVar w:name="dvnumam" w:val="0"/>
    <w:docVar w:name="dvpe" w:val="621.608"/>
    <w:docVar w:name="dvtitre" w:val="Riżoluzzjoni tal-Parlament Ewropew tat-30 ta' Mejju 2018 dwar l-abbozz ta' deċiżjoni ta' implimentazzjoni tal-Kummissjoni li tawtorizza t-tqegħid fis-suq ta' prodotti li jkun fihom, ikunu jikkonsistu, jew li jkunu prodotti mill-qamħirrum ġenetikament modifikat 1507 × 59122 × MON 810 × NK603, u qamħirrum ġenetikament modifikat li jikkombina tnejn jew tlieta mill-eventi uniċi 1507, 59122, MON 810 u NK603, u li tħassar id-Deċiżjonijiet 2009/815/KE, 2010/428/UE u 2010/432/UE skont ir-Regolament (KE) Nru 1829/2003 tal-Parlament u tal-Kunsill dwar ikel u għalf ġenetikament modifikat(D056123 – 2018/2699(RSP))"/>
  </w:docVars>
  <w:rsids>
    <w:rsidRoot w:val="0090252E"/>
    <w:rsid w:val="00002272"/>
    <w:rsid w:val="000677B9"/>
    <w:rsid w:val="000B5DD9"/>
    <w:rsid w:val="000E7DD9"/>
    <w:rsid w:val="0010095E"/>
    <w:rsid w:val="00125B37"/>
    <w:rsid w:val="002767FF"/>
    <w:rsid w:val="002B5493"/>
    <w:rsid w:val="00307559"/>
    <w:rsid w:val="00361C00"/>
    <w:rsid w:val="003632C8"/>
    <w:rsid w:val="00395FA1"/>
    <w:rsid w:val="003E15D4"/>
    <w:rsid w:val="00411CCE"/>
    <w:rsid w:val="0041666E"/>
    <w:rsid w:val="00421060"/>
    <w:rsid w:val="004906E6"/>
    <w:rsid w:val="00494A28"/>
    <w:rsid w:val="004F5DEC"/>
    <w:rsid w:val="0050519A"/>
    <w:rsid w:val="005072A1"/>
    <w:rsid w:val="00514517"/>
    <w:rsid w:val="006037C0"/>
    <w:rsid w:val="00680577"/>
    <w:rsid w:val="006F74FA"/>
    <w:rsid w:val="00731ADD"/>
    <w:rsid w:val="00734777"/>
    <w:rsid w:val="00751A4A"/>
    <w:rsid w:val="00756632"/>
    <w:rsid w:val="007D1690"/>
    <w:rsid w:val="00865F67"/>
    <w:rsid w:val="00881A7B"/>
    <w:rsid w:val="008840E5"/>
    <w:rsid w:val="008C2AC6"/>
    <w:rsid w:val="0090252E"/>
    <w:rsid w:val="009509D8"/>
    <w:rsid w:val="00981893"/>
    <w:rsid w:val="00A4678D"/>
    <w:rsid w:val="00AF3B82"/>
    <w:rsid w:val="00B558F0"/>
    <w:rsid w:val="00BD7BD8"/>
    <w:rsid w:val="00C05BFE"/>
    <w:rsid w:val="00C23CD4"/>
    <w:rsid w:val="00C941CB"/>
    <w:rsid w:val="00CC2357"/>
    <w:rsid w:val="00D058B8"/>
    <w:rsid w:val="00D834A0"/>
    <w:rsid w:val="00D91E21"/>
    <w:rsid w:val="00DE5EB5"/>
    <w:rsid w:val="00DE70E7"/>
    <w:rsid w:val="00E365E1"/>
    <w:rsid w:val="00ED4235"/>
    <w:rsid w:val="00F04346"/>
    <w:rsid w:val="00F075DC"/>
    <w:rsid w:val="00F5134D"/>
    <w:rsid w:val="00FC0AFE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79E8576"/>
  <w15:chartTrackingRefBased/>
  <w15:docId w15:val="{F91A78AC-39CE-439B-B736-35BA6373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mt-MT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styleId="Hyperlink">
    <w:name w:val="Hyperlink"/>
    <w:uiPriority w:val="99"/>
    <w:unhideWhenUsed/>
    <w:rsid w:val="000B5DD9"/>
    <w:rPr>
      <w:color w:val="0563C1"/>
      <w:u w:val="single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contents">
    <w:name w:val="contents"/>
    <w:rsid w:val="000B5DD9"/>
  </w:style>
  <w:style w:type="paragraph" w:styleId="BalloonText">
    <w:name w:val="Balloon Text"/>
    <w:basedOn w:val="Normal"/>
    <w:link w:val="BalloonTextChar"/>
    <w:rsid w:val="00DE5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5EB5"/>
    <w:rPr>
      <w:rFonts w:ascii="Segoe UI" w:hAnsi="Segoe UI" w:cs="Segoe UI"/>
      <w:sz w:val="18"/>
      <w:szCs w:val="18"/>
      <w:lang w:val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doi/abs/10.1111/ecog.02719" TargetMode="External"/><Relationship Id="rId3" Type="http://schemas.openxmlformats.org/officeDocument/2006/relationships/hyperlink" Target="https://www.testbiotech.org/node/2130" TargetMode="External"/><Relationship Id="rId7" Type="http://schemas.openxmlformats.org/officeDocument/2006/relationships/hyperlink" Target="https://efsa.onlinelibrary.wiley.com/doi/epdf/10.2903/j.efsa.2015.4302" TargetMode="External"/><Relationship Id="rId2" Type="http://schemas.openxmlformats.org/officeDocument/2006/relationships/hyperlink" Target="https://efsa.onlinelibrary.wiley.com/doi/10.2903/j.efsa.2017.5000" TargetMode="External"/><Relationship Id="rId1" Type="http://schemas.openxmlformats.org/officeDocument/2006/relationships/hyperlink" Target="https://efsa.onlinelibrary.wiley.com/doi/10.2903/j.efsa.2017.5000" TargetMode="External"/><Relationship Id="rId6" Type="http://schemas.openxmlformats.org/officeDocument/2006/relationships/hyperlink" Target="https://www.ncbi.nlm.nih.gov/pmc/articles/PMC5236067/" TargetMode="External"/><Relationship Id="rId5" Type="http://schemas.openxmlformats.org/officeDocument/2006/relationships/hyperlink" Target="https://www.ncbi.nlm.nih.gov/pmc/articles/PMC3955666" TargetMode="External"/><Relationship Id="rId10" Type="http://schemas.openxmlformats.org/officeDocument/2006/relationships/hyperlink" Target="https://www.ncbi.nlm.nih.gov/pmc/articles/PMC5606642/" TargetMode="External"/><Relationship Id="rId4" Type="http://schemas.openxmlformats.org/officeDocument/2006/relationships/hyperlink" Target="http://onlinelibrary.wiley.com/doi/10.2903/j.efsa.2015.4302/epdf" TargetMode="External"/><Relationship Id="rId9" Type="http://schemas.openxmlformats.org/officeDocument/2006/relationships/hyperlink" Target="https://www.cbd.int/convention/articles/default.shtml?a=cbd-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E029E-F71E-463A-B146-6860022D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PORTELLI MANGANI Francesca-Marie</dc:creator>
  <cp:keywords/>
  <cp:lastModifiedBy>PORTELLI MANGANI Francesca-Marie</cp:lastModifiedBy>
  <cp:revision>2</cp:revision>
  <cp:lastPrinted>2004-11-19T14:42:00Z</cp:lastPrinted>
  <dcterms:created xsi:type="dcterms:W3CDTF">2019-06-12T13:59:00Z</dcterms:created>
  <dcterms:modified xsi:type="dcterms:W3CDTF">2019-06-12T13:59:00Z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MT</vt:lpwstr>
  </property>
  <property fmtid="{D5CDD505-2E9C-101B-9397-08002B2CF9AE}" pid="3" name="&lt;FdR&gt;">
    <vt:lpwstr>B8-0233/2018</vt:lpwstr>
  </property>
  <property fmtid="{D5CDD505-2E9C-101B-9397-08002B2CF9AE}" pid="4" name="&lt;Type&gt;">
    <vt:lpwstr>RR</vt:lpwstr>
  </property>
</Properties>
</file>