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863E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863E2" w:rsidRDefault="000A7DC0" w:rsidP="00E12793">
            <w:pPr>
              <w:pStyle w:val="EPName"/>
              <w:widowControl/>
              <w:rPr>
                <w:lang w:val="fi-FI"/>
              </w:rPr>
            </w:pPr>
            <w:r w:rsidRPr="00F863E2">
              <w:rPr>
                <w:lang w:val="fi-FI"/>
              </w:rPr>
              <w:t>Euroopan parlamentti</w:t>
            </w:r>
          </w:p>
          <w:p w:rsidR="00751A4A" w:rsidRPr="00F863E2" w:rsidRDefault="00756632" w:rsidP="00E12793">
            <w:pPr>
              <w:pStyle w:val="EPTerm"/>
              <w:widowControl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F863E2">
              <w:rPr>
                <w:lang w:val="fi-FI"/>
              </w:rPr>
              <w:t>2014</w:t>
            </w:r>
            <w:r w:rsidR="00C941CB" w:rsidRPr="00F863E2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F863E2" w:rsidRDefault="002054ED" w:rsidP="00E12793">
            <w:pPr>
              <w:pStyle w:val="EPLogo"/>
              <w:widowControl/>
            </w:pPr>
            <w:r w:rsidRPr="00F863E2">
              <w:rPr>
                <w:noProof/>
                <w:lang w:val="en-GB"/>
              </w:rPr>
              <w:drawing>
                <wp:inline distT="0" distB="0" distL="0" distR="0">
                  <wp:extent cx="1163955" cy="646430"/>
                  <wp:effectExtent l="0" t="0" r="0" b="127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F863E2" w:rsidRDefault="00D058B8" w:rsidP="00E12793">
      <w:pPr>
        <w:pStyle w:val="LineTop"/>
        <w:widowControl/>
        <w:rPr>
          <w:lang w:val="fi-FI"/>
        </w:rPr>
      </w:pPr>
    </w:p>
    <w:p w:rsidR="00680577" w:rsidRPr="00F863E2" w:rsidRDefault="000A7DC0" w:rsidP="00E12793">
      <w:pPr>
        <w:pStyle w:val="ZSessionDoc"/>
        <w:widowControl/>
        <w:rPr>
          <w:b/>
          <w:i w:val="0"/>
        </w:rPr>
      </w:pPr>
      <w:r w:rsidRPr="00F863E2">
        <w:rPr>
          <w:b/>
          <w:i w:val="0"/>
        </w:rPr>
        <w:t>HYVÄKSYTYT TEKSTIT</w:t>
      </w:r>
    </w:p>
    <w:p w:rsidR="00D058B8" w:rsidRPr="00F863E2" w:rsidRDefault="00D058B8" w:rsidP="00E12793">
      <w:pPr>
        <w:pStyle w:val="LineBottom"/>
        <w:widowControl/>
      </w:pPr>
    </w:p>
    <w:p w:rsidR="000A7DC0" w:rsidRPr="00F863E2" w:rsidRDefault="000A7DC0" w:rsidP="00E12793">
      <w:pPr>
        <w:pStyle w:val="ATHeading1"/>
        <w:rPr>
          <w:noProof w:val="0"/>
          <w:lang w:val="fi-FI"/>
        </w:rPr>
      </w:pPr>
      <w:bookmarkStart w:id="0" w:name="TANumber"/>
      <w:r w:rsidRPr="00F863E2">
        <w:rPr>
          <w:noProof w:val="0"/>
          <w:lang w:val="fi-FI"/>
        </w:rPr>
        <w:t>P8_TA(2018)0</w:t>
      </w:r>
      <w:r w:rsidR="002054ED" w:rsidRPr="00F863E2">
        <w:rPr>
          <w:noProof w:val="0"/>
          <w:lang w:val="fi-FI"/>
        </w:rPr>
        <w:t>289</w:t>
      </w:r>
      <w:bookmarkEnd w:id="0"/>
    </w:p>
    <w:p w:rsidR="000A7DC0" w:rsidRPr="00F863E2" w:rsidRDefault="000A7DC0" w:rsidP="00E12793">
      <w:pPr>
        <w:pStyle w:val="ATHeading2"/>
        <w:rPr>
          <w:noProof w:val="0"/>
          <w:lang w:val="fi-FI"/>
        </w:rPr>
      </w:pPr>
      <w:bookmarkStart w:id="1" w:name="title"/>
      <w:r w:rsidRPr="00F863E2">
        <w:rPr>
          <w:noProof w:val="0"/>
          <w:lang w:val="fi-FI"/>
        </w:rPr>
        <w:t>Ajoneuvovero: verojen ja maksujen kantaminen raskailta tavaraliikenteen ajoneuvoilta tiettyjen</w:t>
      </w:r>
      <w:r w:rsidR="00E12793" w:rsidRPr="00F863E2">
        <w:rPr>
          <w:noProof w:val="0"/>
          <w:lang w:val="fi-FI"/>
        </w:rPr>
        <w:t xml:space="preserve"> </w:t>
      </w:r>
      <w:r w:rsidRPr="00F863E2">
        <w:rPr>
          <w:noProof w:val="0"/>
          <w:lang w:val="fi-FI"/>
        </w:rPr>
        <w:t>infrastruktuurien käytöstä</w:t>
      </w:r>
      <w:bookmarkEnd w:id="1"/>
      <w:r w:rsidRPr="00F863E2">
        <w:rPr>
          <w:noProof w:val="0"/>
          <w:lang w:val="fi-FI"/>
        </w:rPr>
        <w:t xml:space="preserve"> </w:t>
      </w:r>
      <w:bookmarkStart w:id="2" w:name="Etoiles"/>
      <w:r w:rsidRPr="00F863E2">
        <w:rPr>
          <w:noProof w:val="0"/>
          <w:lang w:val="fi-FI"/>
        </w:rPr>
        <w:t>*</w:t>
      </w:r>
      <w:bookmarkEnd w:id="2"/>
    </w:p>
    <w:p w:rsidR="000A7DC0" w:rsidRPr="00F863E2" w:rsidRDefault="000A7DC0" w:rsidP="00E12793">
      <w:pPr>
        <w:widowControl/>
        <w:rPr>
          <w:i/>
          <w:vanish/>
        </w:rPr>
      </w:pPr>
      <w:r w:rsidRPr="00F863E2">
        <w:rPr>
          <w:i/>
        </w:rPr>
        <w:fldChar w:fldCharType="begin"/>
      </w:r>
      <w:r w:rsidRPr="00F863E2">
        <w:rPr>
          <w:i/>
        </w:rPr>
        <w:instrText xml:space="preserve"> TC"(</w:instrText>
      </w:r>
      <w:bookmarkStart w:id="3" w:name="DocNumber"/>
      <w:r w:rsidRPr="00F863E2">
        <w:rPr>
          <w:i/>
        </w:rPr>
        <w:instrText>A8-0200/2018</w:instrText>
      </w:r>
      <w:bookmarkEnd w:id="3"/>
      <w:r w:rsidRPr="00F863E2">
        <w:rPr>
          <w:i/>
        </w:rPr>
        <w:instrText xml:space="preserve"> - Esittelijä: Deirdre Clune)"\l3 \n&gt; \* MERGEFORMAT </w:instrText>
      </w:r>
      <w:r w:rsidRPr="00F863E2">
        <w:rPr>
          <w:i/>
        </w:rPr>
        <w:fldChar w:fldCharType="end"/>
      </w:r>
    </w:p>
    <w:p w:rsidR="000A7DC0" w:rsidRPr="00F863E2" w:rsidRDefault="000A7DC0" w:rsidP="00E12793">
      <w:pPr>
        <w:widowControl/>
        <w:rPr>
          <w:vanish/>
        </w:rPr>
      </w:pPr>
      <w:bookmarkStart w:id="4" w:name="Commission"/>
      <w:r w:rsidRPr="00F863E2">
        <w:rPr>
          <w:vanish/>
        </w:rPr>
        <w:t>Liikenne- ja matkailuvaliokunta</w:t>
      </w:r>
      <w:bookmarkEnd w:id="4"/>
    </w:p>
    <w:p w:rsidR="000A7DC0" w:rsidRPr="00F863E2" w:rsidRDefault="000A7DC0" w:rsidP="00E12793">
      <w:pPr>
        <w:widowControl/>
        <w:rPr>
          <w:vanish/>
        </w:rPr>
      </w:pPr>
      <w:bookmarkStart w:id="5" w:name="PE"/>
      <w:r w:rsidRPr="00F863E2">
        <w:rPr>
          <w:vanish/>
        </w:rPr>
        <w:t>PE615.498</w:t>
      </w:r>
      <w:bookmarkEnd w:id="5"/>
    </w:p>
    <w:p w:rsidR="000A7DC0" w:rsidRPr="00F863E2" w:rsidRDefault="000A7DC0" w:rsidP="00E12793">
      <w:pPr>
        <w:pStyle w:val="ATHeading3"/>
        <w:rPr>
          <w:noProof w:val="0"/>
          <w:lang w:val="fi-FI"/>
        </w:rPr>
      </w:pPr>
      <w:bookmarkStart w:id="6" w:name="Sujet"/>
      <w:r w:rsidRPr="00F863E2">
        <w:rPr>
          <w:noProof w:val="0"/>
          <w:lang w:val="fi-FI"/>
        </w:rPr>
        <w:t>Euroopan parlamentin lainsäädäntöpäätöslauselma 4. heinäkuuta 2018 ehdotuksesta neuvoston direktiiviksi verojen ja maksujen kantamisesta raskailta tavaraliikenteen ajoneuvoilta tiettyjen infrastruktuurien käytöstä annetun direktiivin 1999/62/EY muuttamisesta tiettyjen ajoneuvoveroa koskevien säännösten osalta</w:t>
      </w:r>
      <w:bookmarkEnd w:id="6"/>
      <w:r w:rsidRPr="00F863E2">
        <w:rPr>
          <w:noProof w:val="0"/>
          <w:lang w:val="fi-FI"/>
        </w:rPr>
        <w:t xml:space="preserve"> </w:t>
      </w:r>
      <w:bookmarkStart w:id="7" w:name="References"/>
      <w:r w:rsidRPr="00F863E2">
        <w:rPr>
          <w:noProof w:val="0"/>
          <w:lang w:val="fi-FI"/>
        </w:rPr>
        <w:t>(COM(2017)0276 – C8-0196/2017 – 2017/0115(CNS))</w:t>
      </w:r>
      <w:bookmarkEnd w:id="7"/>
    </w:p>
    <w:p w:rsidR="00DA101C" w:rsidRPr="00F863E2" w:rsidRDefault="00DA101C" w:rsidP="00E12793">
      <w:pPr>
        <w:pStyle w:val="Normal12Bold"/>
        <w:widowControl/>
      </w:pPr>
      <w:bookmarkStart w:id="8" w:name="TextBodyBegin"/>
      <w:bookmarkEnd w:id="8"/>
      <w:r w:rsidRPr="00F863E2">
        <w:t>(Erityinen lainsäätämisjärjestys – ku</w:t>
      </w:r>
      <w:bookmarkStart w:id="9" w:name="_GoBack"/>
      <w:bookmarkEnd w:id="9"/>
      <w:r w:rsidRPr="00F863E2">
        <w:t>uleminen)</w:t>
      </w:r>
    </w:p>
    <w:p w:rsidR="00E12793" w:rsidRPr="00F863E2" w:rsidRDefault="00E12793" w:rsidP="00E12793">
      <w:pPr>
        <w:pStyle w:val="Normal12Bold"/>
        <w:widowControl/>
      </w:pPr>
    </w:p>
    <w:p w:rsidR="00DA101C" w:rsidRPr="00F863E2" w:rsidRDefault="00DA101C" w:rsidP="00E12793">
      <w:pPr>
        <w:pStyle w:val="Normal12"/>
        <w:widowControl/>
      </w:pPr>
      <w:r w:rsidRPr="00F863E2">
        <w:rPr>
          <w:i/>
        </w:rPr>
        <w:t>Euroopan parlamentti</w:t>
      </w:r>
      <w:r w:rsidRPr="00F863E2">
        <w:t>, joka</w:t>
      </w:r>
    </w:p>
    <w:p w:rsidR="00DA101C" w:rsidRPr="00F863E2" w:rsidRDefault="00DA101C" w:rsidP="00E12793">
      <w:pPr>
        <w:pStyle w:val="Normal12Hanging"/>
        <w:widowControl/>
      </w:pPr>
      <w:r w:rsidRPr="00F863E2">
        <w:t>–</w:t>
      </w:r>
      <w:r w:rsidRPr="00F863E2">
        <w:tab/>
        <w:t>ottaa huomioon komission ehdotuksen neuvostolle (COM(2017)0276),</w:t>
      </w:r>
    </w:p>
    <w:p w:rsidR="00DA101C" w:rsidRPr="00F863E2" w:rsidRDefault="00DA101C" w:rsidP="00E12793">
      <w:pPr>
        <w:pStyle w:val="Normal12Hanging"/>
        <w:widowControl/>
      </w:pPr>
      <w:r w:rsidRPr="00F863E2">
        <w:t>–</w:t>
      </w:r>
      <w:r w:rsidRPr="00F863E2">
        <w:tab/>
        <w:t>ottaa huomioon Euroopan unionin toiminnasta tehdyn sopimuksen 113 artiklan, jonka mukaisesti neuvosto on kuullut parlamenttia (C8</w:t>
      </w:r>
      <w:r w:rsidRPr="00F863E2">
        <w:noBreakHyphen/>
        <w:t>0196/2017),</w:t>
      </w:r>
    </w:p>
    <w:p w:rsidR="00DA101C" w:rsidRPr="00F863E2" w:rsidRDefault="00DA101C" w:rsidP="00E12793">
      <w:pPr>
        <w:pStyle w:val="Normal12Hanging"/>
        <w:widowControl/>
      </w:pPr>
      <w:r w:rsidRPr="00F863E2">
        <w:t>–</w:t>
      </w:r>
      <w:r w:rsidRPr="00F863E2">
        <w:tab/>
        <w:t>ottaa huomioon työjärjestyksen 78 c artiklan,</w:t>
      </w:r>
    </w:p>
    <w:p w:rsidR="00DA101C" w:rsidRPr="00F863E2" w:rsidRDefault="00DA101C" w:rsidP="00E12793">
      <w:pPr>
        <w:pStyle w:val="Normal12Hanging"/>
        <w:widowControl/>
      </w:pPr>
      <w:r w:rsidRPr="00F863E2">
        <w:t>–</w:t>
      </w:r>
      <w:r w:rsidRPr="00F863E2">
        <w:tab/>
        <w:t>ottaa huomioon liikenne- ja matkailuvaliokunnan mietinnön ja talous- ja raha-asioiden valiokunnan lausunnon (A8-0200/2018),</w:t>
      </w:r>
    </w:p>
    <w:p w:rsidR="00DA101C" w:rsidRPr="00F863E2" w:rsidRDefault="00DA101C" w:rsidP="00E12793">
      <w:pPr>
        <w:pStyle w:val="Normal12Hanging"/>
        <w:widowControl/>
      </w:pPr>
      <w:r w:rsidRPr="00F863E2">
        <w:t>1.</w:t>
      </w:r>
      <w:r w:rsidRPr="00F863E2">
        <w:tab/>
        <w:t>hyväksyy komission ehdotuksen sellaisena kuin se on tarkistettuna;</w:t>
      </w:r>
    </w:p>
    <w:p w:rsidR="00DA101C" w:rsidRPr="00F863E2" w:rsidRDefault="00DA101C" w:rsidP="00E12793">
      <w:pPr>
        <w:pStyle w:val="Normal12Hanging"/>
        <w:widowControl/>
      </w:pPr>
      <w:r w:rsidRPr="00F863E2">
        <w:t>2.</w:t>
      </w:r>
      <w:r w:rsidRPr="00F863E2">
        <w:tab/>
        <w:t>pyytää komissiota muuttamaan ehdotustaan vastaavasti Euroopan unionin toiminnasta tehdyn sopimuksen 293 artiklan 2 kohdan mukaisesti;</w:t>
      </w:r>
    </w:p>
    <w:p w:rsidR="00DA101C" w:rsidRPr="00F863E2" w:rsidRDefault="00DA101C" w:rsidP="00E12793">
      <w:pPr>
        <w:pStyle w:val="Normal12Hanging"/>
        <w:widowControl/>
      </w:pPr>
      <w:r w:rsidRPr="00F863E2">
        <w:t>3.</w:t>
      </w:r>
      <w:r w:rsidRPr="00F863E2">
        <w:tab/>
        <w:t>pyytää neuvostoa ilmoittamaan parlamentille, jos se aikoo poiketa parlamentin hyväksymästä sanamuodosta;</w:t>
      </w:r>
    </w:p>
    <w:p w:rsidR="00DA101C" w:rsidRPr="00F863E2" w:rsidRDefault="00DA101C" w:rsidP="00E12793">
      <w:pPr>
        <w:pStyle w:val="Normal12Hanging"/>
        <w:widowControl/>
      </w:pPr>
      <w:r w:rsidRPr="00F863E2">
        <w:t>4.</w:t>
      </w:r>
      <w:r w:rsidRPr="00F863E2">
        <w:tab/>
        <w:t>pyytää tulla kuulluksi uudelleen, jos neuvosto aikoo tehdä huomattavia muutoksia komission ehdotukseen;</w:t>
      </w:r>
    </w:p>
    <w:p w:rsidR="00DA101C" w:rsidRPr="00F863E2" w:rsidRDefault="00DA101C" w:rsidP="00E12793">
      <w:pPr>
        <w:pStyle w:val="Normal12Hanging"/>
        <w:widowControl/>
      </w:pPr>
      <w:r w:rsidRPr="00F863E2">
        <w:t>5.</w:t>
      </w:r>
      <w:r w:rsidRPr="00F863E2">
        <w:tab/>
        <w:t>kehottaa puhemiestä välittämään parlamentin kannan neuvostolle ja komissiolle sekä kansallisille parlamenteille.</w:t>
      </w:r>
    </w:p>
    <w:p w:rsidR="00DA101C" w:rsidRPr="00F863E2" w:rsidRDefault="00DA101C" w:rsidP="00E12793">
      <w:pPr>
        <w:pStyle w:val="AMNumberTabs"/>
      </w:pPr>
      <w:r w:rsidRPr="00F863E2">
        <w:lastRenderedPageBreak/>
        <w:t>Tarkistus</w:t>
      </w:r>
      <w:r w:rsidR="00E12793" w:rsidRPr="00F863E2">
        <w:t xml:space="preserve"> </w:t>
      </w:r>
      <w:r w:rsidRPr="00F863E2">
        <w:t>1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Johdanto-osan 4 kappale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t>(4)</w:t>
            </w:r>
            <w:r w:rsidRPr="00F863E2">
              <w:tab/>
              <w:t>Ajoneuvoverot ovat kuluerä, joka toimialan on toistaiseksi maksettava joka tapauksessa, vaikka jäsenvaltioissa kannettaisiin tietulleja. Ajoneuvoverot voivatkin haitata tietullien käyttöönottoa.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t>(4)</w:t>
            </w:r>
            <w:r w:rsidRPr="00F863E2">
              <w:tab/>
              <w:t xml:space="preserve">Ajoneuvoverot ovat kuluerä, joka toimialan </w:t>
            </w:r>
            <w:r w:rsidRPr="00F863E2">
              <w:rPr>
                <w:b/>
                <w:i/>
              </w:rPr>
              <w:t xml:space="preserve">ja etenkin pk-yritysten </w:t>
            </w:r>
            <w:r w:rsidRPr="00F863E2">
              <w:t>on toistaiseksi maksettava joka tapauksessa, vaikka jäsenvaltioissa kannettaisiin tietulleja. Ajoneuvoverot voivatkin haitata tietullien käyttöönottoa.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2</w:t>
      </w:r>
    </w:p>
    <w:p w:rsidR="00DA101C" w:rsidRPr="00F863E2" w:rsidRDefault="00DA101C" w:rsidP="00E12793">
      <w:pPr>
        <w:pStyle w:val="NormalBold12b"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Johdanto-osan 5 kappale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trHeight w:val="240"/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widowControl/>
            </w:pPr>
          </w:p>
        </w:tc>
      </w:tr>
      <w:tr w:rsidR="00DA101C" w:rsidRPr="00F863E2" w:rsidTr="002931CF">
        <w:trPr>
          <w:trHeight w:val="240"/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t>(5)</w:t>
            </w:r>
            <w:r w:rsidRPr="00F863E2">
              <w:tab/>
            </w:r>
            <w:r w:rsidRPr="00F863E2">
              <w:rPr>
                <w:b/>
                <w:i/>
              </w:rPr>
              <w:t>Sen vuoksi jäsenvaltioille olisi annettava enemmän liikkumavaraa alentaa ajoneuvoveroja, mikä tapahtuu alentamalla direktiivissä 1999/62/EY vahvistettuja vähimmäismääriä.</w:t>
            </w:r>
            <w:r w:rsidRPr="00F863E2">
              <w:t xml:space="preserve"> Jotta voitaisiin minimoida eri jäsenvaltioihin sijoittautuneiden kuljetusyritysten välisen kilpailun vääristymisen riski, </w:t>
            </w:r>
            <w:r w:rsidRPr="00F863E2">
              <w:rPr>
                <w:b/>
                <w:i/>
              </w:rPr>
              <w:t>vähimmäismäärien alentamisen pitäisi tapahtua asteittain</w:t>
            </w:r>
            <w:r w:rsidRPr="00F863E2">
              <w:t>.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t>(5)</w:t>
            </w:r>
            <w:r w:rsidRPr="00F863E2">
              <w:tab/>
            </w:r>
            <w:r w:rsidRPr="00F863E2">
              <w:rPr>
                <w:b/>
                <w:i/>
              </w:rPr>
              <w:t>Kun otetaan huomioon kuljettuun matkaan perustuva tiemaksu ja</w:t>
            </w:r>
            <w:r w:rsidRPr="00F863E2">
              <w:t xml:space="preserve"> jotta voitaisiin minimoida eri jäsenvaltioihin sijoittautuneiden kuljetusyritysten välisen kilpailun vääristymisen riski</w:t>
            </w:r>
            <w:r w:rsidRPr="00F863E2">
              <w:rPr>
                <w:b/>
                <w:i/>
              </w:rPr>
              <w:t xml:space="preserve"> ja mahdollinen hallinnollinen rasite</w:t>
            </w:r>
            <w:r w:rsidRPr="00F863E2">
              <w:t xml:space="preserve">, </w:t>
            </w:r>
            <w:r w:rsidRPr="00F863E2">
              <w:rPr>
                <w:b/>
                <w:i/>
              </w:rPr>
              <w:t>jäsenvaltioille olisi annettava lisää liikkumavaraa alentaa ajoneuvoveroja, mikä tapahtuu alentamalla direktiivissä 1999/62/EY vahvistettuja vähimmäismääriä</w:t>
            </w:r>
            <w:r w:rsidRPr="00F863E2">
              <w:t>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</w:t>
      </w:r>
      <w:r w:rsidR="00602144" w:rsidRPr="00F863E2">
        <w:t>kset</w:t>
      </w:r>
      <w:r w:rsidR="00E12793" w:rsidRPr="00F863E2">
        <w:t xml:space="preserve"> </w:t>
      </w:r>
      <w:r w:rsidRPr="00F863E2">
        <w:t>3</w:t>
      </w:r>
      <w:r w:rsidR="00602144" w:rsidRPr="00F863E2">
        <w:t xml:space="preserve"> ja 17</w:t>
      </w:r>
    </w:p>
    <w:p w:rsidR="00DA101C" w:rsidRPr="00F863E2" w:rsidRDefault="00DA101C" w:rsidP="00E12793">
      <w:pPr>
        <w:pStyle w:val="NormalBold12b"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Johdanto-osan 5 a kappale (uusi)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trHeight w:val="240"/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widowControl/>
            </w:pPr>
          </w:p>
        </w:tc>
      </w:tr>
      <w:tr w:rsidR="00DA101C" w:rsidRPr="00F863E2" w:rsidTr="002931CF">
        <w:trPr>
          <w:trHeight w:val="240"/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</w:tcPr>
          <w:p w:rsidR="00DA101C" w:rsidRPr="00F863E2" w:rsidRDefault="00DA101C" w:rsidP="00E12793">
            <w:pPr>
              <w:pStyle w:val="Normal6"/>
              <w:widowControl/>
            </w:pP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i/>
              </w:rPr>
              <w:t>(5 a)</w:t>
            </w:r>
            <w:r w:rsidRPr="00F863E2">
              <w:tab/>
            </w:r>
            <w:r w:rsidRPr="00F863E2">
              <w:rPr>
                <w:b/>
                <w:i/>
              </w:rPr>
              <w:t>Jäsenvaltioita olisi rohkaistava purkamaan kaikki ristiriitaa aiheuttavat verokannustimet, jotka haittaavat vähäpäästöistä liikkuvuutta ja tukevat tehottomia ja saastuttavia ajoneuvoja, kuten työsuhdedieselautoja.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4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Johdanto-osan 5 b kappale (uusi)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</w:tcPr>
          <w:p w:rsidR="00DA101C" w:rsidRPr="00F863E2" w:rsidRDefault="00DA101C" w:rsidP="00E12793">
            <w:pPr>
              <w:pStyle w:val="Normal6"/>
              <w:widowControl/>
            </w:pP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rPr>
                <w:b/>
                <w:i/>
              </w:rPr>
              <w:t>(5 b)</w:t>
            </w:r>
            <w:r w:rsidRPr="00F863E2">
              <w:rPr>
                <w:b/>
                <w:i/>
              </w:rPr>
              <w:tab/>
              <w:t>Jäsenvaltioille olisi annettava lisää harkintavaltaa ajoneuvoveron määrän alentamisen suhteen, jotta voidaan tukea kuljettuun matkaan perustuvien tietullien käyttöönottamista ja välttää mahdollista hallinnollista taakkaa, joten veron vähimmäismääriä olisi alennettava yhdessä vaiheessa 1 päivästä tammikuuta 2024 lähtien, millä annetaan jäsenvaltioille eniten joustovaraa päättää alentamisen määrästä ja nopeudesta.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5</w:t>
      </w:r>
    </w:p>
    <w:p w:rsidR="00DA101C" w:rsidRPr="00F863E2" w:rsidRDefault="00DA101C" w:rsidP="00E12793">
      <w:pPr>
        <w:pStyle w:val="NormalBold12b"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1 artikla – 1 kohta – 2 a alakohta (uusi)</w:t>
      </w:r>
    </w:p>
    <w:p w:rsidR="00DA101C" w:rsidRPr="00F863E2" w:rsidRDefault="00DA101C" w:rsidP="00E12793">
      <w:pPr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6 artikla – 4 a kohta (uusi)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trHeight w:val="240"/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widowControl/>
            </w:pPr>
          </w:p>
        </w:tc>
      </w:tr>
      <w:tr w:rsidR="00DA101C" w:rsidRPr="00F863E2" w:rsidTr="002931CF">
        <w:trPr>
          <w:trHeight w:val="240"/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</w:tcPr>
          <w:p w:rsidR="00DA101C" w:rsidRPr="00F863E2" w:rsidRDefault="00DA101C" w:rsidP="00E12793">
            <w:pPr>
              <w:pStyle w:val="Normal6"/>
              <w:widowControl/>
            </w:pP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bCs/>
                <w:i/>
                <w:iCs/>
              </w:rPr>
              <w:t>2 a)</w:t>
            </w:r>
            <w:r w:rsidRPr="00F863E2">
              <w:tab/>
            </w:r>
            <w:r w:rsidRPr="00F863E2">
              <w:rPr>
                <w:b/>
                <w:bCs/>
                <w:i/>
                <w:iCs/>
              </w:rPr>
              <w:t>Lisätään 6 artiklaan kohta seuraavasti: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</w:tcPr>
          <w:p w:rsidR="00DA101C" w:rsidRPr="00F863E2" w:rsidRDefault="00DA101C" w:rsidP="00E12793">
            <w:pPr>
              <w:pStyle w:val="Normal6"/>
              <w:widowControl/>
            </w:pP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b/>
                <w:bCs/>
                <w:i/>
                <w:iCs/>
              </w:rPr>
            </w:pPr>
            <w:r w:rsidRPr="00F863E2">
              <w:rPr>
                <w:b/>
                <w:bCs/>
                <w:i/>
                <w:iCs/>
              </w:rPr>
              <w:t>”4 a.</w:t>
            </w:r>
            <w:r w:rsidR="00E12793" w:rsidRPr="00F863E2">
              <w:rPr>
                <w:b/>
                <w:bCs/>
                <w:i/>
                <w:iCs/>
              </w:rPr>
              <w:tab/>
            </w:r>
            <w:r w:rsidRPr="00F863E2">
              <w:rPr>
                <w:b/>
                <w:bCs/>
                <w:i/>
                <w:iCs/>
              </w:rPr>
              <w:t>Jäsenvaltion raskaisiin tavarankuljetusajoneuvoihin soveltamien ajoneuvoverojen asteittainen vähentäminen on kompensoitava kokonaisuudessaan tietullijärjestelmästä saatavilla lisätuloilla. Kaikkien jäsenvaltioiden on 1 päivään tammikuuta 2024 mennessä otettava käyttöön tietullijärjestelmä tämän direktiivin mukaisesti.”.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6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a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otsikko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t xml:space="preserve">Taulukko A: RASKAISIIN TAVARANKULJETUSAJONEUVOIHIN 31 PÄIVÄÄN JOULUKUUTA </w:t>
            </w:r>
            <w:r w:rsidRPr="00F863E2">
              <w:rPr>
                <w:b/>
                <w:i/>
              </w:rPr>
              <w:t xml:space="preserve">[…] [lisätään tämän direktiivin </w:t>
            </w:r>
            <w:r w:rsidRPr="00F863E2">
              <w:rPr>
                <w:b/>
                <w:i/>
              </w:rPr>
              <w:lastRenderedPageBreak/>
              <w:t>voimaantulovuosi]</w:t>
            </w:r>
            <w:r w:rsidRPr="00F863E2">
              <w:t xml:space="preserve"> SOVELLETTAVAT VEROJEN VÄHIMMÄISMÄÄRÄT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lastRenderedPageBreak/>
              <w:t xml:space="preserve">Taulukko A: RASKAISIIN TAVARANKULJETUSAJONEUVOIHIN 31 PÄIVÄÄN JOULUKUUTA </w:t>
            </w:r>
            <w:r w:rsidRPr="00F863E2">
              <w:rPr>
                <w:b/>
                <w:i/>
              </w:rPr>
              <w:t>2023</w:t>
            </w:r>
            <w:r w:rsidRPr="00F863E2">
              <w:t xml:space="preserve"> </w:t>
            </w:r>
            <w:r w:rsidRPr="00F863E2">
              <w:lastRenderedPageBreak/>
              <w:t>SOVELLETTAVAT VEROJEN VÄHIMMÄISMÄÄRÄT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lastRenderedPageBreak/>
        <w:t>Tarkistus</w:t>
      </w:r>
      <w:r w:rsidR="00E12793" w:rsidRPr="00F863E2">
        <w:t xml:space="preserve"> </w:t>
      </w:r>
      <w:r w:rsidRPr="00F863E2">
        <w:t>7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b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taulukko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i/>
              </w:rPr>
              <w:t>”Taulukko B: RASKAISIIN TAVARANKULJETUSAJONEUVOIHIN 1 PÄIVÄSTÄ TAMMIKUUTA [...] [lisätään tämän direktiivin voimaantuloa seuraava toinen vuosi] SOVELLETTAVAT VEROJEN VÄHIMMÄISMÄÄRÄT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rPr>
                <w:b/>
                <w:i/>
              </w:rPr>
              <w:t>Poistetaan.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8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b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taulukko C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i/>
              </w:rPr>
              <w:t>Taulukko C: RASKAISIIN TAVARANKULJETUSAJONEUVOIHIN 1 PÄIVÄSTÄ TAMMIKUUTA […] [LISÄTÄÄN TÄMÄN DIREKTIIVIN VOIMAANTULOA SEURAAVA TOINEN VUOSI] SOVELLETTAVAT VEROJEN VÄHIMMÄISMÄÄRÄT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rPr>
                <w:b/>
                <w:i/>
              </w:rPr>
              <w:t>Poistetaan.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9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b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taulukko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i/>
              </w:rPr>
              <w:t xml:space="preserve">Taulukko D: RASKAISIIN TAVARANKULJETUSAJONEUVOIHIN 1 PÄIVÄSTÄ TAMMIKUUTA […] [lisätään tämän direktiivin voimaantuloa seuraava neljäs vuosi] </w:t>
            </w:r>
            <w:r w:rsidRPr="00F863E2">
              <w:rPr>
                <w:b/>
                <w:i/>
              </w:rPr>
              <w:lastRenderedPageBreak/>
              <w:t>SOVELLETTAVAT VEROJEN VÄHIMMÄISMÄÄRÄT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rPr>
                <w:b/>
                <w:i/>
              </w:rPr>
              <w:lastRenderedPageBreak/>
              <w:t>Poistetaan.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10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b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taulukko 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rPr>
                <w:b/>
                <w:i/>
              </w:rPr>
              <w:t>Taulukko E: RASKAISIIN TAVARANKULJETUSAJONEUVOIHIN 1 PÄIVÄSTÄ TAMMIKUUTA […] [lisätään tämän direktiivin voimaantuloa seuraava neljäs vuosi] SOVELLETTAVAT VEROJEN VÄHIMMÄISMÄÄRÄT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rPr>
                <w:b/>
                <w:i/>
              </w:rPr>
              <w:t>Poistetaan.</w:t>
            </w:r>
          </w:p>
        </w:tc>
      </w:tr>
    </w:tbl>
    <w:p w:rsidR="00DA101C" w:rsidRPr="00F863E2" w:rsidRDefault="00DA101C" w:rsidP="00E12793">
      <w:pPr>
        <w:pStyle w:val="AMNumberTabs"/>
      </w:pPr>
      <w:r w:rsidRPr="00F863E2">
        <w:t>Tarkistus</w:t>
      </w:r>
      <w:r w:rsidR="00E12793" w:rsidRPr="00F863E2">
        <w:t xml:space="preserve"> </w:t>
      </w:r>
      <w:r w:rsidRPr="00F863E2">
        <w:t>11</w:t>
      </w:r>
    </w:p>
    <w:p w:rsidR="00DA101C" w:rsidRPr="00F863E2" w:rsidRDefault="00DA101C" w:rsidP="00E12793">
      <w:pPr>
        <w:pStyle w:val="NormalBold12b"/>
        <w:keepNext/>
        <w:widowControl/>
      </w:pPr>
      <w:r w:rsidRPr="00F863E2">
        <w:t>Ehdotus direktiiviksi</w:t>
      </w:r>
    </w:p>
    <w:p w:rsidR="00DA101C" w:rsidRPr="00F863E2" w:rsidRDefault="00DA101C" w:rsidP="00E12793">
      <w:pPr>
        <w:pStyle w:val="NormalBold"/>
        <w:widowControl/>
      </w:pPr>
      <w:r w:rsidRPr="00F863E2">
        <w:t>Liite I – 1 kohta – b alakohta</w:t>
      </w:r>
    </w:p>
    <w:p w:rsidR="00DA101C" w:rsidRPr="00F863E2" w:rsidRDefault="00DA101C" w:rsidP="00E12793">
      <w:pPr>
        <w:keepNext/>
        <w:widowControl/>
      </w:pPr>
      <w:r w:rsidRPr="00F863E2">
        <w:t>Direktiivi 1999/62/EY</w:t>
      </w:r>
    </w:p>
    <w:p w:rsidR="00DA101C" w:rsidRPr="00F863E2" w:rsidRDefault="00DA101C" w:rsidP="00E12793">
      <w:pPr>
        <w:widowControl/>
      </w:pPr>
      <w:r w:rsidRPr="00F863E2">
        <w:t>Liite I – taulukko F – otsikko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A101C" w:rsidRPr="00F863E2" w:rsidTr="002931CF">
        <w:trPr>
          <w:jc w:val="center"/>
        </w:trPr>
        <w:tc>
          <w:tcPr>
            <w:tcW w:w="9752" w:type="dxa"/>
            <w:gridSpan w:val="2"/>
          </w:tcPr>
          <w:p w:rsidR="00DA101C" w:rsidRPr="00F863E2" w:rsidRDefault="00DA101C" w:rsidP="00E12793">
            <w:pPr>
              <w:keepNext/>
              <w:widowControl/>
            </w:pPr>
          </w:p>
        </w:tc>
      </w:tr>
      <w:tr w:rsidR="00DA101C" w:rsidRPr="00F863E2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Komission teksti</w:t>
            </w:r>
          </w:p>
        </w:tc>
        <w:tc>
          <w:tcPr>
            <w:tcW w:w="4876" w:type="dxa"/>
            <w:hideMark/>
          </w:tcPr>
          <w:p w:rsidR="00DA101C" w:rsidRPr="00F863E2" w:rsidRDefault="00DA101C" w:rsidP="00E12793">
            <w:pPr>
              <w:pStyle w:val="ColumnHeading"/>
              <w:keepNext/>
              <w:widowControl/>
            </w:pPr>
            <w:r w:rsidRPr="00F863E2">
              <w:t>Tarkistus</w:t>
            </w:r>
          </w:p>
        </w:tc>
      </w:tr>
      <w:tr w:rsidR="00DA101C" w:rsidRPr="00C668AE" w:rsidTr="002931CF">
        <w:trPr>
          <w:jc w:val="center"/>
        </w:trPr>
        <w:tc>
          <w:tcPr>
            <w:tcW w:w="4876" w:type="dxa"/>
            <w:hideMark/>
          </w:tcPr>
          <w:p w:rsidR="00DA101C" w:rsidRPr="00F863E2" w:rsidRDefault="00DA101C" w:rsidP="00E12793">
            <w:pPr>
              <w:pStyle w:val="Normal6"/>
              <w:widowControl/>
            </w:pPr>
            <w:r w:rsidRPr="00F863E2">
              <w:t xml:space="preserve">Taulukko F: RASKAISIIN TAVARANKULJETUSAJONEUVOIHIN 1 PÄIVÄSTÄ TAMMIKUUTA </w:t>
            </w:r>
            <w:r w:rsidRPr="00F863E2">
              <w:rPr>
                <w:b/>
                <w:i/>
              </w:rPr>
              <w:t>[…] [lisätään tämän direktiivin voimaantuloa seuraava neljäs vuosi]</w:t>
            </w:r>
            <w:r w:rsidRPr="00F863E2">
              <w:t xml:space="preserve"> SOVELLETTAVAT VEROJEN VÄHIMMÄISMÄÄRÄT</w:t>
            </w:r>
          </w:p>
        </w:tc>
        <w:tc>
          <w:tcPr>
            <w:tcW w:w="4876" w:type="dxa"/>
            <w:hideMark/>
          </w:tcPr>
          <w:p w:rsidR="00DA101C" w:rsidRPr="00C668AE" w:rsidRDefault="00DA101C" w:rsidP="00E12793">
            <w:pPr>
              <w:pStyle w:val="Normal6"/>
              <w:widowControl/>
              <w:rPr>
                <w:szCs w:val="24"/>
              </w:rPr>
            </w:pPr>
            <w:r w:rsidRPr="00F863E2">
              <w:t xml:space="preserve">Taulukko F: RASKAISIIN TAVARANKULJETUSAJONEUVOIHIN 1 PÄIVÄSTÄ TAMMIKUUTA </w:t>
            </w:r>
            <w:r w:rsidRPr="00F863E2">
              <w:rPr>
                <w:b/>
                <w:i/>
              </w:rPr>
              <w:t>2024</w:t>
            </w:r>
            <w:r w:rsidRPr="00F863E2">
              <w:t xml:space="preserve"> SOVELLETTAVAT VEROJEN VÄHIMMÄISMÄÄRÄT</w:t>
            </w:r>
          </w:p>
        </w:tc>
      </w:tr>
    </w:tbl>
    <w:p w:rsidR="00E12793" w:rsidRPr="00C668AE" w:rsidRDefault="00E12793" w:rsidP="00E12793">
      <w:pPr>
        <w:pStyle w:val="Normal12Italic"/>
        <w:widowControl/>
      </w:pPr>
      <w:bookmarkStart w:id="10" w:name="TextBodyEnd"/>
      <w:bookmarkEnd w:id="10"/>
    </w:p>
    <w:sectPr w:rsidR="00E12793" w:rsidRPr="00C668AE" w:rsidSect="00C668AE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C0" w:rsidRPr="00C668AE" w:rsidRDefault="000A7DC0">
      <w:r w:rsidRPr="00C668AE">
        <w:separator/>
      </w:r>
    </w:p>
  </w:endnote>
  <w:endnote w:type="continuationSeparator" w:id="0">
    <w:p w:rsidR="000A7DC0" w:rsidRPr="00C668AE" w:rsidRDefault="000A7DC0">
      <w:r w:rsidRPr="00C668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C0" w:rsidRPr="00C668AE" w:rsidRDefault="000A7DC0">
      <w:r w:rsidRPr="00C668AE">
        <w:separator/>
      </w:r>
    </w:p>
  </w:footnote>
  <w:footnote w:type="continuationSeparator" w:id="0">
    <w:p w:rsidR="000A7DC0" w:rsidRPr="00C668AE" w:rsidRDefault="000A7DC0">
      <w:r w:rsidRPr="00C668A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00/2018"/>
    <w:docVar w:name="dvlangue" w:val="FI"/>
    <w:docVar w:name="dvnumam" w:val="0"/>
    <w:docVar w:name="dvpe" w:val="615.498"/>
    <w:docVar w:name="dvrapporteur" w:val="Esittelijä: "/>
    <w:docVar w:name="dvtitre" w:val="Euroopan parlamentin lainsäädäntöpäätöslauselma 4. heinäkuuta 2018 ehdotuksesta neuvoston direktiiviksi verojen ja maksujen kantamisesta raskailta tavaraliikenteen ajoneuvoilta tiettyjen infrastruktuurien käytöstä annetun direktiivin 1999/62/EY muuttamisesta tiettyjen ajoneuvoveroa koskevien säännösten osalta(COM(2017)0276 – C8-0196/2017 – 2017/0115(CNS))"/>
  </w:docVars>
  <w:rsids>
    <w:rsidRoot w:val="000A7DC0"/>
    <w:rsid w:val="00002272"/>
    <w:rsid w:val="000677B9"/>
    <w:rsid w:val="000A7DC0"/>
    <w:rsid w:val="000E7DD9"/>
    <w:rsid w:val="0010095E"/>
    <w:rsid w:val="00125B37"/>
    <w:rsid w:val="002054ED"/>
    <w:rsid w:val="002767FF"/>
    <w:rsid w:val="002B5493"/>
    <w:rsid w:val="00307CD2"/>
    <w:rsid w:val="00361C00"/>
    <w:rsid w:val="00395FA1"/>
    <w:rsid w:val="003C28BF"/>
    <w:rsid w:val="003E15D4"/>
    <w:rsid w:val="00411CCE"/>
    <w:rsid w:val="0041666E"/>
    <w:rsid w:val="00421060"/>
    <w:rsid w:val="00494A28"/>
    <w:rsid w:val="0050519A"/>
    <w:rsid w:val="005072A1"/>
    <w:rsid w:val="00514517"/>
    <w:rsid w:val="00602144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668AE"/>
    <w:rsid w:val="00C941CB"/>
    <w:rsid w:val="00CC2357"/>
    <w:rsid w:val="00D058B8"/>
    <w:rsid w:val="00D834A0"/>
    <w:rsid w:val="00D91E21"/>
    <w:rsid w:val="00DA101C"/>
    <w:rsid w:val="00E12793"/>
    <w:rsid w:val="00E365E1"/>
    <w:rsid w:val="00ED4235"/>
    <w:rsid w:val="00F04346"/>
    <w:rsid w:val="00F075DC"/>
    <w:rsid w:val="00F5134D"/>
    <w:rsid w:val="00F863E2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3419-BC4A-4BCF-A8FA-5BC74F2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93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DA101C"/>
    <w:rPr>
      <w:sz w:val="24"/>
      <w:lang w:val="fi-FI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DA101C"/>
    <w:rPr>
      <w:b/>
      <w:sz w:val="24"/>
      <w:lang w:val="fi-FI"/>
    </w:rPr>
  </w:style>
  <w:style w:type="paragraph" w:customStyle="1" w:styleId="Normal12Italic">
    <w:name w:val="Normal12Italic"/>
    <w:basedOn w:val="Normal"/>
    <w:rsid w:val="00DA101C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DA101C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DA101C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E12793"/>
    <w:pPr>
      <w:keepNext/>
      <w:widowControl/>
      <w:spacing w:before="240"/>
    </w:pPr>
    <w:rPr>
      <w:b/>
    </w:rPr>
  </w:style>
  <w:style w:type="paragraph" w:customStyle="1" w:styleId="NormalBold12b">
    <w:name w:val="NormalBold12b"/>
    <w:basedOn w:val="Normal"/>
    <w:rsid w:val="00DA101C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KINNUNEN Hannele</dc:creator>
  <cp:keywords/>
  <cp:lastModifiedBy>KINNUNEN Hannele</cp:lastModifiedBy>
  <cp:revision>2</cp:revision>
  <cp:lastPrinted>2004-11-19T14:42:00Z</cp:lastPrinted>
  <dcterms:created xsi:type="dcterms:W3CDTF">2019-10-01T11:24:00Z</dcterms:created>
  <dcterms:modified xsi:type="dcterms:W3CDTF">2019-10-01T11:24:00Z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P8_TA-PROV(2018)0289_</vt:lpwstr>
  </property>
  <property fmtid="{D5CDD505-2E9C-101B-9397-08002B2CF9AE}" pid="4" name="&lt;Type&gt;">
    <vt:lpwstr>RR</vt:lpwstr>
  </property>
</Properties>
</file>