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5853B7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5853B7" w:rsidRDefault="00D25336" w:rsidP="0010095E">
            <w:pPr>
              <w:pStyle w:val="EPName"/>
              <w:rPr>
                <w:lang w:val="sk-SK"/>
              </w:rPr>
            </w:pPr>
            <w:r w:rsidRPr="005853B7">
              <w:rPr>
                <w:lang w:val="sk-SK"/>
              </w:rPr>
              <w:t>Európsky parlament</w:t>
            </w:r>
          </w:p>
          <w:p w:rsidR="00751A4A" w:rsidRPr="005853B7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sk-SK"/>
              </w:rPr>
            </w:pPr>
            <w:r w:rsidRPr="005853B7">
              <w:rPr>
                <w:lang w:val="sk-SK"/>
              </w:rPr>
              <w:t>2014</w:t>
            </w:r>
            <w:r w:rsidR="00C941CB" w:rsidRPr="005853B7">
              <w:rPr>
                <w:lang w:val="sk-SK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5853B7" w:rsidRDefault="00580606" w:rsidP="0010095E">
            <w:pPr>
              <w:pStyle w:val="EPLogo"/>
            </w:pPr>
            <w:r w:rsidRPr="005853B7">
              <w:rPr>
                <w:noProof/>
                <w:lang w:val="en-GB"/>
              </w:rPr>
              <w:drawing>
                <wp:inline distT="0" distB="0" distL="0" distR="0">
                  <wp:extent cx="1164590" cy="64706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5853B7" w:rsidRDefault="00D058B8" w:rsidP="00D058B8">
      <w:pPr>
        <w:pStyle w:val="LineTop"/>
        <w:rPr>
          <w:lang w:val="sk-SK"/>
        </w:rPr>
      </w:pPr>
    </w:p>
    <w:p w:rsidR="00680577" w:rsidRPr="005853B7" w:rsidRDefault="00D25336" w:rsidP="00680577">
      <w:pPr>
        <w:pStyle w:val="ZSessionDoc"/>
        <w:rPr>
          <w:b/>
          <w:i w:val="0"/>
        </w:rPr>
      </w:pPr>
      <w:r w:rsidRPr="005853B7">
        <w:rPr>
          <w:b/>
          <w:i w:val="0"/>
        </w:rPr>
        <w:t>PRIJATÉ TEXTY</w:t>
      </w:r>
    </w:p>
    <w:p w:rsidR="00D058B8" w:rsidRPr="005853B7" w:rsidRDefault="00D058B8" w:rsidP="00D058B8">
      <w:pPr>
        <w:pStyle w:val="LineBottom"/>
      </w:pPr>
    </w:p>
    <w:p w:rsidR="00D25336" w:rsidRPr="005853B7" w:rsidRDefault="00CB37A3" w:rsidP="00D25336">
      <w:pPr>
        <w:pStyle w:val="ATHeading1"/>
        <w:rPr>
          <w:noProof w:val="0"/>
          <w:lang w:val="sk-SK"/>
        </w:rPr>
      </w:pPr>
      <w:bookmarkStart w:id="0" w:name="TANumber"/>
      <w:r>
        <w:rPr>
          <w:noProof w:val="0"/>
          <w:lang w:val="sk-SK"/>
        </w:rPr>
        <w:t>P8_TA</w:t>
      </w:r>
      <w:bookmarkStart w:id="1" w:name="_GoBack"/>
      <w:bookmarkEnd w:id="1"/>
      <w:r w:rsidR="00D25336" w:rsidRPr="005853B7">
        <w:rPr>
          <w:noProof w:val="0"/>
          <w:lang w:val="sk-SK"/>
        </w:rPr>
        <w:t>(2018)0</w:t>
      </w:r>
      <w:r w:rsidR="00114BA0" w:rsidRPr="005853B7">
        <w:rPr>
          <w:noProof w:val="0"/>
          <w:lang w:val="sk-SK"/>
        </w:rPr>
        <w:t>438</w:t>
      </w:r>
      <w:bookmarkEnd w:id="0"/>
    </w:p>
    <w:p w:rsidR="00D25336" w:rsidRPr="005853B7" w:rsidRDefault="00D25336" w:rsidP="00D25336">
      <w:pPr>
        <w:pStyle w:val="ATHeading2"/>
        <w:rPr>
          <w:noProof w:val="0"/>
          <w:lang w:val="sk-SK"/>
        </w:rPr>
      </w:pPr>
      <w:bookmarkStart w:id="2" w:name="title"/>
      <w:r w:rsidRPr="005853B7">
        <w:rPr>
          <w:noProof w:val="0"/>
          <w:lang w:val="sk-SK"/>
        </w:rPr>
        <w:t>Zavádzanie infraštruktúry pre alternatívne palivá v Európskej únii: čas konať!</w:t>
      </w:r>
      <w:bookmarkEnd w:id="2"/>
      <w:r w:rsidRPr="005853B7">
        <w:rPr>
          <w:noProof w:val="0"/>
          <w:lang w:val="sk-SK"/>
        </w:rPr>
        <w:t xml:space="preserve"> </w:t>
      </w:r>
      <w:bookmarkStart w:id="3" w:name="Etoiles"/>
      <w:bookmarkEnd w:id="3"/>
    </w:p>
    <w:p w:rsidR="00D25336" w:rsidRPr="005853B7" w:rsidRDefault="00D25336" w:rsidP="00D25336">
      <w:pPr>
        <w:rPr>
          <w:i/>
          <w:vanish/>
        </w:rPr>
      </w:pPr>
      <w:r w:rsidRPr="005853B7">
        <w:rPr>
          <w:i/>
        </w:rPr>
        <w:fldChar w:fldCharType="begin"/>
      </w:r>
      <w:r w:rsidRPr="005853B7">
        <w:rPr>
          <w:i/>
        </w:rPr>
        <w:instrText xml:space="preserve"> TC"(</w:instrText>
      </w:r>
      <w:bookmarkStart w:id="4" w:name="DocNumber"/>
      <w:r w:rsidRPr="005853B7">
        <w:rPr>
          <w:i/>
        </w:rPr>
        <w:instrText>A8-0297/2018</w:instrText>
      </w:r>
      <w:bookmarkEnd w:id="4"/>
      <w:r w:rsidRPr="005853B7">
        <w:rPr>
          <w:i/>
        </w:rPr>
        <w:instrText xml:space="preserve"> - Spravodajca: </w:instrText>
      </w:r>
      <w:proofErr w:type="spellStart"/>
      <w:r w:rsidRPr="005853B7">
        <w:rPr>
          <w:i/>
        </w:rPr>
        <w:instrText>Ismail</w:instrText>
      </w:r>
      <w:proofErr w:type="spellEnd"/>
      <w:r w:rsidRPr="005853B7">
        <w:rPr>
          <w:i/>
        </w:rPr>
        <w:instrText xml:space="preserve"> </w:instrText>
      </w:r>
      <w:proofErr w:type="spellStart"/>
      <w:r w:rsidRPr="005853B7">
        <w:rPr>
          <w:i/>
        </w:rPr>
        <w:instrText>Ertug</w:instrText>
      </w:r>
      <w:proofErr w:type="spellEnd"/>
      <w:r w:rsidRPr="005853B7">
        <w:rPr>
          <w:i/>
        </w:rPr>
        <w:instrText xml:space="preserve">)"\l3 \n&gt; \* MERGEFORMAT </w:instrText>
      </w:r>
      <w:r w:rsidRPr="005853B7">
        <w:rPr>
          <w:i/>
        </w:rPr>
        <w:fldChar w:fldCharType="end"/>
      </w:r>
    </w:p>
    <w:p w:rsidR="00D25336" w:rsidRPr="005853B7" w:rsidRDefault="00D25336" w:rsidP="00D25336">
      <w:pPr>
        <w:rPr>
          <w:vanish/>
        </w:rPr>
      </w:pPr>
      <w:bookmarkStart w:id="5" w:name="Commission"/>
      <w:r w:rsidRPr="005853B7">
        <w:rPr>
          <w:vanish/>
        </w:rPr>
        <w:t>Výbor pre dopravu a cestovný ruch</w:t>
      </w:r>
      <w:bookmarkEnd w:id="5"/>
    </w:p>
    <w:p w:rsidR="00D25336" w:rsidRPr="005853B7" w:rsidRDefault="00D25336" w:rsidP="00D25336">
      <w:pPr>
        <w:rPr>
          <w:vanish/>
        </w:rPr>
      </w:pPr>
      <w:bookmarkStart w:id="6" w:name="PE"/>
      <w:r w:rsidRPr="005853B7">
        <w:rPr>
          <w:vanish/>
        </w:rPr>
        <w:t>PE621.006</w:t>
      </w:r>
      <w:bookmarkEnd w:id="6"/>
    </w:p>
    <w:p w:rsidR="00D25336" w:rsidRPr="005853B7" w:rsidRDefault="00D25336" w:rsidP="00D25336">
      <w:pPr>
        <w:pStyle w:val="ATHeading3"/>
        <w:rPr>
          <w:noProof w:val="0"/>
          <w:lang w:val="sk-SK"/>
        </w:rPr>
      </w:pPr>
      <w:bookmarkStart w:id="7" w:name="Sujet"/>
      <w:r w:rsidRPr="005853B7">
        <w:rPr>
          <w:noProof w:val="0"/>
          <w:lang w:val="sk-SK"/>
        </w:rPr>
        <w:t xml:space="preserve">Uznesenie Európskeho parlamentu z </w:t>
      </w:r>
      <w:r w:rsidR="00BD518C" w:rsidRPr="005853B7">
        <w:rPr>
          <w:noProof w:val="0"/>
          <w:lang w:val="sk-SK"/>
        </w:rPr>
        <w:t>25</w:t>
      </w:r>
      <w:r w:rsidRPr="005853B7">
        <w:rPr>
          <w:noProof w:val="0"/>
          <w:lang w:val="sk-SK"/>
        </w:rPr>
        <w:t>. októbra 2018 o zavádzaní infraštruktúry pre alternatívne palivá v Európskej únii: čas konať!</w:t>
      </w:r>
      <w:bookmarkEnd w:id="7"/>
      <w:r w:rsidRPr="005853B7">
        <w:rPr>
          <w:noProof w:val="0"/>
          <w:lang w:val="sk-SK"/>
        </w:rPr>
        <w:t xml:space="preserve"> </w:t>
      </w:r>
      <w:bookmarkStart w:id="8" w:name="References"/>
      <w:r w:rsidRPr="005853B7">
        <w:rPr>
          <w:noProof w:val="0"/>
          <w:lang w:val="sk-SK"/>
        </w:rPr>
        <w:t>(2018/2023(INI))</w:t>
      </w:r>
      <w:bookmarkEnd w:id="8"/>
    </w:p>
    <w:p w:rsidR="00D25336" w:rsidRPr="005853B7" w:rsidRDefault="00D25336" w:rsidP="00D25336"/>
    <w:p w:rsidR="007A5B2F" w:rsidRPr="005853B7" w:rsidRDefault="007A5B2F" w:rsidP="007A5B2F">
      <w:pPr>
        <w:pStyle w:val="Normal12"/>
        <w:jc w:val="both"/>
      </w:pPr>
      <w:bookmarkStart w:id="9" w:name="TextBodyBegin"/>
      <w:bookmarkEnd w:id="9"/>
      <w:r w:rsidRPr="005853B7">
        <w:rPr>
          <w:i/>
        </w:rPr>
        <w:t>Európsky parlament</w:t>
      </w:r>
      <w:r w:rsidRPr="005853B7">
        <w:t>,</w:t>
      </w:r>
    </w:p>
    <w:p w:rsidR="007A5B2F" w:rsidRPr="005853B7" w:rsidRDefault="007A5B2F" w:rsidP="007A5B2F">
      <w:pPr>
        <w:pStyle w:val="Normal12Hanging"/>
      </w:pPr>
      <w:r w:rsidRPr="005853B7">
        <w:t>–</w:t>
      </w:r>
      <w:r w:rsidRPr="005853B7">
        <w:tab/>
        <w:t>so zreteľom na oznámenie Komisie z 8. novembra 2017 s názvom Dosiahnuť čo najširšie využívanie alternatívnych palív – Akčný plán týkajúci sa infraštruktúry pre alternatívne palivá podľa článku 10 ods. 6 smernice 2014/94/EÚ vrátane posúdenia národných politických rámcov podľa článku 10 ods. 2 smernice 2014/94/EÚ (COM(2017)0652),</w:t>
      </w:r>
    </w:p>
    <w:p w:rsidR="007A5B2F" w:rsidRPr="005853B7" w:rsidRDefault="007A5B2F" w:rsidP="007A5B2F">
      <w:pPr>
        <w:pStyle w:val="Normal12Hanging"/>
      </w:pPr>
      <w:r w:rsidRPr="005853B7">
        <w:t>–</w:t>
      </w:r>
      <w:r w:rsidRPr="005853B7">
        <w:tab/>
        <w:t>so zreteľom na smernicu Európskeho parlamentu a Rady 2014/94/EÚ z 22. októbra 2014 o zavádzaní infraštruktúry pre alternatívne palivá</w:t>
      </w:r>
      <w:r w:rsidRPr="005853B7">
        <w:rPr>
          <w:rStyle w:val="FootnoteReference"/>
        </w:rPr>
        <w:footnoteReference w:id="1"/>
      </w:r>
      <w:r w:rsidRPr="005853B7">
        <w:t>,</w:t>
      </w:r>
    </w:p>
    <w:p w:rsidR="007A5B2F" w:rsidRPr="005853B7" w:rsidRDefault="007A5B2F" w:rsidP="007A5B2F">
      <w:pPr>
        <w:pStyle w:val="Normal12Hanging"/>
      </w:pPr>
      <w:r w:rsidRPr="005853B7">
        <w:t>–</w:t>
      </w:r>
      <w:r w:rsidRPr="005853B7">
        <w:tab/>
        <w:t>so zreteľom na smernicu Európskeho parlamentu a Rady 2009/33/ES z 23. apríla 2009 o podpore ekologických a energeticky úsporných vozidiel cestnej dopravy</w:t>
      </w:r>
      <w:r w:rsidRPr="005853B7">
        <w:rPr>
          <w:rStyle w:val="FootnoteReference"/>
        </w:rPr>
        <w:footnoteReference w:id="2"/>
      </w:r>
      <w:r w:rsidRPr="005853B7">
        <w:t>,</w:t>
      </w:r>
    </w:p>
    <w:p w:rsidR="007A5B2F" w:rsidRPr="005853B7" w:rsidRDefault="007A5B2F" w:rsidP="007A5B2F">
      <w:pPr>
        <w:pStyle w:val="Normal12Hanging"/>
      </w:pPr>
      <w:r w:rsidRPr="005853B7">
        <w:t>–</w:t>
      </w:r>
      <w:r w:rsidRPr="005853B7">
        <w:tab/>
        <w:t xml:space="preserve">so zreteľom na Parížsku dohodu, rozhodnutie 1/CP.21 a 21. konferenciu zmluvných strán UNFCCC (COP 21) a 11. konferenciu zmluvných strán, ktorá slúžila ako stretnutie zmluvných strán </w:t>
      </w:r>
      <w:proofErr w:type="spellStart"/>
      <w:r w:rsidRPr="005853B7">
        <w:t>Kjótskeho</w:t>
      </w:r>
      <w:proofErr w:type="spellEnd"/>
      <w:r w:rsidRPr="005853B7">
        <w:t xml:space="preserve"> protokolu (CMP 11) a ktorá sa konala od 30. novembra do 11. decembra 2015 v Paríži, </w:t>
      </w:r>
    </w:p>
    <w:p w:rsidR="007A5B2F" w:rsidRPr="005853B7" w:rsidRDefault="007A5B2F" w:rsidP="007A5B2F">
      <w:pPr>
        <w:pStyle w:val="Normal12Hanging"/>
      </w:pPr>
      <w:r w:rsidRPr="005853B7">
        <w:t>–</w:t>
      </w:r>
      <w:r w:rsidRPr="005853B7">
        <w:tab/>
        <w:t xml:space="preserve">so zreteľom na návrh Komisie </w:t>
      </w:r>
      <w:hyperlink r:id="rId9" w:history="1">
        <w:r w:rsidRPr="005853B7">
          <w:t>nariadenia Európskeho parlamentu a Rady, ktorým sa stanovujú emisné normy pre nové osobné automobily a nové ľahké úžitkové vozidlá ako súčasť integrovaného prístupu Únie na zníženie emisií CO</w:t>
        </w:r>
        <w:r w:rsidRPr="005853B7">
          <w:rPr>
            <w:vertAlign w:val="subscript"/>
          </w:rPr>
          <w:t>2</w:t>
        </w:r>
        <w:r w:rsidRPr="005853B7">
          <w:t xml:space="preserve"> z ľahkých vozidiel a ktorým sa mení nariadenie (ES) č. 715/2007 (prepracované znenie)</w:t>
        </w:r>
      </w:hyperlink>
      <w:r w:rsidRPr="005853B7">
        <w:t xml:space="preserve"> (COM(2017)0676),</w:t>
      </w:r>
    </w:p>
    <w:p w:rsidR="007A5B2F" w:rsidRPr="005853B7" w:rsidRDefault="007A5B2F" w:rsidP="007A5B2F">
      <w:pPr>
        <w:pStyle w:val="Normal12Hanging"/>
      </w:pPr>
      <w:r w:rsidRPr="005853B7">
        <w:t>–</w:t>
      </w:r>
      <w:r w:rsidRPr="005853B7">
        <w:tab/>
        <w:t xml:space="preserve">so zreteľom na Medzinárodný kódex pre bezpečnosť lodí používajúcich plyny alebo iné </w:t>
      </w:r>
      <w:r w:rsidRPr="005853B7">
        <w:lastRenderedPageBreak/>
        <w:t>palivá s nízkou teplotou vzplanutia (kódex IGF) a na navrhované zmeny, aby sa tento kódex stal povinným podľa Medzinárodného dohovoru o bezpečnosti ľudského života na mori (SOLAS) v snahe riešiť výzvy spojené s prijatím alternatívnych palív v odvetví lodnej dopravy a so zámerom minimalizovať riziko pre plavidlá, ich posádku a životné prostredie vzhľadom na povahu príslušných palív,</w:t>
      </w:r>
    </w:p>
    <w:p w:rsidR="007A5B2F" w:rsidRPr="005853B7" w:rsidRDefault="007A5B2F" w:rsidP="007A5B2F">
      <w:pPr>
        <w:pStyle w:val="Normal12Hanging"/>
      </w:pPr>
      <w:r w:rsidRPr="005853B7">
        <w:t>–</w:t>
      </w:r>
      <w:r w:rsidRPr="005853B7">
        <w:tab/>
        <w:t>so zreteľom na stanovisko Európskeho hospodárskeho a sociálneho výboru</w:t>
      </w:r>
      <w:r w:rsidR="00BD518C" w:rsidRPr="005853B7">
        <w:t xml:space="preserve"> z 19. apríla 2018</w:t>
      </w:r>
      <w:r w:rsidRPr="005853B7">
        <w:t>,</w:t>
      </w:r>
    </w:p>
    <w:p w:rsidR="007A5B2F" w:rsidRPr="005853B7" w:rsidRDefault="007A5B2F" w:rsidP="007A5B2F">
      <w:pPr>
        <w:pStyle w:val="Normal12Hanging"/>
      </w:pPr>
      <w:r w:rsidRPr="005853B7">
        <w:t>–</w:t>
      </w:r>
      <w:r w:rsidRPr="005853B7">
        <w:tab/>
        <w:t>so zreteľom na článok 52 rokovacieho poriadku,</w:t>
      </w:r>
    </w:p>
    <w:p w:rsidR="007A5B2F" w:rsidRPr="005853B7" w:rsidRDefault="007A5B2F" w:rsidP="007A5B2F">
      <w:pPr>
        <w:pStyle w:val="Normal12Hanging"/>
      </w:pPr>
      <w:r w:rsidRPr="005853B7">
        <w:t>–</w:t>
      </w:r>
      <w:r w:rsidRPr="005853B7">
        <w:tab/>
        <w:t>so zreteľom na správu Výboru pre dopravu a cestovný ruch a na stanoviská Výboru pre životné prostredie, verejné zdravie a bezpečnosť potravín, Výboru pre priemysel, výskum a energetiku a Výboru pre vnútorný trh a ochranu spotrebiteľa (A8-0297/2018),</w:t>
      </w:r>
    </w:p>
    <w:p w:rsidR="007A5B2F" w:rsidRPr="005853B7" w:rsidRDefault="007A5B2F" w:rsidP="007A5B2F">
      <w:pPr>
        <w:pStyle w:val="Normal12Hanging"/>
      </w:pPr>
      <w:r w:rsidRPr="005853B7">
        <w:t>A.</w:t>
      </w:r>
      <w:r w:rsidRPr="005853B7">
        <w:tab/>
        <w:t>keďže mobilita je základnou potrebou a ústrednou oporou našich spoločností a hospodárstiev a mala by byť čistá, udržateľná, spoľahlivá, cenovo dostupná a vo všetkých ohľadoch bezpečná; keďže čisté technológie v tejto súvislosti ponúkajú obrovské príležitosti a výhody pre spoločnosť, pretože majú významný dosah na zdravie a životné prostredie, ako aj na automobilový priemysel, dodávateľov energie a služieb a prevádzkovateľov sietí;</w:t>
      </w:r>
    </w:p>
    <w:p w:rsidR="007A5B2F" w:rsidRPr="005853B7" w:rsidRDefault="007A5B2F" w:rsidP="007A5B2F">
      <w:pPr>
        <w:pStyle w:val="Normal12Hanging"/>
      </w:pPr>
      <w:r w:rsidRPr="005853B7">
        <w:t>B.</w:t>
      </w:r>
      <w:r w:rsidRPr="005853B7">
        <w:tab/>
        <w:t>keďže členské štáty prijali svoje národné politické rámce, ktoré Komisia posúdila vo svojom nedávnom oznámení COM(2017)0652, kde sa konštatuje, že ciele a zavádzanie infraštruktúry na dobíjanie elektrických vozidiel sa medzi jednotlivými členskými štátmi líšia, keďže len osem z 25 členských štátov v plnej miere plní požiadavky národných politických rámcov uvedené v smernici 2014/94/EÚ</w:t>
      </w:r>
      <w:r w:rsidRPr="005853B7">
        <w:rPr>
          <w:rStyle w:val="FootnoteReference"/>
          <w:rFonts w:eastAsia="Calibri"/>
          <w:lang w:eastAsia="en-US"/>
        </w:rPr>
        <w:footnoteReference w:id="3"/>
      </w:r>
      <w:r w:rsidRPr="005853B7">
        <w:t>, a že dva členské štáty do 16. novembra 2016 nepredložili svoje národné politické rámce, ako sa vyžaduje v článku 3 smernice 2014/94/EÚ;</w:t>
      </w:r>
    </w:p>
    <w:p w:rsidR="007A5B2F" w:rsidRPr="005853B7" w:rsidRDefault="007A5B2F" w:rsidP="007A5B2F">
      <w:pPr>
        <w:pStyle w:val="Normal12Hanging"/>
      </w:pPr>
      <w:r w:rsidRPr="005853B7">
        <w:t>C.</w:t>
      </w:r>
      <w:r w:rsidRPr="005853B7">
        <w:tab/>
        <w:t xml:space="preserve">keďže dekarbonizácia dopravy zlepší kvalitu ovzdušia a posilní energetickú bezpečnosť Európy a jej nezávislosť od dovážanej energie a od fosílnych palív, a preto si bude vyžadovať rýchlu a zásadnú zmenu používaných druhov energie, palív a hnacích sústav, ako aj zvýšenie energetickej účinnosti, a to prostredníctvom využitia tých najúčinnejších a najmodernejších najpokročilejších technológií, prechodu na </w:t>
      </w:r>
      <w:proofErr w:type="spellStart"/>
      <w:r w:rsidRPr="005853B7">
        <w:t>multimodálnu</w:t>
      </w:r>
      <w:proofErr w:type="spellEnd"/>
      <w:r w:rsidRPr="005853B7">
        <w:t xml:space="preserve"> dopravu a zmeny správania v oblasti mobility;</w:t>
      </w:r>
    </w:p>
    <w:p w:rsidR="007A5B2F" w:rsidRPr="005853B7" w:rsidRDefault="007A5B2F" w:rsidP="007A5B2F">
      <w:pPr>
        <w:pStyle w:val="Normal12Hanging"/>
      </w:pPr>
      <w:r w:rsidRPr="005853B7">
        <w:t>D.</w:t>
      </w:r>
      <w:r w:rsidRPr="005853B7">
        <w:tab/>
        <w:t>keďže doprava je jediným dôležitým hospodárskym odvetvím Európskej únie, v ktorom sa emisie skleníkových plynov (GHG) od roku 1990 zvýšili; keďže z dopravy pochádza 23 % emisií CO</w:t>
      </w:r>
      <w:r w:rsidRPr="005853B7">
        <w:rPr>
          <w:vertAlign w:val="subscript"/>
        </w:rPr>
        <w:t>2</w:t>
      </w:r>
      <w:r w:rsidRPr="005853B7">
        <w:t xml:space="preserve"> a tento podiel stále rastie; keďže cestná doprava spotrebúva takmer 75 % celkovej energie využívanej v doprave a produkuje takmer 73 % emisií skleníkových plynov z odvetvia dopravy; keďže sa vzhľadom na nárast presunov a objemov tovaru prepravovaného v EÚ a zvýšenú mobilitu osôb neustále zvyšuje aj objem dopravy; keďže tento nárast objemu, ako sa predpokladá do roku 2030, bude mať dôsledky na zmenu klímy, kvalitu ovzdušia a spotrebu energie a bude mať vplyv aj na infraštruktúru; keďže dekarbonizácia cestnej dopravy prostredníctvom udržateľných alternatívnych palív si bude vyžadovať flexibilný prístup, čo znamená, že pre rôzne kategórie vozidiel by mohli byť potrebné rôzne alternatívne palivá;</w:t>
      </w:r>
    </w:p>
    <w:p w:rsidR="007A5B2F" w:rsidRPr="005853B7" w:rsidRDefault="007A5B2F" w:rsidP="007A5B2F">
      <w:pPr>
        <w:pStyle w:val="Normal12Hanging"/>
      </w:pPr>
      <w:r w:rsidRPr="005853B7">
        <w:lastRenderedPageBreak/>
        <w:t>E.</w:t>
      </w:r>
      <w:r w:rsidRPr="005853B7">
        <w:tab/>
        <w:t>keďže lodná doprava predstavuje viac ako 80 % objemu svetového obchodu a 3 % celosvetových emisií skleníkových plynov, čím prispieva k znečisteniu ovzdušia v blízkosti pobrežných oblastí a prístavov; keďže vzhľadom na podstatný podiel lodnej dopravy na svetovom dopravnom trhu postupný prechod alternatívne palivá v tomto odvetví by mal značný pozitívny vplyv na životné prostredie;</w:t>
      </w:r>
    </w:p>
    <w:p w:rsidR="007A5B2F" w:rsidRPr="005853B7" w:rsidRDefault="007A5B2F" w:rsidP="007A5B2F">
      <w:pPr>
        <w:pStyle w:val="Normal12Hanging"/>
      </w:pPr>
      <w:r w:rsidRPr="005853B7">
        <w:t>F.</w:t>
      </w:r>
      <w:r w:rsidRPr="005853B7">
        <w:tab/>
        <w:t xml:space="preserve">keďže na udržanie zvýšenia globálnej teploty pod úrovňou 2°C a zároveň plnenie cieľa 1,5°C stanoveného v Parížskej dohode je potrebné, aby cestná doprava bola najneskôr do roku 2050 úplne </w:t>
      </w:r>
      <w:proofErr w:type="spellStart"/>
      <w:r w:rsidRPr="005853B7">
        <w:t>bezuhlíková</w:t>
      </w:r>
      <w:proofErr w:type="spellEnd"/>
      <w:r w:rsidRPr="005853B7">
        <w:t xml:space="preserve"> a s nulovou bilanciou emisií; keďže prechod na alternatívne palivá môže dopomôcť k dosiahnutiu tohto cieľa, hoci konvenčné palivá budú v dohľadnej dobe stále potrebné, až kým nebude možné alternatívnymi palivami uspokojiť dopyt v plnej miere;</w:t>
      </w:r>
    </w:p>
    <w:p w:rsidR="007A5B2F" w:rsidRPr="005853B7" w:rsidRDefault="007A5B2F" w:rsidP="007A5B2F">
      <w:pPr>
        <w:pStyle w:val="Normal12Hanging"/>
      </w:pPr>
      <w:r w:rsidRPr="005853B7">
        <w:t>G.</w:t>
      </w:r>
      <w:r w:rsidRPr="005853B7">
        <w:tab/>
        <w:t>keďže prechod na udržateľné alternatívne palivá a hnacie sústavy, so zohľadnením celého životného cyklu vozidiel, je najlepším prostriedkom na dekarbonizáciu súčasného a budúceho vozového parku; keďže celkový vplyv bude ešte väčší, ak bude spojený so zvýšením účinnosti vozidiel, s používaním verejnej dopravy a bicyklov, rozvojom spoločnej mobility a zlepšeniami celkovej účinnosti dopravných systémov pomocou kooperatívnych inteligentných dopravných systémov a technológie automatizácie a digitalizácie; keďže mestské a územné plánovanie môže podporiť a doplniť technologické snahy a podporiť zavedenie infraštruktúry nabíjacích a čerpacích staníc; keďže podpora alternatívnych palív môže významne prispieť k zlepšeniu kvality ovzdušia v mestách;</w:t>
      </w:r>
    </w:p>
    <w:p w:rsidR="007A5B2F" w:rsidRPr="005853B7" w:rsidRDefault="007A5B2F" w:rsidP="007A5B2F">
      <w:pPr>
        <w:pStyle w:val="Normal12Hanging"/>
      </w:pPr>
      <w:r w:rsidRPr="005853B7">
        <w:t>H.</w:t>
      </w:r>
      <w:r w:rsidRPr="005853B7">
        <w:tab/>
        <w:t>keďže cenové znevýhodnenie vozidiel na alternatívne palivá v porovnaní s vozidlami s bežným spaľovacím motorom, spolu s nedostatočným zavádzaním infraštruktúry nabíjacích a čerpacích staníc je naďalej jednou z hlavných prekážok brániacich zákazníkom pri rozhodovaní o kúpe vozidla; keďže prémie pre kupujúcich, daňové výnimky a nedaňové stimuly sa v tejto súvislosti osvedčili ako prostriedok na zrýchlenie prenikania týchto vozidiel na trh a mali by odrážať výkon jednotlivých alternatívnych palív z hľadiska emisií skleníkových plynov a znečisťujúcich látok;</w:t>
      </w:r>
    </w:p>
    <w:p w:rsidR="007A5B2F" w:rsidRPr="005853B7" w:rsidRDefault="007A5B2F" w:rsidP="007A5B2F">
      <w:pPr>
        <w:pStyle w:val="Normal12Hanging"/>
      </w:pPr>
      <w:r w:rsidRPr="005853B7">
        <w:t>I.</w:t>
      </w:r>
      <w:r w:rsidRPr="005853B7">
        <w:tab/>
        <w:t>keďže prechod na alternatívne palivá a pohonné sústavy predstavuje pre konkurencieschopný európsky priemysel príležitosť a podnet k výskumu, aby znovu mohol potvrdiť svoje vedúce postavenie v oblasti technológií; keďže tento prechod má pre medzinárodnú konkurencieschopnosť kľúčový význam z hľadiska poznatkov, technológie a trhového podielu;</w:t>
      </w:r>
    </w:p>
    <w:p w:rsidR="007A5B2F" w:rsidRPr="005853B7" w:rsidRDefault="007A5B2F" w:rsidP="007A5B2F">
      <w:pPr>
        <w:pStyle w:val="Normal12Hanging"/>
      </w:pPr>
      <w:r w:rsidRPr="005853B7">
        <w:t>J.</w:t>
      </w:r>
      <w:r w:rsidRPr="005853B7">
        <w:tab/>
        <w:t>keďže prepracované znenie nariadenia o emisných normách pre nové osobné automobily a nové ľahké úžitkové vozidlá by malo stanoviť ambiciózne ciele znižovania emisií a stimuly pre vozidlá s nízkymi a nulovými výfukovými emisiami a zároveň by sa mal zachovať technologicky neutrálny prístup, a tým viesť k dekarbonizácii európskeho vozového parku, čo si vyžiada zavedenie primeranej siete infraštruktúry pre alternatívne palivá; keďže revízia smernice o podpore ekologických a energeticky úsporných vozidiel cestnej dopravy dopĺňa smernicu o alternatívnych palivách tým, že zabezpečuje dopyt po dodávateľoch a zvyšuje zavádzanie ekologických vozidiel;</w:t>
      </w:r>
    </w:p>
    <w:p w:rsidR="007A5B2F" w:rsidRPr="005853B7" w:rsidRDefault="007A5B2F" w:rsidP="007A5B2F">
      <w:pPr>
        <w:pStyle w:val="Normal12Hanging"/>
      </w:pPr>
      <w:r w:rsidRPr="005853B7">
        <w:t>K.</w:t>
      </w:r>
      <w:r w:rsidRPr="005853B7">
        <w:tab/>
        <w:t>keďže 94 % odvetvia dopravy v Európe je závislých od ropy, pričom 90 % ropy sa dováža, a to aj z niektorých politicky nestabilných krajín;</w:t>
      </w:r>
    </w:p>
    <w:p w:rsidR="007A5B2F" w:rsidRPr="005853B7" w:rsidRDefault="007A5B2F" w:rsidP="007A5B2F">
      <w:pPr>
        <w:pStyle w:val="Normal12Hanging"/>
      </w:pPr>
      <w:r w:rsidRPr="005853B7">
        <w:lastRenderedPageBreak/>
        <w:t>L.</w:t>
      </w:r>
      <w:r w:rsidRPr="005853B7">
        <w:tab/>
        <w:t>keďže podľa smernice 2014/94/EÚ patria palivá fosílneho pôvodu stále medzi alternatívne palivá, čo je v rozpore s cieľom dekarbonizácie a postupného vyradenia fosílnych palív; keďže prioritou by mali byť emisné riešenia s nízkymi a nulovými výfukovými emisiami počas celého životného cyklu vozidiel; keďže však v prípade ťažkých úžitkových vozidiel a sektora lodnej dopravy môže skvapalnený zemný plyn a stlačený zemný plyn v krátkodobom a strednodobom horizonte prispievať k zlepšovaniu kvality ovzdušia, najmä pri prístavoch a pozdĺž pobrežia;</w:t>
      </w:r>
    </w:p>
    <w:p w:rsidR="007A5B2F" w:rsidRPr="005853B7" w:rsidRDefault="007A5B2F" w:rsidP="007A5B2F">
      <w:pPr>
        <w:pStyle w:val="Normal12Hanging"/>
      </w:pPr>
      <w:r w:rsidRPr="005853B7">
        <w:t>M.</w:t>
      </w:r>
      <w:r w:rsidRPr="005853B7">
        <w:tab/>
        <w:t xml:space="preserve">keďže odvetvia energetiky a dopravy musia byť oveľa užšie prepojené, aby sa umožnila zásadná dekarbonizácia mobility; keďže nosiče energie, ako je elektrina a vodík, umožňujú mobilitu s nulovými emisiami a zároveň integráciu obnoviteľných zdrojov energie (OZE); keďže odvetvie energetiky postupne prechádza na využívanie výlučne OZE, bude potrebné zabezpečiť uskladňovanie nadbytočnej energie v obdobiach nízkeho dopytu; keďže k tomuto cieľu môžu prispieť elektrické vozidlá na batériu (BEV – </w:t>
      </w:r>
      <w:proofErr w:type="spellStart"/>
      <w:r w:rsidRPr="005853B7">
        <w:t>Battery</w:t>
      </w:r>
      <w:proofErr w:type="spellEnd"/>
      <w:r w:rsidRPr="005853B7">
        <w:t xml:space="preserve"> Electric </w:t>
      </w:r>
      <w:proofErr w:type="spellStart"/>
      <w:r w:rsidRPr="005853B7">
        <w:t>Vehicles</w:t>
      </w:r>
      <w:proofErr w:type="spellEnd"/>
      <w:r w:rsidRPr="005853B7">
        <w:t xml:space="preserve">) a elektrické vozidlá na palivové články (FCEV – </w:t>
      </w:r>
      <w:proofErr w:type="spellStart"/>
      <w:r w:rsidRPr="005853B7">
        <w:t>Fuel</w:t>
      </w:r>
      <w:proofErr w:type="spellEnd"/>
      <w:r w:rsidRPr="005853B7">
        <w:t xml:space="preserve"> </w:t>
      </w:r>
      <w:proofErr w:type="spellStart"/>
      <w:r w:rsidRPr="005853B7">
        <w:t>Cell</w:t>
      </w:r>
      <w:proofErr w:type="spellEnd"/>
      <w:r w:rsidRPr="005853B7">
        <w:t xml:space="preserve"> Electric </w:t>
      </w:r>
      <w:proofErr w:type="spellStart"/>
      <w:r w:rsidRPr="005853B7">
        <w:t>Vehicles</w:t>
      </w:r>
      <w:proofErr w:type="spellEnd"/>
      <w:r w:rsidRPr="005853B7">
        <w:t xml:space="preserve">); keďže </w:t>
      </w:r>
      <w:proofErr w:type="spellStart"/>
      <w:r w:rsidRPr="005853B7">
        <w:t>nízkoemisné</w:t>
      </w:r>
      <w:proofErr w:type="spellEnd"/>
      <w:r w:rsidRPr="005853B7">
        <w:t xml:space="preserve"> energetické zdroje budú prechodnou etapou pri prechode na mobilitu s nulovými emisiami; keďže neutralita technológií by preto mala byť východiskovým bodom pre zavádzanie infraštruktúry pre alternatívne palivá;</w:t>
      </w:r>
    </w:p>
    <w:p w:rsidR="007A5B2F" w:rsidRPr="005853B7" w:rsidRDefault="007A5B2F" w:rsidP="007A5B2F">
      <w:pPr>
        <w:pStyle w:val="Normal12Hanging"/>
      </w:pPr>
      <w:r w:rsidRPr="005853B7">
        <w:t>N.</w:t>
      </w:r>
      <w:r w:rsidRPr="005853B7">
        <w:tab/>
        <w:t>keďže lítiovo-iónové články, ktoré sú kľúčovým komponentom batérií do elektrických vozidiel, sú takmer všetky vyrobené mimo Európskej únie, najmä v Ázii;</w:t>
      </w:r>
    </w:p>
    <w:p w:rsidR="007A5B2F" w:rsidRPr="005853B7" w:rsidRDefault="007A5B2F" w:rsidP="007A5B2F">
      <w:pPr>
        <w:pStyle w:val="Normal12Hanging"/>
      </w:pPr>
      <w:r w:rsidRPr="005853B7">
        <w:t>O.</w:t>
      </w:r>
      <w:r w:rsidRPr="005853B7">
        <w:tab/>
        <w:t xml:space="preserve">keďže inteligentné, masívne elektrické siete, lepšia integrácia sietí elektrickej energie a zemného plynu prostredníctvom </w:t>
      </w:r>
      <w:proofErr w:type="spellStart"/>
      <w:r w:rsidRPr="005853B7">
        <w:t>power</w:t>
      </w:r>
      <w:proofErr w:type="spellEnd"/>
      <w:r w:rsidRPr="005853B7">
        <w:t>-to-</w:t>
      </w:r>
      <w:proofErr w:type="spellStart"/>
      <w:r w:rsidRPr="005853B7">
        <w:t>gas</w:t>
      </w:r>
      <w:proofErr w:type="spellEnd"/>
      <w:r w:rsidRPr="005853B7">
        <w:t>, prístup poskytovateľov nabíjacích služieb a súkromných nabíjacích staníc k sieti a zriaďovanie vodíkových čerpacích staníc majú pre </w:t>
      </w:r>
      <w:proofErr w:type="spellStart"/>
      <w:r w:rsidRPr="005853B7">
        <w:t>elektromobilitu</w:t>
      </w:r>
      <w:proofErr w:type="spellEnd"/>
      <w:r w:rsidRPr="005853B7">
        <w:t xml:space="preserve"> kľúčový význam; keďže v prípade BEV a FCEV môže inteligentné a kontrolované nabíjanie pomôcť vyváženiu sietí, avšak stále neexistujú dostatočné regulačné, daňové a technické rámce;</w:t>
      </w:r>
    </w:p>
    <w:p w:rsidR="007A5B2F" w:rsidRPr="005853B7" w:rsidRDefault="007A5B2F" w:rsidP="007A5B2F">
      <w:pPr>
        <w:pStyle w:val="Normal12Hanging"/>
      </w:pPr>
      <w:r w:rsidRPr="005853B7">
        <w:t>P.</w:t>
      </w:r>
      <w:r w:rsidRPr="005853B7">
        <w:tab/>
        <w:t xml:space="preserve">keďže siete TEN-T sú hlavnými dopravnými sieťami v Európskej únii; keďže kľúčovou prioritou by malo byť zameranie pozornosti na zavádzanie infraštruktúry pre alternatívne palivá a plnenie cieľa stanoveného v oznámení, t. j. zabezpečiť úplné pokrytie hlavných koridorov </w:t>
      </w:r>
      <w:proofErr w:type="spellStart"/>
      <w:r w:rsidRPr="005853B7">
        <w:t>transeurópskej</w:t>
      </w:r>
      <w:proofErr w:type="spellEnd"/>
      <w:r w:rsidRPr="005853B7">
        <w:t xml:space="preserve"> dopravnej siete (TEN-T) nabíjacími stanicami do roku 2025; keďže tento cieľ by sa mal ďalej doplniť zavedením infraštruktúry pre alternatívne palivá, a to tak na súhrnnej sieti TEN-T, ako aj v mestských, vidieckych a riedko osídlených oblastiach, pričom by sa mali zohľadniť štrukturálne a hospodárske obmedzenia, aby sa dosiahlo vyvážené pokrytie;</w:t>
      </w:r>
    </w:p>
    <w:p w:rsidR="007A5B2F" w:rsidRPr="005853B7" w:rsidRDefault="007A5B2F" w:rsidP="007A5B2F">
      <w:pPr>
        <w:pStyle w:val="Normal12Hanging"/>
      </w:pPr>
      <w:r w:rsidRPr="005853B7">
        <w:t>1.</w:t>
      </w:r>
      <w:r w:rsidRPr="005853B7">
        <w:tab/>
        <w:t>víta uvedené oznámenie Komisie o zavádzaní infraštruktúry pre alternatívne palivá; zdôrazňuje, že na dekarbonizácia odvetvia dopravy do roku 2050 je potrebná ďalšia koordinácia a spolupráca na úrovni EÚ, a zdôrazňuje príležitosti, ktoré vznikajú pre priemysel, technológie a zamestnanosť z dôvodu zavedenia alternatívnych palív a príslušnej infraštruktúry;</w:t>
      </w:r>
    </w:p>
    <w:p w:rsidR="007A5B2F" w:rsidRPr="005853B7" w:rsidRDefault="007A5B2F" w:rsidP="007A5B2F">
      <w:pPr>
        <w:pStyle w:val="Normal12Hanging"/>
        <w:rPr>
          <w:b/>
          <w:i/>
        </w:rPr>
      </w:pPr>
      <w:r w:rsidRPr="005853B7">
        <w:rPr>
          <w:b/>
          <w:i/>
        </w:rPr>
        <w:t>Zintenzívnenie úsilia</w:t>
      </w:r>
    </w:p>
    <w:p w:rsidR="007A5B2F" w:rsidRPr="005853B7" w:rsidRDefault="007A5B2F" w:rsidP="007A5B2F">
      <w:pPr>
        <w:pStyle w:val="Normal12Hanging"/>
      </w:pPr>
      <w:r w:rsidRPr="005853B7">
        <w:t>2.</w:t>
      </w:r>
      <w:r w:rsidRPr="005853B7">
        <w:tab/>
        <w:t xml:space="preserve">vyzýva však Komisiu, aby s cieľom zaplniť medzery v infraštruktúre pre alternatívne palivá v celej Európskej únii predložila revíziu smernice 2014/94/EÚ a zároveň zachovala súčasnú definíciu alternatívnych palív uvedených v článku 2 a zamerala sa na jej riadne vykonávanie s prihliadnutím na to, že doteraz v plnej miere implementovalo len osem z 25 členských štátov; zdôrazňuje potrebu zvýšiť využívanie alternatívnych </w:t>
      </w:r>
      <w:r w:rsidRPr="005853B7">
        <w:lastRenderedPageBreak/>
        <w:t>palív a vytvoriť stabilné prostredie pre investície;</w:t>
      </w:r>
    </w:p>
    <w:p w:rsidR="007A5B2F" w:rsidRPr="005853B7" w:rsidRDefault="007A5B2F" w:rsidP="007A5B2F">
      <w:pPr>
        <w:pStyle w:val="Normal12Hanging"/>
      </w:pPr>
      <w:r w:rsidRPr="005853B7">
        <w:t>3.</w:t>
      </w:r>
      <w:r w:rsidRPr="005853B7">
        <w:tab/>
        <w:t xml:space="preserve">konštatuje, že Komisia vo svojom hodnotení národných rámcových plánov poukazuje na odlišné úrovne úsilia, ambícií a dostupných finančných prostriedkov medzi jednotlivými členskými štátmi a že zavádzanie alternatívnych palív nie je ucelené a rovnomerne rozložené; vyzýva preto Komisiu, aby dôkladne posúdila projekty národných rámcových plánov a úroveň ambícií, aby v prípade potreby navrhla dodatočné opatrenia a aby podporila členské štáty príkladmi najlepších postupov; vyzýva Komisiu, aby nahradila systém národných akčných programov efektívnejšími nástrojmi vrátane konkrétnych, záväzných a vynútiteľných cieľov na účely formulovania kritérií udržateľnosti; navrhuje, aby Komisia vzala do úvahy predpokladané a realizované zavádzanie vozidiel na alternatívne palivá a ich technologický pokrok, umožnila členským štátom flexibilitu pri určovaní toho, ako dosiahnuť ciele, a sledovala cieľ </w:t>
      </w:r>
      <w:proofErr w:type="spellStart"/>
      <w:r w:rsidRPr="005853B7">
        <w:t>transeurópskej</w:t>
      </w:r>
      <w:proofErr w:type="spellEnd"/>
      <w:r w:rsidRPr="005853B7">
        <w:t xml:space="preserve"> siete infraštruktúry pre všetky alternatívne palivá, ktorá je prístupná, kompatibilná a </w:t>
      </w:r>
      <w:proofErr w:type="spellStart"/>
      <w:r w:rsidRPr="005853B7">
        <w:t>interoperabilná</w:t>
      </w:r>
      <w:proofErr w:type="spellEnd"/>
      <w:r w:rsidRPr="005853B7">
        <w:t>;</w:t>
      </w:r>
    </w:p>
    <w:p w:rsidR="007A5B2F" w:rsidRPr="005853B7" w:rsidRDefault="007A5B2F" w:rsidP="007A5B2F">
      <w:pPr>
        <w:pStyle w:val="Normal12Hanging"/>
      </w:pPr>
      <w:r w:rsidRPr="005853B7">
        <w:t>4.</w:t>
      </w:r>
      <w:r w:rsidRPr="005853B7">
        <w:tab/>
        <w:t>žiada, aby sa na účel výpočtu rozsahu novej infraštruktúry a jej primeraného náležitého vybavenia prihliadlo na predpokladaný nárast v jazdách a prepravovaných objemoch do roku 2030; zdôrazňuje význam technologického pokroku, ktorý sa už uskutočňuje alebo pripravuje v oblastiach skladovania batérií, vodíka a energie, a zdôrazňuje potrebu zohľadniť tento pokrok pri prijímaní strategických rozhodnutí; konštatuje, že nová infraštruktúra sa musí vedieť prispôsobiť zmenám, a to z hľadiska objemu, ako aj z hľadiska technológií; zdôrazňuje, že napríklad obrovský nárast počtu elektrických vozidiel spolu so zvýšením dojazdu týchto vozidiel na 400 km bude mať vplyv na intenzitu zavádzania siete nabíjacích staníc, ako aj na typ požadovaného nabíjania;</w:t>
      </w:r>
    </w:p>
    <w:p w:rsidR="007A5B2F" w:rsidRPr="005853B7" w:rsidRDefault="007A5B2F" w:rsidP="007A5B2F">
      <w:pPr>
        <w:pStyle w:val="Normal12Hanging"/>
      </w:pPr>
      <w:r w:rsidRPr="005853B7">
        <w:t>5.</w:t>
      </w:r>
      <w:r w:rsidRPr="005853B7">
        <w:tab/>
        <w:t>navrhuje, aby sa každoročne hodnotil stav vykonávania v jednotlivých členských štátoch a aby bola oblasť pôsobnosti smernice rozšírená tak, že by okrem zavádzania infraštruktúry pozdĺž súhrnnej siete TEN-T zahŕňala aj mestské a regionálne uzly a oblasti, v ktorých index kvality ovzdušia v Európe vykazuje viac než 35 dní v roku „vysokú úroveň“ znečistenia a v ktorých je hustota obyvateľstva šesťkrát vyššia než je priemerná hustota v EÚ, aby tak boli pokryté rozsiahle územia a zahrnula sa aj infraštruktúra určená pre verejné vozové parky; vyzýva Komisiu, aby rozšírila rozsah pôsobnosti Nástroja na prepájanie Európy v tomto smere a zvýšila jeho financovanie;</w:t>
      </w:r>
    </w:p>
    <w:p w:rsidR="007A5B2F" w:rsidRPr="005853B7" w:rsidRDefault="007A5B2F" w:rsidP="007A5B2F">
      <w:pPr>
        <w:pStyle w:val="Normal12Hanging"/>
      </w:pPr>
      <w:r w:rsidRPr="005853B7">
        <w:t>6.</w:t>
      </w:r>
      <w:r w:rsidRPr="005853B7">
        <w:tab/>
        <w:t>podporuje elektrifikáciu ciest, ktorá umožní elektrickým vozidlám nabíjanie v priebehu jazdy; požaduje ich širší rozvoj aspoň pozdĺž ciest základnej a súhrnnej siete TEN-T; domnieva sa, že elektrifikácia ciest by mohla byť riešením, ktoré by umožnilo zníženie veľkosti batérií a následne cien nových vozidiel;</w:t>
      </w:r>
    </w:p>
    <w:p w:rsidR="007A5B2F" w:rsidRPr="005853B7" w:rsidRDefault="007A5B2F" w:rsidP="007A5B2F">
      <w:pPr>
        <w:pStyle w:val="Normal12Hanging"/>
      </w:pPr>
      <w:r w:rsidRPr="005853B7">
        <w:t>7.</w:t>
      </w:r>
      <w:r w:rsidRPr="005853B7">
        <w:tab/>
        <w:t>vyzýva Komisiu, aby vytvorila rovnaké podmienky pre rozličné alternatívne palivá, ktoré zabezpečia technologickú neutralitu, najmä keď propaguje distribučné infraštruktúry, a vodíkovú infraštruktúru tak stanovila ako povinnú, pričom požiadavky na zavádzanie by boli rovnocenné s požiadavkami pre stlačený zemný plyn, ale tieto požiadavky na zavádzanie by boli upravené;</w:t>
      </w:r>
    </w:p>
    <w:p w:rsidR="007A5B2F" w:rsidRPr="005853B7" w:rsidRDefault="007A5B2F" w:rsidP="007A5B2F">
      <w:pPr>
        <w:pStyle w:val="Normal12Hanging"/>
      </w:pPr>
      <w:r w:rsidRPr="005853B7">
        <w:t>8.</w:t>
      </w:r>
      <w:r w:rsidRPr="005853B7">
        <w:tab/>
        <w:t xml:space="preserve">zdôrazňuje význam trvalo udržateľného mestského plánovania s prechodom od súkromného využívania k zdieľanému a verejnému využívaniu dopravy a vyzvať Komisiu a členské štáty, aby predovšetkým upriamili svoju pozornosť na zavádzanie infraštruktúry pre alternatívne palivá pre kolektívne a verejné dopravné služby, ako sú autobusy, električky, vlaky, spoločné automobily, taxíky a malé dodávky, ako aj pre </w:t>
      </w:r>
      <w:r w:rsidRPr="005853B7">
        <w:lastRenderedPageBreak/>
        <w:t>bicykle, skútre a motocykle; podporuje zavádzanie infraštruktúry pre alternatívne palivá v mestských a prímestských oblastiach, pričom dáva prednosť tým, ktorých kvalita ovzdušia je nízka;</w:t>
      </w:r>
    </w:p>
    <w:p w:rsidR="007A5B2F" w:rsidRPr="005853B7" w:rsidRDefault="007A5B2F" w:rsidP="007A5B2F">
      <w:pPr>
        <w:pStyle w:val="Normal12Hanging"/>
      </w:pPr>
      <w:r w:rsidRPr="005853B7">
        <w:t>9.</w:t>
      </w:r>
      <w:r w:rsidRPr="005853B7">
        <w:tab/>
        <w:t>nabáda miestne a regionálne orgány, ktoré sa zúčastňujú celosvetového Dohovoru primátorov a starostov v oblasti klímy a energetiky, aby sa usilovali zahrnúť konkrétne opatrenia do ich akčných plánov v oblasti udržateľnej energie, najmä v oblasti výstavby alebo dokončenia nabíjacej infraštruktúry pre elektrické vozidlá;</w:t>
      </w:r>
    </w:p>
    <w:p w:rsidR="007A5B2F" w:rsidRPr="005853B7" w:rsidRDefault="007A5B2F" w:rsidP="007A5B2F">
      <w:pPr>
        <w:pStyle w:val="Normal12Hanging"/>
      </w:pPr>
      <w:r w:rsidRPr="005853B7">
        <w:t>10.</w:t>
      </w:r>
      <w:r w:rsidRPr="005853B7">
        <w:tab/>
        <w:t>vyzýva Komisiu, aby doplnila ciele týkajúce sa klímy stanovené v smernici 2014/94/E</w:t>
      </w:r>
      <w:r w:rsidR="008C6B4F" w:rsidRPr="005853B7">
        <w:t>Ú</w:t>
      </w:r>
      <w:r w:rsidRPr="005853B7">
        <w:t xml:space="preserve"> dodatočnými opatreniami na zabezpečenie čistého ovzdušia na základe kontroly vhodnosti smerníc EÚ </w:t>
      </w:r>
      <w:r w:rsidR="00E754EA" w:rsidRPr="005853B7">
        <w:t>2004/107/ES</w:t>
      </w:r>
      <w:r w:rsidR="00E754EA" w:rsidRPr="005853B7">
        <w:rPr>
          <w:rStyle w:val="FootnoteReference"/>
        </w:rPr>
        <w:footnoteReference w:id="4"/>
      </w:r>
      <w:r w:rsidR="00E754EA" w:rsidRPr="005853B7">
        <w:t xml:space="preserve"> a 2008/50/ES</w:t>
      </w:r>
      <w:r w:rsidR="005102A1" w:rsidRPr="005853B7">
        <w:rPr>
          <w:rStyle w:val="FootnoteReference"/>
        </w:rPr>
        <w:footnoteReference w:id="5"/>
      </w:r>
      <w:r w:rsidR="00E754EA" w:rsidRPr="005853B7">
        <w:t xml:space="preserve"> </w:t>
      </w:r>
      <w:r w:rsidRPr="005853B7">
        <w:t>o kvalite okolitého ovzdušia;</w:t>
      </w:r>
    </w:p>
    <w:p w:rsidR="007A5B2F" w:rsidRPr="005853B7" w:rsidRDefault="007A5B2F" w:rsidP="007A5B2F">
      <w:pPr>
        <w:pStyle w:val="Normal12Hanging"/>
      </w:pPr>
      <w:r w:rsidRPr="005853B7">
        <w:t>11.</w:t>
      </w:r>
      <w:r w:rsidRPr="005853B7">
        <w:tab/>
        <w:t>upozorňuje na význam udržateľného verejného obstarávania vozidiel s pohonom na alternatívne palivá ako hnacej sily dopytu po alternatívnych palivách a infraštruktúre pre alternatívne palivá;</w:t>
      </w:r>
    </w:p>
    <w:p w:rsidR="007A5B2F" w:rsidRPr="005853B7" w:rsidRDefault="007A5B2F" w:rsidP="007A5B2F">
      <w:pPr>
        <w:pStyle w:val="Normal12Hanging"/>
      </w:pPr>
      <w:r w:rsidRPr="005853B7">
        <w:t>12.</w:t>
      </w:r>
      <w:r w:rsidRPr="005853B7">
        <w:tab/>
        <w:t>nabáda na poskytovanie čistej dodávky elektrickej energie na letiskách (pre použitie v prípade stacionárnych lietadiel, ako aj mobilného zariadenia na letiskách) s cieľom znížiť spotrebu petroleja, zlepšiť kvalitu ovzdušia, znížiť vplyv na zmenu klímy a znečistenie hlukom;</w:t>
      </w:r>
    </w:p>
    <w:p w:rsidR="007A5B2F" w:rsidRPr="005853B7" w:rsidRDefault="007A5B2F" w:rsidP="007A5B2F">
      <w:pPr>
        <w:pStyle w:val="Normal12Hanging"/>
        <w:rPr>
          <w:b/>
          <w:i/>
        </w:rPr>
      </w:pPr>
      <w:r w:rsidRPr="005853B7">
        <w:rPr>
          <w:b/>
          <w:i/>
        </w:rPr>
        <w:t>Fond pre čistú mobilitu: financovanie infraštruktúry pre alternatívne palivá</w:t>
      </w:r>
    </w:p>
    <w:p w:rsidR="007A5B2F" w:rsidRPr="005853B7" w:rsidRDefault="007A5B2F" w:rsidP="007A5B2F">
      <w:pPr>
        <w:pStyle w:val="Normal12Hanging"/>
      </w:pPr>
      <w:r w:rsidRPr="005853B7">
        <w:t>13.</w:t>
      </w:r>
      <w:r w:rsidRPr="005853B7">
        <w:tab/>
        <w:t>víta úsilie Komisie poskytnúť ďalších 800 miliónov EUR ako počiatočné financovanie na podporu zavádzania infraštruktúry pre alternatívne palivá; pochybuje však, že tento pákový efekt bude dostatočný, vzhľadom na to, že podľa predpokladov bude do roku 2020 potrebných 5,2 miliardy EUR a do roku 2025 ďalších 16 – 22 miliárd EUR celkových investícií</w:t>
      </w:r>
      <w:r w:rsidRPr="005853B7">
        <w:rPr>
          <w:vertAlign w:val="superscript"/>
        </w:rPr>
        <w:footnoteReference w:id="6"/>
      </w:r>
      <w:r w:rsidRPr="005853B7">
        <w:t>; naliehavo vyzýva Komisiu, aby zvýšila počiatočné financovanie, aby podporila nielen zavádzanie, ale aj prevádzku takejto infraštruktúry počas nerentabilnej fázy uvádzania na trh, a aby sa zamerala na potreby prevádzkovateľov verejnej dopravy vrátane podporných infraštruktúr, ako sú údržbárske dielne; zdôrazňuje, že sú potrebné dodatočné verejné, ale najmä súkromné investície;</w:t>
      </w:r>
    </w:p>
    <w:p w:rsidR="007A5B2F" w:rsidRPr="005853B7" w:rsidRDefault="007A5B2F" w:rsidP="007A5B2F">
      <w:pPr>
        <w:pStyle w:val="Normal12Hanging"/>
      </w:pPr>
      <w:r w:rsidRPr="005853B7">
        <w:t>14.</w:t>
      </w:r>
      <w:r w:rsidRPr="005853B7">
        <w:tab/>
        <w:t xml:space="preserve">navrhuje, aby boli potrebné odhadované investície vo výške 25 miliárd EUR do roku 2025 spolufinancované, pričom Európska únia by prispievala približne 10 % a približne 90 % by pochádzalo z priemyslu, najmä od výrobcov, dodávateľov, výrobcov energie a palív a ďalších zainteresovaných strán; zdôrazňuje, že projekty v oblasti infraštruktúry pre alternatívne palivá by mali mať prístup ku grantom a úverom poskytovaným rámci NPE, </w:t>
      </w:r>
      <w:r w:rsidR="00406939" w:rsidRPr="005853B7">
        <w:t>Európskou investičnou bankou (</w:t>
      </w:r>
      <w:r w:rsidRPr="005853B7">
        <w:t>EIB</w:t>
      </w:r>
      <w:r w:rsidR="00406939" w:rsidRPr="005853B7">
        <w:t>)</w:t>
      </w:r>
      <w:r w:rsidRPr="005853B7">
        <w:t xml:space="preserve"> a </w:t>
      </w:r>
      <w:r w:rsidR="008C6B4F" w:rsidRPr="005853B7">
        <w:t>I</w:t>
      </w:r>
      <w:r w:rsidRPr="005853B7">
        <w:t>nvestičného plánu Európskej komisie pre Európu, pričom vždy je potrebné zabezpečiť, aby nedošlo k narušeniu trhu; žiada, aby sa finančné prostriedky z fondu prideľovali na základe kritérií udržateľnosti, uskutočniteľnosti, technologickej neutrality, cieľov v oblasti klímy, európskej pridanej hodnoty, plnenia cieľov v oblasti zavádzania a politiky súdržnosti; žiada, aby sa agentúrou zodpovednou za jeho správu stala Výkonná agentúra pre inovácie a siete (INEA), ktorá už spravuje NPE;</w:t>
      </w:r>
    </w:p>
    <w:p w:rsidR="007A5B2F" w:rsidRPr="005853B7" w:rsidRDefault="007A5B2F" w:rsidP="007A5B2F">
      <w:pPr>
        <w:pStyle w:val="Normal12Hanging"/>
      </w:pPr>
      <w:r w:rsidRPr="005853B7">
        <w:lastRenderedPageBreak/>
        <w:t>15.</w:t>
      </w:r>
      <w:r w:rsidRPr="005853B7">
        <w:tab/>
        <w:t xml:space="preserve">domnieva sa, že európske štrukturálne a investičné fondy 2 (EŠIF 2), ako aj Európsky fond regionálneho rozvoja (EFRR), Kohézny fond (KF), program </w:t>
      </w:r>
      <w:proofErr w:type="spellStart"/>
      <w:r w:rsidRPr="005853B7">
        <w:t>Invest</w:t>
      </w:r>
      <w:proofErr w:type="spellEnd"/>
      <w:r w:rsidRPr="005853B7">
        <w:t xml:space="preserve"> EU a program Horizont Európa, sú vhodnými nástrojmi na podporu zavádzania infraštruktúry pre alternatívne palivá a nepretržitých investícií do výskumu a inovácií s cieľom dosiahnuť lepšiu úroveň prepojenia odvetví, ako je doprava a energetika;</w:t>
      </w:r>
    </w:p>
    <w:p w:rsidR="007A5B2F" w:rsidRPr="005853B7" w:rsidRDefault="007A5B2F" w:rsidP="007A5B2F">
      <w:pPr>
        <w:pStyle w:val="Normal12Hanging"/>
      </w:pPr>
      <w:r w:rsidRPr="005853B7">
        <w:t>16.</w:t>
      </w:r>
      <w:r w:rsidRPr="005853B7">
        <w:tab/>
        <w:t xml:space="preserve">vyzýva Komisiu, aby preskúmala smernicu </w:t>
      </w:r>
      <w:r w:rsidR="006246FB" w:rsidRPr="005853B7">
        <w:t xml:space="preserve">Európskeho parlamentu a Rady </w:t>
      </w:r>
      <w:r w:rsidRPr="005853B7">
        <w:t>1999/94/ES</w:t>
      </w:r>
      <w:r w:rsidR="006246FB" w:rsidRPr="005853B7">
        <w:rPr>
          <w:rStyle w:val="FootnoteReference"/>
        </w:rPr>
        <w:footnoteReference w:id="7"/>
      </w:r>
      <w:r w:rsidRPr="005853B7">
        <w:t xml:space="preserve"> o spotrebiteľských informáciách o automobiloch; zastáva názor, že toto preskúmanie by sa malo zamerať na podstatné zlepšenie informovanosti spotrebiteľov o spotrebe paliva, emisiách CO</w:t>
      </w:r>
      <w:r w:rsidRPr="005853B7">
        <w:rPr>
          <w:sz w:val="20"/>
          <w:vertAlign w:val="subscript"/>
        </w:rPr>
        <w:t>2</w:t>
      </w:r>
      <w:r w:rsidRPr="005853B7">
        <w:t xml:space="preserve"> a emisiách znečisťujúcich látok a že by malo umožniť porovnanie účinnosti a emisií technológií tradičných a alternatívnych palív určených na dopravu v reálnych životných podmienkach;</w:t>
      </w:r>
    </w:p>
    <w:p w:rsidR="007A5B2F" w:rsidRPr="005853B7" w:rsidRDefault="007A5B2F" w:rsidP="007A5B2F">
      <w:pPr>
        <w:pStyle w:val="Normal12Hanging"/>
      </w:pPr>
      <w:r w:rsidRPr="005853B7">
        <w:t>17.</w:t>
      </w:r>
      <w:r w:rsidRPr="005853B7">
        <w:tab/>
        <w:t>vyzýva Komisiu na vypracovanie nariadenia o roamingu v oblasti infraštruktúry pre alternatívne, verejne dostupné palivá, aspoň v rámci siete TEN-T;</w:t>
      </w:r>
    </w:p>
    <w:p w:rsidR="007A5B2F" w:rsidRPr="005853B7" w:rsidRDefault="007A5B2F" w:rsidP="007A5B2F">
      <w:pPr>
        <w:pStyle w:val="Normal12Hanging"/>
      </w:pPr>
      <w:r w:rsidRPr="005853B7">
        <w:t>18.</w:t>
      </w:r>
      <w:r w:rsidRPr="005853B7">
        <w:tab/>
        <w:t xml:space="preserve">poznamenáva, že dane majú zásadný vplyv na cenovú konkurencieschopnosť alternatívnych palív; vyzýva preto členské štáty, aby v záujme uľahčenia a stimulovania zavádzania </w:t>
      </w:r>
      <w:proofErr w:type="spellStart"/>
      <w:r w:rsidRPr="005853B7">
        <w:t>nízkouhlíkových</w:t>
      </w:r>
      <w:proofErr w:type="spellEnd"/>
      <w:r w:rsidRPr="005853B7">
        <w:t xml:space="preserve"> a </w:t>
      </w:r>
      <w:proofErr w:type="spellStart"/>
      <w:r w:rsidRPr="005853B7">
        <w:t>bezuhlíkových</w:t>
      </w:r>
      <w:proofErr w:type="spellEnd"/>
      <w:r w:rsidRPr="005853B7">
        <w:t xml:space="preserve"> alternatívnych palív prehodnotili svoje rámce zdaňovania energie a odstránili súčasné rozdiely v zdaňovaní jednotlivých druhov dopravy, napríklad elektrickej energie použitej na pobrežné zásobovanie lodí elektrinou a na výrobu alternatívnych palív vrátane premeny elektriny na plyn ako spôsobu skladovania nestálych obnoviteľných zdrojov energie;</w:t>
      </w:r>
    </w:p>
    <w:p w:rsidR="007A5B2F" w:rsidRPr="005853B7" w:rsidRDefault="007A5B2F" w:rsidP="007A5B2F">
      <w:pPr>
        <w:pStyle w:val="Normal12Hanging"/>
      </w:pPr>
      <w:r w:rsidRPr="005853B7">
        <w:t>19.</w:t>
      </w:r>
      <w:r w:rsidRPr="005853B7">
        <w:tab/>
        <w:t>vyzýva Komisiu, aby podporovala dekarbonizáciu námorného a námorného sektora s jasným zameraním na inovácie, digitalizáciu a prispôsobovanie prístavov a lodí; vyzýva Komisiu, členské štáty a ich regióny, aby zriadili spoločný projekt „modré koridory LNG pre ostrovy“, a to najmä pre najvzdialenejšie regióny; zdôrazňuje, že pobrežné zásobovanie elektrickou energiou vo vnútrozemských a námorných prístavoch môže výrazne prispieť k zníženiu hluku, emisií CO</w:t>
      </w:r>
      <w:r w:rsidRPr="005853B7">
        <w:rPr>
          <w:vertAlign w:val="subscript"/>
        </w:rPr>
        <w:t>2</w:t>
      </w:r>
      <w:r w:rsidRPr="005853B7">
        <w:t xml:space="preserve"> a iných znečisťujúcich látok a zároveň môže zlepšiť kvalitu ovzdušia;</w:t>
      </w:r>
    </w:p>
    <w:p w:rsidR="007A5B2F" w:rsidRPr="005853B7" w:rsidRDefault="007A5B2F" w:rsidP="007A5B2F">
      <w:pPr>
        <w:pStyle w:val="Normal12Hanging"/>
        <w:rPr>
          <w:b/>
          <w:i/>
        </w:rPr>
      </w:pPr>
      <w:r w:rsidRPr="005853B7">
        <w:rPr>
          <w:b/>
          <w:i/>
        </w:rPr>
        <w:t>Alternatívne palivá – alternatívna priemyselná politika</w:t>
      </w:r>
    </w:p>
    <w:p w:rsidR="007A5B2F" w:rsidRPr="005853B7" w:rsidRDefault="007A5B2F" w:rsidP="007A5B2F">
      <w:pPr>
        <w:pStyle w:val="Normal12Hanging"/>
      </w:pPr>
      <w:r w:rsidRPr="005853B7">
        <w:t>20.</w:t>
      </w:r>
      <w:r w:rsidRPr="005853B7">
        <w:tab/>
        <w:t xml:space="preserve">vyjadruje poľutovanie nad tým, že pokrok v súvislosti so zavádzaním infraštruktúry pre alternatívne palivá a dostupnosťou vozidiel s pohonom na alternatívne palivá je príliš pomalý, keďže v roku 2017 bolo k dispozícii len 19 elektrických vozidiel na batériu a 25 </w:t>
      </w:r>
      <w:proofErr w:type="spellStart"/>
      <w:r w:rsidRPr="005853B7">
        <w:t>dobíjateľných</w:t>
      </w:r>
      <w:proofErr w:type="spellEnd"/>
      <w:r w:rsidRPr="005853B7">
        <w:t xml:space="preserve"> hybridných elektrických vozidiel v porovnaní so 417 modelmi so spaľovacími motormi, a vyzýva výrobcov, aby v tejto súvislosti zintenzívnili svoje úsilie; uznáva potrebu politík, ktoré podnecujú používanie vozidiel s nulovými a nízkymi výfukovými emisiami a stimulujú ponuku ľahkých a ťažkých úžitkových vozidiel s pohonom na alternatívne palivá, ako sú napríklad ambiciózne emisné normy v rokoch 2025 a 2030 pre nové ľahké a ťažké úžitkové vozidlá vrátane silných stimulov pre vozidlá s nulovými a nízkymi emisiami; zároveň uznáva potrebu vyšších verejných a súkromných investícií;</w:t>
      </w:r>
    </w:p>
    <w:p w:rsidR="007A5B2F" w:rsidRPr="005853B7" w:rsidRDefault="007A5B2F" w:rsidP="007A5B2F">
      <w:pPr>
        <w:pStyle w:val="Normal12Hanging"/>
      </w:pPr>
      <w:r w:rsidRPr="005853B7">
        <w:t>21.</w:t>
      </w:r>
      <w:r w:rsidRPr="005853B7">
        <w:tab/>
        <w:t xml:space="preserve">zdôrazňuje súvislosť medzi dostupnosťou vozidiel s alternatívnym pohonom, zavádzaním infraštruktúry pre alternatívne palivá a dopytom po týchto technológiách zo strany spotrebiteľov; v tejto súvislosti zdôrazňuje, že prechod na alternatívne palivá a </w:t>
      </w:r>
      <w:r w:rsidRPr="005853B7">
        <w:lastRenderedPageBreak/>
        <w:t>pohonné systémy by mohol pomôcť priemyslu zaistiť si celosvetovú konkurencieschopnosť a udržať kvalitné pracovné miesta v Európe a zároveň vynahradiť príležitosti premárnené pri dekarbonizácii automobilového priemyslu a nedostatočnom investovaní do udržateľnej dopravy; zdôrazňuje, že zvýšené využívanie vozidiel s pohonom na alternatívne palivá zníži výrobné náklady a zrýchli znižovanie celkových nákladov na vlastníctvo;</w:t>
      </w:r>
    </w:p>
    <w:p w:rsidR="007A5B2F" w:rsidRPr="005853B7" w:rsidRDefault="007A5B2F" w:rsidP="007A5B2F">
      <w:pPr>
        <w:pStyle w:val="Normal12Hanging"/>
      </w:pPr>
      <w:r w:rsidRPr="005853B7">
        <w:t>22.</w:t>
      </w:r>
      <w:r w:rsidRPr="005853B7">
        <w:tab/>
        <w:t xml:space="preserve">pripomína význam fungujúceho vnútorného trhu, ktorý zabezpečí ľahkú dostupnosť čerpacích staníc, </w:t>
      </w:r>
      <w:proofErr w:type="spellStart"/>
      <w:r w:rsidRPr="005853B7">
        <w:t>interoperabilitu</w:t>
      </w:r>
      <w:proofErr w:type="spellEnd"/>
      <w:r w:rsidRPr="005853B7">
        <w:t xml:space="preserve"> platobných služieb a technické normy, transparentné stanovovanie cien paliva a </w:t>
      </w:r>
      <w:proofErr w:type="spellStart"/>
      <w:r w:rsidRPr="005853B7">
        <w:t>interoperabilitu</w:t>
      </w:r>
      <w:proofErr w:type="spellEnd"/>
      <w:r w:rsidRPr="005853B7">
        <w:t xml:space="preserve"> medzi servermi a formátmi údajov; v tejto súvislosti zdôrazňuje význam včasných, ľahko zrozumiteľných, presných, prístupných a transparentných informácií pre spotrebiteľov a dostupnosti týchto informácií prostredníctvom platformy otvorených údajov; žiada zavedenie staníc s viacerými zdrojmi energie, aby nedochádzalo k vytváraniu rôznych distribučných sietí pre každý druh dodávky elektrickej energie;</w:t>
      </w:r>
    </w:p>
    <w:p w:rsidR="007A5B2F" w:rsidRPr="005853B7" w:rsidRDefault="007A5B2F" w:rsidP="007A5B2F">
      <w:pPr>
        <w:pStyle w:val="Normal12Hanging"/>
      </w:pPr>
      <w:r w:rsidRPr="005853B7">
        <w:t>23.</w:t>
      </w:r>
      <w:r w:rsidRPr="005853B7">
        <w:tab/>
        <w:t xml:space="preserve">berie na vedomie, že nabíjanie elektrických vozidiel bude väčšinou prebiehať doma alebo na pracovisku a príležitostne na verejných a poloverejných miestach, ako sú supermarkety, železničné stanice alebo letiská; v tejto súvislosti zdôrazňuje, že je potrebné väčšie zameranie na inteligentné riešenia nabíjania, musí sa zabezpečiť stabilita a umožniť vlastná spotreba; zdôrazňuje, že v prípade diaľkovej </w:t>
      </w:r>
      <w:proofErr w:type="spellStart"/>
      <w:r w:rsidRPr="005853B7">
        <w:t>elektromobility</w:t>
      </w:r>
      <w:proofErr w:type="spellEnd"/>
      <w:r w:rsidRPr="005853B7">
        <w:t xml:space="preserve"> sú potrebné rýchle a </w:t>
      </w:r>
      <w:proofErr w:type="spellStart"/>
      <w:r w:rsidRPr="005853B7">
        <w:t>ultrarýchle</w:t>
      </w:r>
      <w:proofErr w:type="spellEnd"/>
      <w:r w:rsidRPr="005853B7">
        <w:t xml:space="preserve"> nabíjacie stanice na diaľniciach, hlavných cestných systémoch a sieťových uzloch, zdôrazňuje, že otvorený prístup k nabíjacím staniciam, </w:t>
      </w:r>
      <w:proofErr w:type="spellStart"/>
      <w:r w:rsidRPr="005853B7">
        <w:t>interoperabilita</w:t>
      </w:r>
      <w:proofErr w:type="spellEnd"/>
      <w:r w:rsidRPr="005853B7">
        <w:t xml:space="preserve"> technológií a platieb a voľný výber energie vrátane obnoviteľnej energie a dodávateľov sú kľúčovými faktormi fungovania systému;</w:t>
      </w:r>
    </w:p>
    <w:p w:rsidR="007A5B2F" w:rsidRPr="005853B7" w:rsidRDefault="007A5B2F" w:rsidP="007A5B2F">
      <w:pPr>
        <w:pStyle w:val="Normal12Hanging"/>
      </w:pPr>
      <w:r w:rsidRPr="005853B7">
        <w:t>24.</w:t>
      </w:r>
      <w:r w:rsidRPr="005853B7">
        <w:tab/>
        <w:t>víta iniciatívu Komisie na vytvorenie udržateľnej Európskej aliancie pre batérie a dôrazne podporuje zriadenie výroby batériových článkov v Európe so zameraním na technológiu novej generácie; vyzýva Komisiu, aby túto iniciatívu rozšírila aj na iné typy hnacích sústav, ako sú palivové články, s cieľom udržať vedúce postavenie európskych technológií;</w:t>
      </w:r>
    </w:p>
    <w:p w:rsidR="007A5B2F" w:rsidRPr="005853B7" w:rsidRDefault="007A5B2F" w:rsidP="007A5B2F">
      <w:pPr>
        <w:pStyle w:val="Normal12Hanging"/>
      </w:pPr>
      <w:r w:rsidRPr="005853B7">
        <w:t>25.</w:t>
      </w:r>
      <w:r w:rsidRPr="005853B7">
        <w:tab/>
        <w:t>vyzýva Komisiu, aby posúdila uskutočniteľnosť posudzovania životného cyklu všetkých alternatívnych palív, batérií a riešení hnacích sústav s cieľom udržateľne dekarbonizovať odvetvie dopravy a vyhodnotiť ich emisie a vplyv na dopyt po energii a vode, na využívanie pôdy, životné prostredie a spoločenstvá;</w:t>
      </w:r>
    </w:p>
    <w:p w:rsidR="00A71F20" w:rsidRPr="005853B7" w:rsidRDefault="00A71F20" w:rsidP="00A71F20">
      <w:pPr>
        <w:widowControl/>
        <w:spacing w:after="240"/>
        <w:jc w:val="center"/>
        <w:rPr>
          <w:szCs w:val="24"/>
        </w:rPr>
      </w:pPr>
      <w:r w:rsidRPr="005853B7">
        <w:rPr>
          <w:szCs w:val="24"/>
        </w:rPr>
        <w:t>o</w:t>
      </w:r>
    </w:p>
    <w:p w:rsidR="00A71F20" w:rsidRPr="005853B7" w:rsidRDefault="00A71F20" w:rsidP="00A71F20">
      <w:pPr>
        <w:widowControl/>
        <w:spacing w:after="240"/>
        <w:jc w:val="center"/>
        <w:rPr>
          <w:szCs w:val="24"/>
        </w:rPr>
      </w:pPr>
      <w:r w:rsidRPr="005853B7">
        <w:rPr>
          <w:szCs w:val="24"/>
        </w:rPr>
        <w:t xml:space="preserve">o     </w:t>
      </w:r>
      <w:proofErr w:type="spellStart"/>
      <w:r w:rsidRPr="005853B7">
        <w:rPr>
          <w:szCs w:val="24"/>
        </w:rPr>
        <w:t>o</w:t>
      </w:r>
      <w:proofErr w:type="spellEnd"/>
    </w:p>
    <w:p w:rsidR="007A5B2F" w:rsidRPr="005853B7" w:rsidRDefault="007A5B2F" w:rsidP="007A5B2F">
      <w:pPr>
        <w:pStyle w:val="Normal12Hanging"/>
      </w:pPr>
      <w:r w:rsidRPr="005853B7">
        <w:t>26.</w:t>
      </w:r>
      <w:r w:rsidRPr="005853B7">
        <w:tab/>
        <w:t>poveruje svojho predsedu, aby postúpil toto uznesenie Rade a Komisii.</w:t>
      </w:r>
    </w:p>
    <w:sectPr w:rsidR="007A5B2F" w:rsidRPr="005853B7" w:rsidSect="00704B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336" w:rsidRPr="00704B4C" w:rsidRDefault="00D25336">
      <w:r w:rsidRPr="00704B4C">
        <w:separator/>
      </w:r>
    </w:p>
  </w:endnote>
  <w:endnote w:type="continuationSeparator" w:id="0">
    <w:p w:rsidR="00D25336" w:rsidRPr="00704B4C" w:rsidRDefault="00D25336">
      <w:r w:rsidRPr="00704B4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4C" w:rsidRPr="00704B4C" w:rsidRDefault="00704B4C">
    <w:pPr>
      <w:pStyle w:val="Footer"/>
      <w:rPr>
        <w:lang w:val="sk-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4C" w:rsidRPr="00704B4C" w:rsidRDefault="00704B4C">
    <w:pPr>
      <w:pStyle w:val="Footer"/>
      <w:rPr>
        <w:lang w:val="sk-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4C" w:rsidRPr="00704B4C" w:rsidRDefault="00704B4C">
    <w:pPr>
      <w:pStyle w:val="Footer"/>
      <w:rPr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336" w:rsidRPr="00704B4C" w:rsidRDefault="00D25336">
      <w:r w:rsidRPr="00704B4C">
        <w:separator/>
      </w:r>
    </w:p>
  </w:footnote>
  <w:footnote w:type="continuationSeparator" w:id="0">
    <w:p w:rsidR="00D25336" w:rsidRPr="00704B4C" w:rsidRDefault="00D25336">
      <w:r w:rsidRPr="00704B4C">
        <w:continuationSeparator/>
      </w:r>
    </w:p>
  </w:footnote>
  <w:footnote w:id="1">
    <w:p w:rsidR="007A5B2F" w:rsidRPr="00704B4C" w:rsidRDefault="007A5B2F" w:rsidP="00704B4C">
      <w:pPr>
        <w:pStyle w:val="FootnoteText"/>
        <w:ind w:left="567" w:hanging="567"/>
        <w:rPr>
          <w:sz w:val="24"/>
          <w:lang w:val="sk-SK"/>
        </w:rPr>
      </w:pPr>
      <w:r w:rsidRPr="00704B4C">
        <w:rPr>
          <w:rStyle w:val="FootnoteReference"/>
          <w:sz w:val="24"/>
          <w:lang w:val="sk-SK"/>
        </w:rPr>
        <w:footnoteRef/>
      </w:r>
      <w:r w:rsidR="00704B4C" w:rsidRPr="00704B4C">
        <w:rPr>
          <w:sz w:val="24"/>
          <w:lang w:val="sk-SK"/>
        </w:rPr>
        <w:t xml:space="preserve"> </w:t>
      </w:r>
      <w:r w:rsidR="00704B4C" w:rsidRPr="00704B4C">
        <w:rPr>
          <w:sz w:val="24"/>
          <w:lang w:val="sk-SK"/>
        </w:rPr>
        <w:tab/>
      </w:r>
      <w:r w:rsidRPr="00704B4C">
        <w:rPr>
          <w:sz w:val="24"/>
          <w:lang w:val="sk-SK"/>
        </w:rPr>
        <w:t>Ú. v. EÚ L 307, 28.10.2014, s. 1.</w:t>
      </w:r>
    </w:p>
  </w:footnote>
  <w:footnote w:id="2">
    <w:p w:rsidR="007A5B2F" w:rsidRPr="00704B4C" w:rsidRDefault="007A5B2F" w:rsidP="00704B4C">
      <w:pPr>
        <w:pStyle w:val="FootnoteText"/>
        <w:ind w:left="567" w:hanging="567"/>
        <w:rPr>
          <w:sz w:val="24"/>
          <w:lang w:val="sk-SK"/>
        </w:rPr>
      </w:pPr>
      <w:r w:rsidRPr="00704B4C">
        <w:rPr>
          <w:rStyle w:val="FootnoteReference"/>
          <w:sz w:val="24"/>
          <w:lang w:val="sk-SK"/>
        </w:rPr>
        <w:footnoteRef/>
      </w:r>
      <w:r w:rsidR="00704B4C" w:rsidRPr="00704B4C">
        <w:rPr>
          <w:sz w:val="24"/>
          <w:lang w:val="sk-SK"/>
        </w:rPr>
        <w:t xml:space="preserve"> </w:t>
      </w:r>
      <w:r w:rsidR="00704B4C" w:rsidRPr="00704B4C">
        <w:rPr>
          <w:sz w:val="24"/>
          <w:lang w:val="sk-SK"/>
        </w:rPr>
        <w:tab/>
      </w:r>
      <w:r w:rsidRPr="00704B4C">
        <w:rPr>
          <w:sz w:val="24"/>
          <w:lang w:val="sk-SK"/>
        </w:rPr>
        <w:t xml:space="preserve">Ú. v. EÚ L 120, 15.5.2009, s. </w:t>
      </w:r>
      <w:r w:rsidR="00A8375B">
        <w:rPr>
          <w:sz w:val="24"/>
          <w:lang w:val="sk-SK"/>
        </w:rPr>
        <w:t>5</w:t>
      </w:r>
      <w:r w:rsidRPr="00704B4C">
        <w:rPr>
          <w:sz w:val="24"/>
          <w:lang w:val="sk-SK"/>
        </w:rPr>
        <w:t>.</w:t>
      </w:r>
    </w:p>
  </w:footnote>
  <w:footnote w:id="3">
    <w:p w:rsidR="007A5B2F" w:rsidRPr="00704B4C" w:rsidRDefault="007A5B2F" w:rsidP="00704B4C">
      <w:pPr>
        <w:pStyle w:val="FootnoteText"/>
        <w:ind w:left="567" w:hanging="567"/>
        <w:rPr>
          <w:sz w:val="24"/>
          <w:lang w:val="sk-SK"/>
        </w:rPr>
      </w:pPr>
      <w:r w:rsidRPr="00704B4C">
        <w:rPr>
          <w:rStyle w:val="FootnoteReference"/>
          <w:sz w:val="24"/>
          <w:lang w:val="sk-SK"/>
        </w:rPr>
        <w:footnoteRef/>
      </w:r>
      <w:r w:rsidR="00704B4C" w:rsidRPr="00704B4C">
        <w:rPr>
          <w:sz w:val="24"/>
          <w:lang w:val="sk-SK"/>
        </w:rPr>
        <w:t xml:space="preserve"> </w:t>
      </w:r>
      <w:r w:rsidR="00704B4C" w:rsidRPr="00704B4C">
        <w:rPr>
          <w:sz w:val="24"/>
          <w:lang w:val="sk-SK"/>
        </w:rPr>
        <w:tab/>
      </w:r>
      <w:r w:rsidRPr="00704B4C">
        <w:rPr>
          <w:sz w:val="24"/>
          <w:lang w:val="sk-SK"/>
        </w:rPr>
        <w:t>Ú. v. EÚ L 307, 28.10.2014, s. 1.</w:t>
      </w:r>
    </w:p>
  </w:footnote>
  <w:footnote w:id="4">
    <w:p w:rsidR="00E754EA" w:rsidRPr="00114BA0" w:rsidRDefault="00E754EA" w:rsidP="00114BA0">
      <w:pPr>
        <w:pStyle w:val="FootnoteText"/>
        <w:ind w:left="567" w:hanging="567"/>
        <w:rPr>
          <w:lang w:val="sk-SK"/>
        </w:rPr>
      </w:pPr>
      <w:r>
        <w:rPr>
          <w:rStyle w:val="FootnoteReference"/>
        </w:rPr>
        <w:footnoteRef/>
      </w:r>
      <w:r w:rsidRPr="00CB37A3">
        <w:rPr>
          <w:lang w:val="es-ES"/>
        </w:rPr>
        <w:t xml:space="preserve"> </w:t>
      </w:r>
      <w:r>
        <w:rPr>
          <w:lang w:val="sk-SK"/>
        </w:rPr>
        <w:tab/>
      </w:r>
      <w:r w:rsidR="005102A1">
        <w:rPr>
          <w:sz w:val="24"/>
          <w:szCs w:val="24"/>
          <w:lang w:val="sk-SK"/>
        </w:rPr>
        <w:t>Ú. v. EÚ</w:t>
      </w:r>
      <w:r w:rsidRPr="00114BA0">
        <w:rPr>
          <w:sz w:val="24"/>
          <w:szCs w:val="24"/>
          <w:lang w:val="sk-SK"/>
        </w:rPr>
        <w:t xml:space="preserve"> L 23, 26.1.2005, s. 3.</w:t>
      </w:r>
    </w:p>
  </w:footnote>
  <w:footnote w:id="5">
    <w:p w:rsidR="005102A1" w:rsidRPr="00114BA0" w:rsidRDefault="005102A1" w:rsidP="00114BA0">
      <w:pPr>
        <w:pStyle w:val="FootnoteText"/>
        <w:ind w:left="567" w:hanging="567"/>
        <w:rPr>
          <w:lang w:val="sk-SK"/>
        </w:rPr>
      </w:pPr>
      <w:r>
        <w:rPr>
          <w:rStyle w:val="FootnoteReference"/>
        </w:rPr>
        <w:footnoteRef/>
      </w:r>
      <w:r w:rsidRPr="00114BA0">
        <w:rPr>
          <w:lang w:val="pt-PT"/>
        </w:rPr>
        <w:t xml:space="preserve"> </w:t>
      </w:r>
      <w:r>
        <w:rPr>
          <w:lang w:val="sk-SK"/>
        </w:rPr>
        <w:tab/>
      </w:r>
      <w:r>
        <w:rPr>
          <w:sz w:val="24"/>
          <w:lang w:val="sk-SK"/>
        </w:rPr>
        <w:t>Ú. v. EÚ L 152, 11.6.2008, s. 1.</w:t>
      </w:r>
    </w:p>
  </w:footnote>
  <w:footnote w:id="6">
    <w:p w:rsidR="007A5B2F" w:rsidRPr="00704B4C" w:rsidRDefault="007A5B2F" w:rsidP="00704B4C">
      <w:pPr>
        <w:pStyle w:val="FootnoteText"/>
        <w:ind w:left="567" w:hanging="567"/>
        <w:rPr>
          <w:sz w:val="24"/>
          <w:lang w:val="sk-SK"/>
        </w:rPr>
      </w:pPr>
      <w:r w:rsidRPr="00704B4C">
        <w:rPr>
          <w:rStyle w:val="FootnoteReference"/>
          <w:sz w:val="24"/>
          <w:lang w:val="sk-SK"/>
        </w:rPr>
        <w:footnoteRef/>
      </w:r>
      <w:r w:rsidR="00704B4C" w:rsidRPr="00704B4C">
        <w:rPr>
          <w:sz w:val="24"/>
          <w:lang w:val="sk-SK"/>
        </w:rPr>
        <w:t xml:space="preserve"> </w:t>
      </w:r>
      <w:r w:rsidR="00704B4C" w:rsidRPr="00704B4C">
        <w:rPr>
          <w:sz w:val="24"/>
          <w:lang w:val="sk-SK"/>
        </w:rPr>
        <w:tab/>
      </w:r>
      <w:r w:rsidRPr="00704B4C">
        <w:rPr>
          <w:sz w:val="24"/>
          <w:lang w:val="sk-SK"/>
        </w:rPr>
        <w:t>COM(2017)0652.</w:t>
      </w:r>
    </w:p>
  </w:footnote>
  <w:footnote w:id="7">
    <w:p w:rsidR="006246FB" w:rsidRPr="00114BA0" w:rsidRDefault="006246FB" w:rsidP="00114BA0">
      <w:pPr>
        <w:pStyle w:val="FootnoteText"/>
        <w:ind w:left="567" w:hanging="567"/>
        <w:rPr>
          <w:lang w:val="sk-SK"/>
        </w:rPr>
      </w:pPr>
      <w:r>
        <w:rPr>
          <w:rStyle w:val="FootnoteReference"/>
        </w:rPr>
        <w:footnoteRef/>
      </w:r>
      <w:r w:rsidRPr="00114BA0">
        <w:rPr>
          <w:lang w:val="pt-PT"/>
        </w:rPr>
        <w:t xml:space="preserve"> </w:t>
      </w:r>
      <w:r>
        <w:rPr>
          <w:lang w:val="sk-SK"/>
        </w:rPr>
        <w:tab/>
        <w:t>Ú. v. EÚ L 12, 18.1.2000, s. 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4C" w:rsidRPr="00704B4C" w:rsidRDefault="00704B4C">
    <w:pPr>
      <w:pStyle w:val="Header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4C" w:rsidRPr="00704B4C" w:rsidRDefault="00704B4C">
    <w:pPr>
      <w:pStyle w:val="Header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4C" w:rsidRPr="00704B4C" w:rsidRDefault="00704B4C">
    <w:pPr>
      <w:pStyle w:val="Header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297/2018"/>
    <w:docVar w:name="dvlangue" w:val="SK"/>
    <w:docVar w:name="dvnumam" w:val="0"/>
    <w:docVar w:name="dvpe" w:val="621.006"/>
    <w:docVar w:name="dvrapporteur" w:val="Spravodajca: "/>
    <w:docVar w:name="dvtitre" w:val="Uznesenie Európskeho parlamentu z xx. októbra 2018 o zavádzaní infraštruktúry pre alternatívne palivá v Európskej únii: čas konať!(2018/2023(INI))"/>
  </w:docVars>
  <w:rsids>
    <w:rsidRoot w:val="00D25336"/>
    <w:rsid w:val="00002272"/>
    <w:rsid w:val="000677B9"/>
    <w:rsid w:val="000E7DD9"/>
    <w:rsid w:val="0010095E"/>
    <w:rsid w:val="00114BA0"/>
    <w:rsid w:val="00125B37"/>
    <w:rsid w:val="002767FF"/>
    <w:rsid w:val="002B5493"/>
    <w:rsid w:val="00361C00"/>
    <w:rsid w:val="00395FA1"/>
    <w:rsid w:val="003E15D4"/>
    <w:rsid w:val="00406939"/>
    <w:rsid w:val="00411CCE"/>
    <w:rsid w:val="0041666E"/>
    <w:rsid w:val="00421060"/>
    <w:rsid w:val="00494A28"/>
    <w:rsid w:val="0050519A"/>
    <w:rsid w:val="005072A1"/>
    <w:rsid w:val="005102A1"/>
    <w:rsid w:val="00514517"/>
    <w:rsid w:val="00580606"/>
    <w:rsid w:val="005853B7"/>
    <w:rsid w:val="006037C0"/>
    <w:rsid w:val="006246FB"/>
    <w:rsid w:val="00680577"/>
    <w:rsid w:val="006F74FA"/>
    <w:rsid w:val="00704B4C"/>
    <w:rsid w:val="00731ADD"/>
    <w:rsid w:val="00734777"/>
    <w:rsid w:val="00751A4A"/>
    <w:rsid w:val="00756632"/>
    <w:rsid w:val="007A5B2F"/>
    <w:rsid w:val="007D1690"/>
    <w:rsid w:val="00830110"/>
    <w:rsid w:val="00865F67"/>
    <w:rsid w:val="00881A7B"/>
    <w:rsid w:val="008840E5"/>
    <w:rsid w:val="008C2AC6"/>
    <w:rsid w:val="008C6B4F"/>
    <w:rsid w:val="00933DC3"/>
    <w:rsid w:val="009509D8"/>
    <w:rsid w:val="00981893"/>
    <w:rsid w:val="00A4678D"/>
    <w:rsid w:val="00A71F20"/>
    <w:rsid w:val="00A8375B"/>
    <w:rsid w:val="00AF3B82"/>
    <w:rsid w:val="00B558F0"/>
    <w:rsid w:val="00BD518C"/>
    <w:rsid w:val="00BD7BD8"/>
    <w:rsid w:val="00C05BFE"/>
    <w:rsid w:val="00C23CD4"/>
    <w:rsid w:val="00C941CB"/>
    <w:rsid w:val="00CB37A3"/>
    <w:rsid w:val="00CC2357"/>
    <w:rsid w:val="00D04A37"/>
    <w:rsid w:val="00D058B8"/>
    <w:rsid w:val="00D25336"/>
    <w:rsid w:val="00D834A0"/>
    <w:rsid w:val="00D91E21"/>
    <w:rsid w:val="00E365E1"/>
    <w:rsid w:val="00E754EA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CAF96"/>
  <w15:chartTrackingRefBased/>
  <w15:docId w15:val="{9744F6C4-3B87-4A44-853A-3DACB917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sk-SK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link w:val="Normal12HangingChar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Normal12HangingChar">
    <w:name w:val="Normal12Hanging Char"/>
    <w:link w:val="Normal12Hanging"/>
    <w:rsid w:val="007A5B2F"/>
    <w:rPr>
      <w:sz w:val="24"/>
      <w:lang w:val="sk-SK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SupBoldItalic">
    <w:name w:val="SupBoldItalic"/>
    <w:rsid w:val="007A5B2F"/>
    <w:rPr>
      <w:b/>
      <w:i/>
      <w:color w:val="00000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SK/TXT/?uri=CELEX:52017PC0676R(01)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3C165-A23E-4A72-8F4A-ED1A2517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3279</Words>
  <Characters>20765</Characters>
  <Application>Microsoft Office Word</Application>
  <DocSecurity>0</DocSecurity>
  <Lines>173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SUCHANOVA Monika</dc:creator>
  <cp:keywords/>
  <cp:lastModifiedBy>SUCHANOVA Monika</cp:lastModifiedBy>
  <cp:revision>2</cp:revision>
  <cp:lastPrinted>2004-11-19T15:42:00Z</cp:lastPrinted>
  <dcterms:created xsi:type="dcterms:W3CDTF">2019-10-14T14:29:00Z</dcterms:created>
  <dcterms:modified xsi:type="dcterms:W3CDTF">2019-10-14T14:29:00Z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SK</vt:lpwstr>
  </property>
  <property fmtid="{D5CDD505-2E9C-101B-9397-08002B2CF9AE}" pid="3" name="&lt;FdR&gt;">
    <vt:lpwstr>P8_TA-PROV(2018)0438_A8-0297_2018_</vt:lpwstr>
  </property>
  <property fmtid="{D5CDD505-2E9C-101B-9397-08002B2CF9AE}" pid="4" name="&lt;Type&gt;">
    <vt:lpwstr>RR</vt:lpwstr>
  </property>
</Properties>
</file>