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5D762A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5D762A" w:rsidRDefault="00212EF7" w:rsidP="0010095E">
            <w:pPr>
              <w:pStyle w:val="EPName"/>
              <w:rPr>
                <w:lang w:val="hu-HU"/>
              </w:rPr>
            </w:pPr>
            <w:r w:rsidRPr="005D762A">
              <w:rPr>
                <w:lang w:val="hu-HU"/>
              </w:rPr>
              <w:t>Európai Parlament</w:t>
            </w:r>
          </w:p>
          <w:p w:rsidR="00751A4A" w:rsidRPr="005D762A" w:rsidRDefault="00756632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hu-HU"/>
              </w:rPr>
            </w:pPr>
            <w:r w:rsidRPr="005D762A">
              <w:rPr>
                <w:lang w:val="hu-HU"/>
              </w:rPr>
              <w:t>2014</w:t>
            </w:r>
            <w:r w:rsidR="00C941CB" w:rsidRPr="005D762A">
              <w:rPr>
                <w:lang w:val="hu-HU"/>
              </w:rPr>
              <w:t>-2019</w:t>
            </w:r>
          </w:p>
        </w:tc>
        <w:tc>
          <w:tcPr>
            <w:tcW w:w="2268" w:type="dxa"/>
            <w:shd w:val="clear" w:color="auto" w:fill="auto"/>
          </w:tcPr>
          <w:p w:rsidR="00751A4A" w:rsidRPr="005D762A" w:rsidRDefault="00C8132C" w:rsidP="0010095E">
            <w:pPr>
              <w:pStyle w:val="EPLogo"/>
            </w:pPr>
            <w:r w:rsidRPr="005D762A">
              <w:rPr>
                <w:noProof/>
                <w:lang w:val="en-GB"/>
              </w:rPr>
              <w:drawing>
                <wp:inline distT="0" distB="0" distL="0" distR="0">
                  <wp:extent cx="1165860" cy="647700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8B8" w:rsidRPr="005D762A" w:rsidRDefault="00D058B8" w:rsidP="00D058B8">
      <w:pPr>
        <w:pStyle w:val="LineTop"/>
        <w:rPr>
          <w:lang w:val="hu-HU"/>
        </w:rPr>
      </w:pPr>
    </w:p>
    <w:p w:rsidR="00680577" w:rsidRPr="005D762A" w:rsidRDefault="00212EF7" w:rsidP="00680577">
      <w:pPr>
        <w:pStyle w:val="ZSessionDoc"/>
        <w:rPr>
          <w:b/>
          <w:i w:val="0"/>
        </w:rPr>
      </w:pPr>
      <w:r w:rsidRPr="005D762A">
        <w:rPr>
          <w:b/>
          <w:i w:val="0"/>
        </w:rPr>
        <w:t>ELFOGADOTT SZÖVEGEK</w:t>
      </w:r>
    </w:p>
    <w:p w:rsidR="00D058B8" w:rsidRPr="005D762A" w:rsidRDefault="00D058B8" w:rsidP="00D058B8">
      <w:pPr>
        <w:pStyle w:val="LineBottom"/>
      </w:pPr>
    </w:p>
    <w:p w:rsidR="00212EF7" w:rsidRPr="005D762A" w:rsidRDefault="0036698B" w:rsidP="00212EF7">
      <w:pPr>
        <w:pStyle w:val="ATHeading1"/>
        <w:rPr>
          <w:noProof w:val="0"/>
          <w:lang w:val="hu-HU"/>
        </w:rPr>
      </w:pPr>
      <w:bookmarkStart w:id="0" w:name="TANumber"/>
      <w:r>
        <w:rPr>
          <w:noProof w:val="0"/>
          <w:lang w:val="hu-HU"/>
        </w:rPr>
        <w:t>P8_TA</w:t>
      </w:r>
      <w:bookmarkStart w:id="1" w:name="_GoBack"/>
      <w:bookmarkEnd w:id="1"/>
      <w:r w:rsidR="00212EF7" w:rsidRPr="005D762A">
        <w:rPr>
          <w:noProof w:val="0"/>
          <w:lang w:val="hu-HU"/>
        </w:rPr>
        <w:t>(2018)0</w:t>
      </w:r>
      <w:r w:rsidR="005D762A" w:rsidRPr="005D762A">
        <w:rPr>
          <w:noProof w:val="0"/>
          <w:lang w:val="hu-HU"/>
        </w:rPr>
        <w:t>496</w:t>
      </w:r>
      <w:bookmarkEnd w:id="0"/>
    </w:p>
    <w:p w:rsidR="00212EF7" w:rsidRPr="005D762A" w:rsidRDefault="00C8132C" w:rsidP="00212EF7">
      <w:pPr>
        <w:pStyle w:val="ATHeading2"/>
        <w:rPr>
          <w:noProof w:val="0"/>
          <w:lang w:val="hu-HU"/>
        </w:rPr>
      </w:pPr>
      <w:bookmarkStart w:id="2" w:name="52"/>
      <w:bookmarkStart w:id="3" w:name="title"/>
      <w:bookmarkEnd w:id="2"/>
      <w:r w:rsidRPr="005D762A">
        <w:rPr>
          <w:bCs/>
          <w:noProof w:val="0"/>
          <w:lang w:val="hu-HU"/>
        </w:rPr>
        <w:t>Közös hozzáadottértékadó-rendszer az általános fordított adózási mechanizmusnak termékek és szolgáltatások egy bizonyos határértéket meghaladó értékesítésére vonatkozó ideiglenes alkalmazása tekintetében</w:t>
      </w:r>
      <w:bookmarkEnd w:id="3"/>
      <w:r w:rsidR="00212EF7" w:rsidRPr="005D762A">
        <w:rPr>
          <w:noProof w:val="0"/>
          <w:lang w:val="hu-HU"/>
        </w:rPr>
        <w:t xml:space="preserve"> </w:t>
      </w:r>
      <w:bookmarkStart w:id="4" w:name="Etoiles"/>
      <w:r w:rsidR="00212EF7" w:rsidRPr="005D762A">
        <w:rPr>
          <w:noProof w:val="0"/>
          <w:lang w:val="hu-HU"/>
        </w:rPr>
        <w:t>*</w:t>
      </w:r>
      <w:bookmarkEnd w:id="4"/>
    </w:p>
    <w:p w:rsidR="00212EF7" w:rsidRPr="005D762A" w:rsidRDefault="00212EF7" w:rsidP="00212EF7">
      <w:pPr>
        <w:rPr>
          <w:i/>
          <w:vanish/>
        </w:rPr>
      </w:pPr>
      <w:r w:rsidRPr="005D762A">
        <w:rPr>
          <w:i/>
        </w:rPr>
        <w:fldChar w:fldCharType="begin"/>
      </w:r>
      <w:r w:rsidRPr="005D762A">
        <w:rPr>
          <w:i/>
        </w:rPr>
        <w:instrText xml:space="preserve"> TC"(</w:instrText>
      </w:r>
      <w:bookmarkStart w:id="5" w:name="DocNumber"/>
      <w:r w:rsidRPr="005D762A">
        <w:rPr>
          <w:i/>
        </w:rPr>
        <w:instrText>A8-0418/2018</w:instrText>
      </w:r>
      <w:bookmarkEnd w:id="5"/>
      <w:r w:rsidRPr="005D762A">
        <w:rPr>
          <w:i/>
        </w:rPr>
        <w:instrText xml:space="preserve"> - Előadó: Gabriel Mato)"\l3 \n&gt; \* MERGEFORMAT </w:instrText>
      </w:r>
      <w:r w:rsidRPr="005D762A">
        <w:rPr>
          <w:i/>
        </w:rPr>
        <w:fldChar w:fldCharType="end"/>
      </w:r>
    </w:p>
    <w:p w:rsidR="00212EF7" w:rsidRPr="005D762A" w:rsidRDefault="00212EF7" w:rsidP="00212EF7">
      <w:pPr>
        <w:rPr>
          <w:vanish/>
        </w:rPr>
      </w:pPr>
      <w:bookmarkStart w:id="6" w:name="Commission"/>
      <w:r w:rsidRPr="005D762A">
        <w:rPr>
          <w:vanish/>
        </w:rPr>
        <w:t>Gazdasági és Monetáris Bizottság</w:t>
      </w:r>
      <w:bookmarkEnd w:id="6"/>
    </w:p>
    <w:p w:rsidR="00212EF7" w:rsidRPr="005D762A" w:rsidRDefault="00212EF7" w:rsidP="00212EF7">
      <w:pPr>
        <w:rPr>
          <w:vanish/>
        </w:rPr>
      </w:pPr>
      <w:bookmarkStart w:id="7" w:name="PE"/>
      <w:r w:rsidRPr="005D762A">
        <w:rPr>
          <w:vanish/>
        </w:rPr>
        <w:t>PE604.776</w:t>
      </w:r>
      <w:bookmarkEnd w:id="7"/>
    </w:p>
    <w:p w:rsidR="00212EF7" w:rsidRPr="005D762A" w:rsidRDefault="00212EF7" w:rsidP="00212EF7">
      <w:pPr>
        <w:pStyle w:val="ATHeading3"/>
        <w:rPr>
          <w:noProof w:val="0"/>
          <w:lang w:val="hu-HU"/>
        </w:rPr>
      </w:pPr>
      <w:bookmarkStart w:id="8" w:name="Sujet"/>
      <w:r w:rsidRPr="005D762A">
        <w:rPr>
          <w:noProof w:val="0"/>
          <w:lang w:val="hu-HU"/>
        </w:rPr>
        <w:t xml:space="preserve">Az Európai Parlament 2018. </w:t>
      </w:r>
      <w:r w:rsidR="00C8132C" w:rsidRPr="005D762A">
        <w:rPr>
          <w:noProof w:val="0"/>
          <w:lang w:val="hu-HU"/>
        </w:rPr>
        <w:t>december 11-i</w:t>
      </w:r>
      <w:r w:rsidRPr="005D762A">
        <w:rPr>
          <w:noProof w:val="0"/>
          <w:lang w:val="hu-HU"/>
        </w:rPr>
        <w:t xml:space="preserve"> jogalkotási állásfoglalása a közös hozzáadottértékadó-rendszerről szóló 2006/112/EK irányelvnek az általános fordított adózási mechanizmusnak termékek és szolgáltatások egy bizonyos határértéket meghaladó értékesítésére vonatkozó ideiglenes alkalmazása tekintetében történő módosításáról szóló tanácsi irányelvre irányuló javaslatról</w:t>
      </w:r>
      <w:bookmarkEnd w:id="8"/>
      <w:r w:rsidRPr="005D762A">
        <w:rPr>
          <w:noProof w:val="0"/>
          <w:lang w:val="hu-HU"/>
        </w:rPr>
        <w:t xml:space="preserve"> </w:t>
      </w:r>
      <w:bookmarkStart w:id="9" w:name="References"/>
      <w:r w:rsidRPr="005D762A">
        <w:rPr>
          <w:noProof w:val="0"/>
          <w:lang w:val="hu-HU"/>
        </w:rPr>
        <w:t>(</w:t>
      </w:r>
      <w:proofErr w:type="gramStart"/>
      <w:r w:rsidRPr="005D762A">
        <w:rPr>
          <w:noProof w:val="0"/>
          <w:lang w:val="hu-HU"/>
        </w:rPr>
        <w:t>COM(</w:t>
      </w:r>
      <w:proofErr w:type="gramEnd"/>
      <w:r w:rsidRPr="005D762A">
        <w:rPr>
          <w:noProof w:val="0"/>
          <w:lang w:val="hu-HU"/>
        </w:rPr>
        <w:t>2016)0811 – C8-0023/2017 – 2016/0406(CNS))</w:t>
      </w:r>
      <w:bookmarkEnd w:id="9"/>
    </w:p>
    <w:p w:rsidR="00212EF7" w:rsidRPr="005D762A" w:rsidRDefault="00212EF7" w:rsidP="00212EF7"/>
    <w:p w:rsidR="00284DE5" w:rsidRPr="005D762A" w:rsidRDefault="00284DE5" w:rsidP="00284DE5">
      <w:pPr>
        <w:pStyle w:val="Normal12Bold"/>
      </w:pPr>
      <w:bookmarkStart w:id="10" w:name="TextBodyBegin"/>
      <w:bookmarkEnd w:id="10"/>
      <w:r w:rsidRPr="005D762A">
        <w:t xml:space="preserve">(Különleges jogalkotási eljárás– </w:t>
      </w:r>
      <w:proofErr w:type="gramStart"/>
      <w:r w:rsidRPr="005D762A">
        <w:t>konzultáció</w:t>
      </w:r>
      <w:proofErr w:type="gramEnd"/>
      <w:r w:rsidRPr="005D762A">
        <w:t>)</w:t>
      </w:r>
    </w:p>
    <w:p w:rsidR="00284DE5" w:rsidRPr="005D762A" w:rsidRDefault="00284DE5" w:rsidP="005D762A">
      <w:pPr>
        <w:pStyle w:val="Normal12"/>
        <w:spacing w:before="360"/>
      </w:pPr>
      <w:r w:rsidRPr="005D762A">
        <w:rPr>
          <w:i/>
        </w:rPr>
        <w:t>Az Európai Parlament</w:t>
      </w:r>
      <w:r w:rsidRPr="005D762A">
        <w:t>,</w:t>
      </w:r>
    </w:p>
    <w:p w:rsidR="00284DE5" w:rsidRPr="005D762A" w:rsidRDefault="00284DE5" w:rsidP="00C8132C">
      <w:pPr>
        <w:pStyle w:val="Normal12Hanging"/>
        <w:widowControl/>
      </w:pPr>
      <w:r w:rsidRPr="005D762A">
        <w:t>–</w:t>
      </w:r>
      <w:r w:rsidRPr="005D762A">
        <w:tab/>
        <w:t>tekintettel a Bizottság Tanácshoz intézett javaslatára (</w:t>
      </w:r>
      <w:proofErr w:type="gramStart"/>
      <w:r w:rsidRPr="005D762A">
        <w:t>COM(</w:t>
      </w:r>
      <w:proofErr w:type="gramEnd"/>
      <w:r w:rsidRPr="005D762A">
        <w:t>2016)0811),</w:t>
      </w:r>
    </w:p>
    <w:p w:rsidR="00284DE5" w:rsidRPr="005D762A" w:rsidRDefault="00284DE5" w:rsidP="00C8132C">
      <w:pPr>
        <w:pStyle w:val="Normal12Hanging"/>
        <w:widowControl/>
      </w:pPr>
      <w:r w:rsidRPr="005D762A">
        <w:t>–</w:t>
      </w:r>
      <w:r w:rsidRPr="005D762A">
        <w:tab/>
        <w:t xml:space="preserve">tekintettel az Európai Unió működéséről szóló szerződés 113. cikkére, amelynek megfelelően a Tanács </w:t>
      </w:r>
      <w:proofErr w:type="gramStart"/>
      <w:r w:rsidRPr="005D762A">
        <w:t>konzultált</w:t>
      </w:r>
      <w:proofErr w:type="gramEnd"/>
      <w:r w:rsidRPr="005D762A">
        <w:t xml:space="preserve"> a Parlamenttel (C8-0023/2017),</w:t>
      </w:r>
    </w:p>
    <w:p w:rsidR="00284DE5" w:rsidRPr="005D762A" w:rsidRDefault="00284DE5" w:rsidP="00C8132C">
      <w:pPr>
        <w:pStyle w:val="Normal12Hanging"/>
        <w:widowControl/>
      </w:pPr>
      <w:r w:rsidRPr="005D762A">
        <w:t>–</w:t>
      </w:r>
      <w:r w:rsidRPr="005D762A">
        <w:tab/>
        <w:t>tekintettel eljárási szabályzata 78c. cikkére,</w:t>
      </w:r>
    </w:p>
    <w:p w:rsidR="00284DE5" w:rsidRPr="005D762A" w:rsidRDefault="00284DE5" w:rsidP="00C8132C">
      <w:pPr>
        <w:pStyle w:val="Normal12Hanging"/>
        <w:widowControl/>
      </w:pPr>
      <w:r w:rsidRPr="005D762A">
        <w:t>–</w:t>
      </w:r>
      <w:r w:rsidRPr="005D762A">
        <w:tab/>
        <w:t>tekintettel a Gazdasági és Monetáris Bizottság jelentésére (A8-0418/2018),</w:t>
      </w:r>
    </w:p>
    <w:p w:rsidR="00284DE5" w:rsidRPr="005D762A" w:rsidRDefault="00284DE5" w:rsidP="00C8132C">
      <w:pPr>
        <w:pStyle w:val="Normal12Hanging"/>
        <w:widowControl/>
      </w:pPr>
      <w:r w:rsidRPr="005D762A">
        <w:t>1.</w:t>
      </w:r>
      <w:r w:rsidRPr="005D762A">
        <w:tab/>
        <w:t>jóváhagyja a Bizottság javaslatát annak módosított formájában;</w:t>
      </w:r>
    </w:p>
    <w:p w:rsidR="00284DE5" w:rsidRPr="005D762A" w:rsidRDefault="00284DE5" w:rsidP="00C8132C">
      <w:pPr>
        <w:pStyle w:val="Normal12Hanging"/>
        <w:widowControl/>
      </w:pPr>
      <w:r w:rsidRPr="005D762A">
        <w:t>2.</w:t>
      </w:r>
      <w:r w:rsidRPr="005D762A">
        <w:tab/>
        <w:t xml:space="preserve">felkéri a Bizottságot, hogy </w:t>
      </w:r>
      <w:r w:rsidR="005A3196" w:rsidRPr="005D762A">
        <w:t xml:space="preserve">ennek megfelelően módosítsa javaslatát </w:t>
      </w:r>
      <w:r w:rsidRPr="005D762A">
        <w:t>az Európai Unió működéséről szóló szerződés 293. cikke (2) bekezdésé</w:t>
      </w:r>
      <w:r w:rsidR="005A3196" w:rsidRPr="005D762A">
        <w:t>nek megfelelően</w:t>
      </w:r>
      <w:r w:rsidRPr="005D762A">
        <w:t>;</w:t>
      </w:r>
    </w:p>
    <w:p w:rsidR="00284DE5" w:rsidRPr="005D762A" w:rsidRDefault="00284DE5" w:rsidP="00C8132C">
      <w:pPr>
        <w:pStyle w:val="Normal12Hanging"/>
        <w:widowControl/>
      </w:pPr>
      <w:r w:rsidRPr="005D762A">
        <w:t>3.</w:t>
      </w:r>
      <w:r w:rsidRPr="005D762A">
        <w:tab/>
        <w:t>felkéri a Tanácsot, hogy tájékoztassa a Parlamentet arról, ha a Parlament által jóváhagyott szövegtől el kíván térni;</w:t>
      </w:r>
    </w:p>
    <w:p w:rsidR="00284DE5" w:rsidRPr="005D762A" w:rsidRDefault="00284DE5" w:rsidP="00C8132C">
      <w:pPr>
        <w:pStyle w:val="Normal12Hanging"/>
        <w:widowControl/>
      </w:pPr>
      <w:r w:rsidRPr="005D762A">
        <w:t>4.</w:t>
      </w:r>
      <w:r w:rsidRPr="005D762A">
        <w:tab/>
        <w:t xml:space="preserve">felkéri a Tanácsot a Parlamenttel való újbóli </w:t>
      </w:r>
      <w:proofErr w:type="gramStart"/>
      <w:r w:rsidRPr="005D762A">
        <w:t>konzultációra</w:t>
      </w:r>
      <w:proofErr w:type="gramEnd"/>
      <w:r w:rsidRPr="005D762A">
        <w:t>, ha lényegesen módosítani kívánja a Bizottság javaslatát;</w:t>
      </w:r>
    </w:p>
    <w:p w:rsidR="00284DE5" w:rsidRPr="005D762A" w:rsidRDefault="00284DE5" w:rsidP="00C8132C">
      <w:pPr>
        <w:pStyle w:val="Normal12Hanging"/>
        <w:widowControl/>
      </w:pPr>
      <w:r w:rsidRPr="005D762A">
        <w:t>5.</w:t>
      </w:r>
      <w:r w:rsidRPr="005D762A">
        <w:tab/>
        <w:t>utasítja elnökét, hogy továbbítsa a Parlament álláspontját a Tanácsnak, a Bizottságnak valamint a nemzeti parlamenteknek.</w:t>
      </w:r>
    </w:p>
    <w:p w:rsidR="005D762A" w:rsidRPr="005D762A" w:rsidRDefault="005D762A">
      <w:pPr>
        <w:widowControl/>
        <w:rPr>
          <w:b/>
        </w:rPr>
      </w:pPr>
      <w:r w:rsidRPr="005D762A">
        <w:lastRenderedPageBreak/>
        <w:br w:type="page"/>
      </w:r>
    </w:p>
    <w:p w:rsidR="00284DE5" w:rsidRPr="005D762A" w:rsidRDefault="00284DE5" w:rsidP="00284DE5">
      <w:pPr>
        <w:pStyle w:val="AMNumberTabs"/>
        <w:keepNext/>
      </w:pPr>
      <w:r w:rsidRPr="005D762A">
        <w:lastRenderedPageBreak/>
        <w:t>Módosítás</w:t>
      </w:r>
      <w:r w:rsidRPr="005D762A">
        <w:tab/>
      </w:r>
      <w:r w:rsidRPr="005D762A">
        <w:tab/>
        <w:t>1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4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(4)</w:t>
            </w:r>
            <w:r w:rsidRPr="005D762A">
              <w:tab/>
              <w:t xml:space="preserve">A csalások tagállamok közötti átterelődésével kapcsolatos kockázat korlátozásának érdekében indokolt engedélyezni, hogy minden, a csalások szintje – különösen a körhintacsalások – tekintetében bizonyos </w:t>
            </w:r>
            <w:proofErr w:type="gramStart"/>
            <w:r w:rsidRPr="005D762A">
              <w:t>kritériumoknak</w:t>
            </w:r>
            <w:proofErr w:type="gramEnd"/>
            <w:r w:rsidRPr="005D762A">
              <w:t xml:space="preserve"> megfelelő tagállam, amelyik igazolni tudja, hogy más ellenőrzési intézkedések nem elegendőek az ilyen csalások elleni küzdelemhez, alkalmazhassa a </w:t>
            </w:r>
            <w:r w:rsidRPr="005D762A">
              <w:rPr>
                <w:b/>
                <w:i/>
              </w:rPr>
              <w:t>GRCM-et</w:t>
            </w:r>
            <w:r w:rsidRPr="005D762A">
              <w:t>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(4)</w:t>
            </w:r>
            <w:r w:rsidRPr="005D762A">
              <w:tab/>
              <w:t xml:space="preserve">A csalások tagállamok közötti átterelődésével kapcsolatos kockázat korlátozásának érdekében indokolt engedélyezni, hogy minden, a csalások szintje – különösen a körhintacsalások – tekintetében bizonyos </w:t>
            </w:r>
            <w:proofErr w:type="gramStart"/>
            <w:r w:rsidRPr="005D762A">
              <w:t>kritériumoknak</w:t>
            </w:r>
            <w:proofErr w:type="gramEnd"/>
            <w:r w:rsidRPr="005D762A">
              <w:t xml:space="preserve"> megfelelő tagállam, amelyik igazolni tudja, hogy más ellenőrzési intézkedések nem elegendőek az ilyen csalások elleni küzdelemhez, alkalmazhassa </w:t>
            </w:r>
            <w:r w:rsidRPr="005D762A">
              <w:rPr>
                <w:b/>
                <w:i/>
              </w:rPr>
              <w:t>az ÁFAM-</w:t>
            </w:r>
            <w:proofErr w:type="spellStart"/>
            <w:r w:rsidRPr="005D762A">
              <w:rPr>
                <w:b/>
                <w:i/>
              </w:rPr>
              <w:t>ot</w:t>
            </w:r>
            <w:proofErr w:type="spellEnd"/>
            <w:r w:rsidRPr="005D762A">
              <w:rPr>
                <w:b/>
                <w:i/>
              </w:rPr>
              <w:t>.</w:t>
            </w:r>
            <w:r w:rsidRPr="005D762A">
              <w:t xml:space="preserve"> </w:t>
            </w:r>
            <w:r w:rsidRPr="005D762A">
              <w:rPr>
                <w:b/>
                <w:i/>
              </w:rPr>
              <w:t xml:space="preserve">Ezen tagállamokat továbbá fel kell kérni annak kimutatására, hogy az adózási fegyelemnek és az adóbehajtásnak az ÁFAM bevezetése nyomán várható javulásából fakadó becsült előnyök meghaladják a vállalkozásokra és az adóhatóságokra háruló teljes </w:t>
            </w:r>
            <w:proofErr w:type="spellStart"/>
            <w:r w:rsidRPr="005D762A">
              <w:rPr>
                <w:b/>
                <w:i/>
              </w:rPr>
              <w:t>többletterhet</w:t>
            </w:r>
            <w:proofErr w:type="spellEnd"/>
            <w:r w:rsidRPr="005D762A">
              <w:rPr>
                <w:b/>
                <w:i/>
              </w:rPr>
              <w:t>, valamint a vállalkozások és az adóhatóságok számára nem keletkeznek nagyobb költségek, mint amilyenek más ellenőrző intézkedések alkalmazása nyomán keletkeznének.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2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5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(5)</w:t>
            </w:r>
            <w:r w:rsidRPr="005D762A">
              <w:rPr>
                <w:b/>
                <w:i/>
              </w:rPr>
              <w:tab/>
              <w:t>Ezen felül azon szomszédos tagállamok számára, amelyek esetében az említett mechanizmusnak valamely másik tagállamban történő engedélyezése miatt fennáll a csalások területére történő átterelődésének kockázata, lehetővé kell tenni a GRCM használatát, ha más ellenőrző intézkedések nem elégségesek az ilyen csalás kockázatának leküzdéséhez.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törölve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lastRenderedPageBreak/>
        <w:t>Módosítás</w:t>
      </w:r>
      <w:r w:rsidRPr="005D762A">
        <w:tab/>
      </w:r>
      <w:r w:rsidRPr="005D762A">
        <w:tab/>
        <w:t>3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6 preambulumbekezdés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(6)</w:t>
            </w:r>
            <w:r w:rsidRPr="005D762A">
              <w:tab/>
              <w:t xml:space="preserve">Ha </w:t>
            </w:r>
            <w:r w:rsidRPr="005D762A">
              <w:rPr>
                <w:b/>
                <w:i/>
              </w:rPr>
              <w:t>egy</w:t>
            </w:r>
            <w:r w:rsidRPr="005D762A">
              <w:t xml:space="preserve"> tagállamok </w:t>
            </w:r>
            <w:r w:rsidRPr="005D762A">
              <w:rPr>
                <w:b/>
                <w:i/>
              </w:rPr>
              <w:t>a GRCM</w:t>
            </w:r>
            <w:r w:rsidRPr="005D762A">
              <w:t xml:space="preserve"> alkalmazása mellett </w:t>
            </w:r>
            <w:r w:rsidRPr="005D762A">
              <w:rPr>
                <w:b/>
                <w:i/>
              </w:rPr>
              <w:t>dönt</w:t>
            </w:r>
            <w:r w:rsidRPr="005D762A">
              <w:t xml:space="preserve">, akkor azt egy bizonyos </w:t>
            </w:r>
            <w:proofErr w:type="spellStart"/>
            <w:r w:rsidRPr="005D762A">
              <w:rPr>
                <w:b/>
                <w:i/>
              </w:rPr>
              <w:t>számlánkénti</w:t>
            </w:r>
            <w:proofErr w:type="spellEnd"/>
            <w:r w:rsidRPr="005D762A">
              <w:t xml:space="preserve"> küszöbértéket meghaladó minden </w:t>
            </w:r>
            <w:r w:rsidRPr="005D762A">
              <w:rPr>
                <w:b/>
                <w:i/>
              </w:rPr>
              <w:t>áru és szolgáltatás tekintetében alkalmaznia</w:t>
            </w:r>
            <w:r w:rsidRPr="005D762A">
              <w:t xml:space="preserve"> kell. A GRCM nem korlátozható valamely </w:t>
            </w:r>
            <w:proofErr w:type="gramStart"/>
            <w:r w:rsidRPr="005D762A">
              <w:t>konkrét</w:t>
            </w:r>
            <w:proofErr w:type="gramEnd"/>
            <w:r w:rsidRPr="005D762A">
              <w:t xml:space="preserve"> ágazatra.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(6)</w:t>
            </w:r>
            <w:r w:rsidRPr="005D762A">
              <w:tab/>
              <w:t xml:space="preserve">Ha </w:t>
            </w:r>
            <w:r w:rsidRPr="005D762A">
              <w:rPr>
                <w:b/>
                <w:i/>
              </w:rPr>
              <w:t>a</w:t>
            </w:r>
            <w:r w:rsidRPr="005D762A">
              <w:t xml:space="preserve"> tagállamok </w:t>
            </w:r>
            <w:r w:rsidRPr="005D762A">
              <w:rPr>
                <w:b/>
                <w:i/>
              </w:rPr>
              <w:t>az ÁFAM</w:t>
            </w:r>
            <w:r w:rsidRPr="005D762A">
              <w:t xml:space="preserve"> alkalmazása mellett </w:t>
            </w:r>
            <w:r w:rsidRPr="005D762A">
              <w:rPr>
                <w:b/>
                <w:i/>
              </w:rPr>
              <w:t>döntenek</w:t>
            </w:r>
            <w:r w:rsidRPr="005D762A">
              <w:t xml:space="preserve">, akkor azt </w:t>
            </w:r>
            <w:r w:rsidRPr="005D762A">
              <w:rPr>
                <w:b/>
                <w:i/>
              </w:rPr>
              <w:t xml:space="preserve">az </w:t>
            </w:r>
            <w:r w:rsidRPr="005D762A">
              <w:t xml:space="preserve">egy bizonyos </w:t>
            </w:r>
            <w:proofErr w:type="spellStart"/>
            <w:r w:rsidRPr="005D762A">
              <w:rPr>
                <w:b/>
                <w:i/>
              </w:rPr>
              <w:t>ügyletenkénti</w:t>
            </w:r>
            <w:proofErr w:type="spellEnd"/>
            <w:r w:rsidRPr="005D762A">
              <w:t xml:space="preserve"> küszöbértéket meghaladó </w:t>
            </w:r>
            <w:r w:rsidRPr="005D762A">
              <w:rPr>
                <w:b/>
                <w:i/>
              </w:rPr>
              <w:t xml:space="preserve">áruk, illetve szolgáltatások tekintetében </w:t>
            </w:r>
            <w:r w:rsidRPr="005D762A">
              <w:t xml:space="preserve">minden </w:t>
            </w:r>
            <w:r w:rsidRPr="005D762A">
              <w:rPr>
                <w:b/>
                <w:i/>
              </w:rPr>
              <w:t>belföldi vásárlás, illetve igénybevétel esetében alkalmazniuk</w:t>
            </w:r>
            <w:r w:rsidRPr="005D762A">
              <w:t xml:space="preserve"> kell. A GRCM nem korlátozható valamely </w:t>
            </w:r>
            <w:proofErr w:type="gramStart"/>
            <w:r w:rsidRPr="005D762A">
              <w:t>konkrét</w:t>
            </w:r>
            <w:proofErr w:type="gramEnd"/>
            <w:r w:rsidRPr="005D762A">
              <w:t xml:space="preserve"> ágazatra.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4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7 a preambulumbekezdés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(7a)</w:t>
            </w:r>
            <w:r w:rsidRPr="005D762A">
              <w:rPr>
                <w:b/>
                <w:i/>
              </w:rPr>
              <w:tab/>
              <w:t xml:space="preserve">Annak érdekében, hogy meg lehessen ítélni, hogy az ÁFAM egyik tagállamban való bevezetése azt eredményezi, hogy a csalás más tagállamokba </w:t>
            </w:r>
            <w:proofErr w:type="spellStart"/>
            <w:r w:rsidRPr="005D762A">
              <w:rPr>
                <w:b/>
                <w:i/>
              </w:rPr>
              <w:t>helyeződik</w:t>
            </w:r>
            <w:proofErr w:type="spellEnd"/>
            <w:r w:rsidRPr="005D762A">
              <w:rPr>
                <w:b/>
                <w:i/>
              </w:rPr>
              <w:t xml:space="preserve"> át, és fel lehessen mérni a belső piac működésében esetlegesen bekövetkező zavarok mértékét, célszerű külön </w:t>
            </w:r>
            <w:proofErr w:type="gramStart"/>
            <w:r w:rsidRPr="005D762A">
              <w:rPr>
                <w:b/>
                <w:i/>
              </w:rPr>
              <w:t>információ</w:t>
            </w:r>
            <w:proofErr w:type="gramEnd"/>
            <w:r w:rsidRPr="005D762A">
              <w:rPr>
                <w:b/>
                <w:i/>
              </w:rPr>
              <w:t>csere-kötelezettséget előírni az ÁFAM-</w:t>
            </w:r>
            <w:proofErr w:type="spellStart"/>
            <w:r w:rsidRPr="005D762A">
              <w:rPr>
                <w:b/>
                <w:i/>
              </w:rPr>
              <w:t>ot</w:t>
            </w:r>
            <w:proofErr w:type="spellEnd"/>
            <w:r w:rsidRPr="005D762A">
              <w:rPr>
                <w:b/>
                <w:i/>
              </w:rPr>
              <w:t xml:space="preserve"> alkalmazó tagállamok és a többi tagállam között. Az említett </w:t>
            </w:r>
            <w:proofErr w:type="gramStart"/>
            <w:r w:rsidRPr="005D762A">
              <w:rPr>
                <w:b/>
                <w:i/>
              </w:rPr>
              <w:t>információ</w:t>
            </w:r>
            <w:proofErr w:type="gramEnd"/>
            <w:r w:rsidRPr="005D762A">
              <w:rPr>
                <w:b/>
                <w:i/>
              </w:rPr>
              <w:t>cserére minden esetben alkalmazandók a személyes adatok védelmére és a titoktartásra vonatkozó rendelkezések. E rendelkezések a tagállamok és az Unió adózás területén fennálló érdekeinek védelmét biztosító mentességeket és korlátozásokat tartalmaznak.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</w:pPr>
      <w:r w:rsidRPr="005D762A">
        <w:t>Módosítás</w:t>
      </w:r>
      <w:r w:rsidRPr="005D762A">
        <w:tab/>
      </w:r>
      <w:r w:rsidRPr="005D762A">
        <w:tab/>
        <w:t>5</w:t>
      </w:r>
    </w:p>
    <w:p w:rsidR="00284DE5" w:rsidRPr="005D762A" w:rsidRDefault="00284DE5" w:rsidP="00284DE5">
      <w:pPr>
        <w:pStyle w:val="NormalBold12b"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1 </w:t>
      </w:r>
      <w:proofErr w:type="spellStart"/>
      <w:r w:rsidRPr="005D762A">
        <w:t>albekezdés</w:t>
      </w:r>
      <w:proofErr w:type="spellEnd"/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trHeight w:val="240"/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/>
        </w:tc>
      </w:tr>
      <w:tr w:rsidR="00284DE5" w:rsidRPr="005D762A" w:rsidTr="009A78C4">
        <w:trPr>
          <w:trHeight w:val="240"/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2022. június 30-ig a tagállamok – általános fordított adózási mechanizmusként (</w:t>
            </w:r>
            <w:r w:rsidRPr="005D762A">
              <w:rPr>
                <w:b/>
                <w:i/>
              </w:rPr>
              <w:t>GRCM</w:t>
            </w:r>
            <w:r w:rsidRPr="005D762A">
              <w:t xml:space="preserve">) – rendelkezhetnek úgy, hogy a </w:t>
            </w:r>
            <w:proofErr w:type="spellStart"/>
            <w:r w:rsidRPr="005D762A">
              <w:t>héa</w:t>
            </w:r>
            <w:proofErr w:type="spellEnd"/>
            <w:r w:rsidRPr="005D762A">
              <w:t xml:space="preserve"> megfizetésére kötelezett személy a 193. cikktől eltérve az az adóalany, aki számlánként </w:t>
            </w:r>
            <w:r w:rsidRPr="005D762A">
              <w:rPr>
                <w:b/>
                <w:i/>
              </w:rPr>
              <w:t>10</w:t>
            </w:r>
            <w:r w:rsidRPr="005D762A">
              <w:t xml:space="preserve"> </w:t>
            </w:r>
            <w:r w:rsidRPr="005D762A">
              <w:rPr>
                <w:b/>
                <w:i/>
              </w:rPr>
              <w:t>000</w:t>
            </w:r>
            <w:r w:rsidRPr="005D762A">
              <w:t xml:space="preserve"> EUR értékhatár felett árukat vásárol vagy szolgáltatásokat vesz igénybe.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2022. június 30-ig a tagállamok – általános fordított adózási mechanizmusként (</w:t>
            </w:r>
            <w:r w:rsidRPr="005D762A">
              <w:rPr>
                <w:b/>
                <w:i/>
              </w:rPr>
              <w:t>ÁFAM</w:t>
            </w:r>
            <w:r w:rsidRPr="005D762A">
              <w:t xml:space="preserve">) – rendelkezhetnek úgy, hogy a </w:t>
            </w:r>
            <w:proofErr w:type="spellStart"/>
            <w:r w:rsidRPr="005D762A">
              <w:t>héa</w:t>
            </w:r>
            <w:proofErr w:type="spellEnd"/>
            <w:r w:rsidRPr="005D762A">
              <w:t xml:space="preserve"> megfizetésére kötelezett személy a 193. cikktől eltérve az az adóalany, aki számlánként </w:t>
            </w:r>
            <w:r w:rsidRPr="005D762A">
              <w:rPr>
                <w:b/>
                <w:i/>
              </w:rPr>
              <w:t>25</w:t>
            </w:r>
            <w:r w:rsidRPr="005D762A">
              <w:t xml:space="preserve"> </w:t>
            </w:r>
            <w:r w:rsidRPr="005D762A">
              <w:rPr>
                <w:b/>
                <w:i/>
              </w:rPr>
              <w:t>000</w:t>
            </w:r>
            <w:r w:rsidRPr="005D762A">
              <w:t xml:space="preserve"> EUR értékhatár felett árukat vásárol vagy szolgáltatásokat vesz igénybe.</w:t>
            </w:r>
          </w:p>
        </w:tc>
      </w:tr>
    </w:tbl>
    <w:p w:rsidR="00284DE5" w:rsidRPr="005D762A" w:rsidRDefault="00284DE5" w:rsidP="00284DE5"/>
    <w:p w:rsidR="00284DE5" w:rsidRPr="005D762A" w:rsidRDefault="00284DE5" w:rsidP="00284DE5">
      <w:pPr>
        <w:pStyle w:val="AMNumberTabs"/>
      </w:pPr>
      <w:r w:rsidRPr="005D762A">
        <w:t>Módosítás</w:t>
      </w:r>
      <w:r w:rsidRPr="005D762A">
        <w:tab/>
      </w:r>
      <w:r w:rsidRPr="005D762A">
        <w:tab/>
        <w:t>6</w:t>
      </w:r>
    </w:p>
    <w:p w:rsidR="00284DE5" w:rsidRPr="005D762A" w:rsidRDefault="00284DE5" w:rsidP="00284DE5">
      <w:pPr>
        <w:pStyle w:val="NormalBold12b"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2 </w:t>
      </w:r>
      <w:proofErr w:type="spellStart"/>
      <w:r w:rsidRPr="005D762A">
        <w:t>albekezdés</w:t>
      </w:r>
      <w:proofErr w:type="spellEnd"/>
      <w:r w:rsidRPr="005D762A">
        <w:t xml:space="preserve"> – a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trHeight w:val="240"/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/>
        </w:tc>
      </w:tr>
      <w:tr w:rsidR="00284DE5" w:rsidRPr="005D762A" w:rsidTr="009A78C4">
        <w:trPr>
          <w:trHeight w:val="240"/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a)</w:t>
            </w:r>
            <w:r w:rsidRPr="005D762A">
              <w:tab/>
              <w:t xml:space="preserve">a teljes </w:t>
            </w:r>
            <w:proofErr w:type="spellStart"/>
            <w:r w:rsidRPr="005D762A">
              <w:rPr>
                <w:b/>
                <w:i/>
              </w:rPr>
              <w:t>héafizetési</w:t>
            </w:r>
            <w:proofErr w:type="spellEnd"/>
            <w:r w:rsidRPr="005D762A">
              <w:t xml:space="preserve"> kötelezettség százalékában kifejezett </w:t>
            </w:r>
            <w:proofErr w:type="spellStart"/>
            <w:r w:rsidRPr="005D762A">
              <w:t>héabevétel</w:t>
            </w:r>
            <w:proofErr w:type="spellEnd"/>
            <w:r w:rsidRPr="005D762A">
              <w:t xml:space="preserve">-kiesése legalább </w:t>
            </w:r>
            <w:r w:rsidRPr="005D762A">
              <w:rPr>
                <w:b/>
                <w:i/>
              </w:rPr>
              <w:t>5</w:t>
            </w:r>
            <w:r w:rsidRPr="005D762A">
              <w:t xml:space="preserve"> százalékponttal </w:t>
            </w:r>
            <w:r w:rsidRPr="005D762A">
              <w:rPr>
                <w:b/>
                <w:i/>
              </w:rPr>
              <w:t>meghaladja</w:t>
            </w:r>
            <w:r w:rsidRPr="005D762A">
              <w:t xml:space="preserve"> a </w:t>
            </w:r>
            <w:proofErr w:type="spellStart"/>
            <w:r w:rsidRPr="005D762A">
              <w:t>héabevétel</w:t>
            </w:r>
            <w:proofErr w:type="spellEnd"/>
            <w:r w:rsidRPr="005D762A">
              <w:t>-kiesés közösségi medián értékét;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a)</w:t>
            </w:r>
            <w:r w:rsidRPr="005D762A">
              <w:tab/>
              <w:t xml:space="preserve">a </w:t>
            </w:r>
            <w:r w:rsidRPr="005D762A">
              <w:rPr>
                <w:b/>
                <w:i/>
              </w:rPr>
              <w:t xml:space="preserve">Bizottság által a </w:t>
            </w:r>
            <w:proofErr w:type="spellStart"/>
            <w:r w:rsidRPr="005D762A">
              <w:rPr>
                <w:b/>
                <w:i/>
              </w:rPr>
              <w:t>héabevétel</w:t>
            </w:r>
            <w:proofErr w:type="spellEnd"/>
            <w:r w:rsidRPr="005D762A">
              <w:rPr>
                <w:b/>
                <w:i/>
              </w:rPr>
              <w:t xml:space="preserve">-kiesésről közzétett 2016. évi, 2016. augusztus 23-i végleges jelentésben foglalt módszerek és számadatok alapján 2014-ben a </w:t>
            </w:r>
            <w:r w:rsidRPr="005D762A">
              <w:t xml:space="preserve">teljes </w:t>
            </w:r>
            <w:proofErr w:type="spellStart"/>
            <w:r w:rsidRPr="005D762A">
              <w:rPr>
                <w:b/>
                <w:i/>
              </w:rPr>
              <w:t>héabefizetési</w:t>
            </w:r>
            <w:proofErr w:type="spellEnd"/>
            <w:r w:rsidRPr="005D762A">
              <w:t xml:space="preserve"> kötelezettség százalékában kifejezett </w:t>
            </w:r>
            <w:proofErr w:type="spellStart"/>
            <w:r w:rsidRPr="005D762A">
              <w:t>héabevétel</w:t>
            </w:r>
            <w:proofErr w:type="spellEnd"/>
            <w:r w:rsidRPr="005D762A">
              <w:t xml:space="preserve">-kiesése legalább </w:t>
            </w:r>
            <w:r w:rsidRPr="005D762A">
              <w:rPr>
                <w:b/>
                <w:i/>
              </w:rPr>
              <w:t>15</w:t>
            </w:r>
            <w:r w:rsidRPr="005D762A">
              <w:t xml:space="preserve"> százalékponttal </w:t>
            </w:r>
            <w:r w:rsidRPr="005D762A">
              <w:rPr>
                <w:b/>
                <w:i/>
              </w:rPr>
              <w:t>meghaladta</w:t>
            </w:r>
            <w:r w:rsidRPr="005D762A">
              <w:t xml:space="preserve"> a </w:t>
            </w:r>
            <w:proofErr w:type="spellStart"/>
            <w:r w:rsidRPr="005D762A">
              <w:t>héabevétel</w:t>
            </w:r>
            <w:proofErr w:type="spellEnd"/>
            <w:r w:rsidRPr="005D762A">
              <w:t>-kiesés közösségi medián értékét;</w:t>
            </w:r>
          </w:p>
        </w:tc>
      </w:tr>
    </w:tbl>
    <w:p w:rsidR="00284DE5" w:rsidRPr="005D762A" w:rsidRDefault="00284DE5" w:rsidP="00284DE5"/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7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2 </w:t>
      </w:r>
      <w:proofErr w:type="spellStart"/>
      <w:r w:rsidRPr="005D762A">
        <w:t>albekezdés</w:t>
      </w:r>
      <w:proofErr w:type="spellEnd"/>
      <w:r w:rsidRPr="005D762A">
        <w:t xml:space="preserve"> – b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b)</w:t>
            </w:r>
            <w:r w:rsidRPr="005D762A">
              <w:tab/>
            </w:r>
            <w:r w:rsidRPr="005D762A">
              <w:rPr>
                <w:b/>
                <w:i/>
              </w:rPr>
              <w:t>a</w:t>
            </w:r>
            <w:r w:rsidRPr="005D762A">
              <w:t xml:space="preserve"> körhintacsalás aránya a teljes </w:t>
            </w:r>
            <w:proofErr w:type="spellStart"/>
            <w:r w:rsidRPr="005D762A">
              <w:t>héabevétel</w:t>
            </w:r>
            <w:proofErr w:type="spellEnd"/>
            <w:r w:rsidRPr="005D762A">
              <w:t>-kiesésen belül meghaladja a 25%-</w:t>
            </w:r>
            <w:proofErr w:type="spellStart"/>
            <w:r w:rsidRPr="005D762A">
              <w:t>ot</w:t>
            </w:r>
            <w:proofErr w:type="spellEnd"/>
            <w:r w:rsidRPr="005D762A">
              <w:t>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b)</w:t>
            </w:r>
            <w:r w:rsidRPr="005D762A">
              <w:tab/>
            </w:r>
            <w:r w:rsidRPr="005D762A">
              <w:rPr>
                <w:b/>
                <w:i/>
              </w:rPr>
              <w:t>az e cikkre vonatkozó jogalkotási javaslatot kísérő hatásvizsgálat alapján az a) pontban említett jelentés tárgyévében a</w:t>
            </w:r>
            <w:r w:rsidRPr="005D762A">
              <w:t xml:space="preserve"> körhintacsalás aránya a teljes </w:t>
            </w:r>
            <w:proofErr w:type="spellStart"/>
            <w:r w:rsidRPr="005D762A">
              <w:t>héabevétel</w:t>
            </w:r>
            <w:proofErr w:type="spellEnd"/>
            <w:r w:rsidRPr="005D762A">
              <w:t>-kiesésen belül meghaladja a 25%-</w:t>
            </w:r>
            <w:proofErr w:type="spellStart"/>
            <w:r w:rsidRPr="005D762A">
              <w:t>ot</w:t>
            </w:r>
            <w:proofErr w:type="spellEnd"/>
            <w:r w:rsidRPr="005D762A">
              <w:t xml:space="preserve">; </w:t>
            </w:r>
            <w:r w:rsidRPr="005D762A">
              <w:rPr>
                <w:b/>
                <w:i/>
              </w:rPr>
              <w:t>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lastRenderedPageBreak/>
        <w:t>Módosítás</w:t>
      </w:r>
      <w:r w:rsidRPr="005D762A">
        <w:tab/>
      </w:r>
      <w:r w:rsidRPr="005D762A">
        <w:tab/>
        <w:t>8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2 </w:t>
      </w:r>
      <w:proofErr w:type="spellStart"/>
      <w:r w:rsidRPr="005D762A">
        <w:t>albekezdés</w:t>
      </w:r>
      <w:proofErr w:type="spellEnd"/>
      <w:r w:rsidRPr="005D762A">
        <w:t xml:space="preserve"> – c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c)</w:t>
            </w:r>
            <w:r w:rsidRPr="005D762A">
              <w:tab/>
              <w:t>megállapítja, hogy területén a körhintacsalás elleni küzdelemhez más ellenőrző intézkedések nem elegendőek</w:t>
            </w:r>
            <w:r w:rsidRPr="005D762A">
              <w:rPr>
                <w:b/>
                <w:i/>
              </w:rPr>
              <w:t>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c)</w:t>
            </w:r>
            <w:r w:rsidRPr="005D762A">
              <w:tab/>
              <w:t>megállapítja, hogy területén a körhintacsalás elleni küzdelemhez más ellenőrző intézkedések nem elegendőek</w:t>
            </w:r>
            <w:r w:rsidRPr="005D762A">
              <w:rPr>
                <w:b/>
                <w:i/>
              </w:rPr>
              <w:t xml:space="preserve">, különös tekintettel annak pontos meghatározására, hogy milyen ellenőrző intézkedések alkalmazására került sor, és </w:t>
            </w:r>
            <w:proofErr w:type="gramStart"/>
            <w:r w:rsidRPr="005D762A">
              <w:rPr>
                <w:b/>
                <w:i/>
              </w:rPr>
              <w:t>konkrétan</w:t>
            </w:r>
            <w:proofErr w:type="gramEnd"/>
            <w:r w:rsidRPr="005D762A">
              <w:rPr>
                <w:b/>
                <w:i/>
              </w:rPr>
              <w:t xml:space="preserve"> mik az okai azok </w:t>
            </w:r>
            <w:proofErr w:type="spellStart"/>
            <w:r w:rsidRPr="005D762A">
              <w:rPr>
                <w:b/>
                <w:i/>
              </w:rPr>
              <w:t>eredménytelenségének</w:t>
            </w:r>
            <w:proofErr w:type="spellEnd"/>
            <w:r w:rsidRPr="005D762A">
              <w:rPr>
                <w:b/>
                <w:i/>
              </w:rPr>
              <w:t xml:space="preserve">, valamint hogy miért nem bizonyult elegendőnek a </w:t>
            </w:r>
            <w:proofErr w:type="spellStart"/>
            <w:r w:rsidRPr="005D762A">
              <w:rPr>
                <w:b/>
                <w:i/>
              </w:rPr>
              <w:t>héára</w:t>
            </w:r>
            <w:proofErr w:type="spellEnd"/>
            <w:r w:rsidRPr="005D762A">
              <w:rPr>
                <w:b/>
                <w:i/>
              </w:rPr>
              <w:t xml:space="preserve"> irányuló közigazgatási együttműködés; 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9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2 </w:t>
      </w:r>
      <w:proofErr w:type="spellStart"/>
      <w:r w:rsidRPr="005D762A">
        <w:t>albekezdés</w:t>
      </w:r>
      <w:proofErr w:type="spellEnd"/>
      <w:r w:rsidRPr="005D762A">
        <w:t xml:space="preserve"> – c a pont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proofErr w:type="spellStart"/>
            <w:r w:rsidRPr="005D762A">
              <w:rPr>
                <w:b/>
                <w:i/>
              </w:rPr>
              <w:t>ca</w:t>
            </w:r>
            <w:proofErr w:type="spellEnd"/>
            <w:r w:rsidRPr="005D762A">
              <w:rPr>
                <w:b/>
                <w:i/>
              </w:rPr>
              <w:t>)</w:t>
            </w:r>
            <w:r w:rsidRPr="005D762A">
              <w:rPr>
                <w:b/>
                <w:i/>
              </w:rPr>
              <w:tab/>
              <w:t>megállapítja, hogy az adózási fegyelemnek és az adóbehajtásnak az ÁFAM bevezetése nyomán várható javulásából fakadó becsült előnyök legalább 25%-</w:t>
            </w:r>
            <w:proofErr w:type="spellStart"/>
            <w:r w:rsidRPr="005D762A">
              <w:rPr>
                <w:b/>
                <w:i/>
              </w:rPr>
              <w:t>kal</w:t>
            </w:r>
            <w:proofErr w:type="spellEnd"/>
            <w:r w:rsidRPr="005D762A">
              <w:rPr>
                <w:b/>
                <w:i/>
              </w:rPr>
              <w:t xml:space="preserve"> meghaladják a várhatóan a vállalkozásokra és az adóhatóságokra háruló teljes </w:t>
            </w:r>
            <w:proofErr w:type="spellStart"/>
            <w:r w:rsidRPr="005D762A">
              <w:rPr>
                <w:b/>
                <w:i/>
              </w:rPr>
              <w:t>többletterhet</w:t>
            </w:r>
            <w:proofErr w:type="spellEnd"/>
            <w:r w:rsidRPr="005D762A">
              <w:rPr>
                <w:b/>
                <w:i/>
              </w:rPr>
              <w:t>; 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10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2 </w:t>
      </w:r>
      <w:proofErr w:type="spellStart"/>
      <w:r w:rsidRPr="005D762A">
        <w:t>albekezdés</w:t>
      </w:r>
      <w:proofErr w:type="spellEnd"/>
      <w:r w:rsidRPr="005D762A">
        <w:t xml:space="preserve"> – c b pont (új)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proofErr w:type="spellStart"/>
            <w:r w:rsidRPr="005D762A">
              <w:rPr>
                <w:b/>
                <w:i/>
              </w:rPr>
              <w:t>cb</w:t>
            </w:r>
            <w:proofErr w:type="spellEnd"/>
            <w:r w:rsidRPr="005D762A">
              <w:rPr>
                <w:b/>
                <w:i/>
              </w:rPr>
              <w:t>)</w:t>
            </w:r>
            <w:r w:rsidRPr="005D762A">
              <w:rPr>
                <w:b/>
                <w:i/>
              </w:rPr>
              <w:tab/>
              <w:t>megállapítja, hogy a vállalkozásokra és az adóhatóságokra az ÁFAM bevezetéséből fakadóan nem fog több költség hárulni, mint amilyen költségekkel más ellenőrző intézkedések alkalmazása jár.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11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1 bekezdés – 3 </w:t>
      </w:r>
      <w:proofErr w:type="spellStart"/>
      <w:r w:rsidRPr="005D762A">
        <w:t>albekezdés</w:t>
      </w:r>
      <w:proofErr w:type="spellEnd"/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 xml:space="preserve">A tagállam a (4) bekezdésben említett kérelemhez csatolja a </w:t>
            </w:r>
            <w:proofErr w:type="spellStart"/>
            <w:r w:rsidRPr="005D762A">
              <w:t>héabevétel</w:t>
            </w:r>
            <w:proofErr w:type="spellEnd"/>
            <w:r w:rsidRPr="005D762A">
              <w:t xml:space="preserve">-kiesésnek a Bizottság által közzétett, a </w:t>
            </w:r>
            <w:proofErr w:type="spellStart"/>
            <w:r w:rsidRPr="005D762A">
              <w:t>héabevétel</w:t>
            </w:r>
            <w:proofErr w:type="spellEnd"/>
            <w:r w:rsidRPr="005D762A">
              <w:t xml:space="preserve">-kiesésről szóló </w:t>
            </w:r>
            <w:r w:rsidRPr="005D762A">
              <w:rPr>
                <w:b/>
                <w:i/>
              </w:rPr>
              <w:t xml:space="preserve">legutóbbi </w:t>
            </w:r>
            <w:r w:rsidRPr="005D762A">
              <w:t>jelentésben szereplő módszer és számadatok alapján történő kiszámítását.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 xml:space="preserve">A tagállam a (4) bekezdésben említett kérelemhez csatolja a </w:t>
            </w:r>
            <w:proofErr w:type="spellStart"/>
            <w:r w:rsidRPr="005D762A">
              <w:t>héabevétel</w:t>
            </w:r>
            <w:proofErr w:type="spellEnd"/>
            <w:r w:rsidRPr="005D762A">
              <w:t xml:space="preserve">-kiesésnek a Bizottság által közzétett, a </w:t>
            </w:r>
            <w:proofErr w:type="spellStart"/>
            <w:r w:rsidRPr="005D762A">
              <w:t>héabevétel</w:t>
            </w:r>
            <w:proofErr w:type="spellEnd"/>
            <w:r w:rsidRPr="005D762A">
              <w:t>-kiesésről szóló jelentésben szereplő módszer és számadatok alapján történő kiszámítását</w:t>
            </w:r>
            <w:r w:rsidRPr="005D762A">
              <w:rPr>
                <w:b/>
                <w:i/>
              </w:rPr>
              <w:t xml:space="preserve"> a második </w:t>
            </w:r>
            <w:proofErr w:type="spellStart"/>
            <w:r w:rsidRPr="005D762A">
              <w:rPr>
                <w:b/>
                <w:i/>
              </w:rPr>
              <w:t>albekezdés</w:t>
            </w:r>
            <w:proofErr w:type="spellEnd"/>
            <w:r w:rsidRPr="005D762A">
              <w:rPr>
                <w:b/>
                <w:i/>
              </w:rPr>
              <w:t xml:space="preserve"> a) pontjának értelmében</w:t>
            </w:r>
            <w:r w:rsidRPr="005D762A">
              <w:t>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12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>199 c cikk – 2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(2)</w:t>
            </w:r>
            <w:r w:rsidRPr="005D762A">
              <w:rPr>
                <w:b/>
                <w:i/>
              </w:rPr>
              <w:tab/>
              <w:t xml:space="preserve">2022. június 30-ig a tagállamok rendelkezhetnek úgy, hogy a </w:t>
            </w:r>
            <w:proofErr w:type="spellStart"/>
            <w:r w:rsidRPr="005D762A">
              <w:rPr>
                <w:b/>
                <w:i/>
              </w:rPr>
              <w:t>héa</w:t>
            </w:r>
            <w:proofErr w:type="spellEnd"/>
            <w:r w:rsidRPr="005D762A">
              <w:rPr>
                <w:b/>
                <w:i/>
              </w:rPr>
              <w:t xml:space="preserve"> megfizetésére kötelezett személy az az adóalany, aki számlánként 10 000 EUR értékhatár felett árukat vásárol vagy szolgáltatásokat vesz igénybe, amennyiben az adott tagállam: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törölve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a)</w:t>
            </w:r>
            <w:r w:rsidRPr="005D762A">
              <w:rPr>
                <w:b/>
                <w:i/>
              </w:rPr>
              <w:tab/>
              <w:t>közös határral rendelkezik egy olyan tagállammal, amely jogosult a GRCM alkalmazására;</w:t>
            </w:r>
          </w:p>
        </w:tc>
        <w:tc>
          <w:tcPr>
            <w:tcW w:w="4876" w:type="dxa"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b)</w:t>
            </w:r>
            <w:r w:rsidRPr="005D762A">
              <w:rPr>
                <w:b/>
                <w:i/>
              </w:rPr>
              <w:tab/>
              <w:t>megállapítja, hogy a GRCM-</w:t>
            </w:r>
            <w:proofErr w:type="spellStart"/>
            <w:r w:rsidRPr="005D762A">
              <w:rPr>
                <w:b/>
                <w:i/>
              </w:rPr>
              <w:t>nek</w:t>
            </w:r>
            <w:proofErr w:type="spellEnd"/>
            <w:r w:rsidRPr="005D762A">
              <w:rPr>
                <w:b/>
                <w:i/>
              </w:rPr>
              <w:t xml:space="preserve"> az </w:t>
            </w:r>
            <w:r w:rsidRPr="005D762A">
              <w:rPr>
                <w:b/>
                <w:i/>
              </w:rPr>
              <w:lastRenderedPageBreak/>
              <w:t>említett szomszédos tagállamban történő engedélyezése miatt fennáll a komoly kockázata annak, hogy a csalások az ő területére terelődnek át;</w:t>
            </w:r>
          </w:p>
        </w:tc>
        <w:tc>
          <w:tcPr>
            <w:tcW w:w="4876" w:type="dxa"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c)</w:t>
            </w:r>
            <w:r w:rsidRPr="005D762A">
              <w:rPr>
                <w:b/>
                <w:i/>
              </w:rPr>
              <w:tab/>
              <w:t>megállapítja, hogy területén a csalás elleni küzdelemhez más ellenőrző intézkedések nem elegendőek.</w:t>
            </w:r>
          </w:p>
        </w:tc>
        <w:tc>
          <w:tcPr>
            <w:tcW w:w="4876" w:type="dxa"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13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>199 c cikk – 3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(3)</w:t>
            </w:r>
            <w:r w:rsidRPr="005D762A">
              <w:tab/>
            </w:r>
            <w:r w:rsidRPr="005D762A">
              <w:rPr>
                <w:b/>
                <w:i/>
              </w:rPr>
              <w:t>A GRCM-et</w:t>
            </w:r>
            <w:r w:rsidRPr="005D762A">
              <w:t xml:space="preserve"> alkalmazó tagállamok megfelelő és hatékony elektronikus jelentéstételi kötelezettségeket vezetnek be valamennyi adóalany</w:t>
            </w:r>
            <w:r w:rsidRPr="005D762A">
              <w:rPr>
                <w:b/>
                <w:i/>
              </w:rPr>
              <w:t xml:space="preserve"> részére</w:t>
            </w:r>
            <w:r w:rsidRPr="005D762A">
              <w:t xml:space="preserve">, és különösen azon </w:t>
            </w:r>
            <w:r w:rsidRPr="005D762A">
              <w:rPr>
                <w:b/>
                <w:i/>
              </w:rPr>
              <w:t>adóalanyoknak</w:t>
            </w:r>
            <w:r w:rsidRPr="005D762A">
              <w:t>, akik a mechanizmus hatálya alá tartozó árukat vagy szolgáltatásokat értékesítik vagy igénybe veszik.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(3)</w:t>
            </w:r>
            <w:r w:rsidRPr="005D762A">
              <w:tab/>
            </w:r>
            <w:r w:rsidRPr="005D762A">
              <w:rPr>
                <w:b/>
                <w:i/>
              </w:rPr>
              <w:t>Annak érdekében, hogy biztosítani lehessen az ÁFAM alkalmazásának hatékony működését és nyomon követését az ÁFAM-</w:t>
            </w:r>
            <w:proofErr w:type="spellStart"/>
            <w:r w:rsidRPr="005D762A">
              <w:rPr>
                <w:b/>
                <w:i/>
              </w:rPr>
              <w:t>ot</w:t>
            </w:r>
            <w:proofErr w:type="spellEnd"/>
            <w:r w:rsidRPr="005D762A">
              <w:t xml:space="preserve"> alkalmazó tagállamok megfelelő és hatékony elektronikus jelentéstételi kötelezettségeket vezetnek be valamennyi adóalany, és különösen azon </w:t>
            </w:r>
            <w:r w:rsidRPr="005D762A">
              <w:rPr>
                <w:b/>
                <w:i/>
              </w:rPr>
              <w:t>adóalanyok részére</w:t>
            </w:r>
            <w:r w:rsidRPr="005D762A">
              <w:t>, akik a mechanizmus hatálya alá tartozó árukat vagy szolgáltatásokat értékesítik vagy igénybe veszik.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14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4 bekezdés – 1 </w:t>
      </w:r>
      <w:proofErr w:type="spellStart"/>
      <w:r w:rsidRPr="005D762A">
        <w:t>albekezdés</w:t>
      </w:r>
      <w:proofErr w:type="spellEnd"/>
      <w:r w:rsidRPr="005D762A">
        <w:t xml:space="preserve"> – a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a)</w:t>
            </w:r>
            <w:r w:rsidRPr="005D762A">
              <w:tab/>
              <w:t xml:space="preserve">az (1) </w:t>
            </w:r>
            <w:r w:rsidRPr="005D762A">
              <w:rPr>
                <w:b/>
                <w:i/>
              </w:rPr>
              <w:t xml:space="preserve">vagy (2) </w:t>
            </w:r>
            <w:r w:rsidRPr="005D762A">
              <w:t>bekezdésben említett feltételek teljesülésének részletes indokolása;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a)</w:t>
            </w:r>
            <w:r w:rsidRPr="005D762A">
              <w:tab/>
              <w:t xml:space="preserve">az (1) bekezdésben említett feltételek teljesülésének részletes indokolása; </w:t>
            </w:r>
            <w:r w:rsidR="00C8132C" w:rsidRPr="005D762A">
              <w:rPr>
                <w:b/>
                <w:i/>
              </w:rPr>
              <w:t>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15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lastRenderedPageBreak/>
        <w:t>2006/112/EK irányelv</w:t>
      </w:r>
    </w:p>
    <w:p w:rsidR="00284DE5" w:rsidRPr="005D762A" w:rsidRDefault="00284DE5" w:rsidP="00284DE5">
      <w:r w:rsidRPr="005D762A">
        <w:t xml:space="preserve">199 c cikk – 4 bekezdés – 1 </w:t>
      </w:r>
      <w:proofErr w:type="spellStart"/>
      <w:r w:rsidRPr="005D762A">
        <w:t>albekezdés</w:t>
      </w:r>
      <w:proofErr w:type="spellEnd"/>
      <w:r w:rsidRPr="005D762A">
        <w:t xml:space="preserve"> – b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b)</w:t>
            </w:r>
            <w:r w:rsidRPr="005D762A">
              <w:tab/>
              <w:t>a GRCM alkalmazása megkezdésének időpontja és az alkalmazási időszak;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b/>
                <w:i/>
                <w:szCs w:val="24"/>
              </w:rPr>
            </w:pPr>
            <w:r w:rsidRPr="005D762A">
              <w:t>b)</w:t>
            </w:r>
            <w:r w:rsidRPr="005D762A">
              <w:tab/>
              <w:t xml:space="preserve">a GRCM alkalmazása megkezdésének időpontja és az alkalmazási időszak; </w:t>
            </w:r>
            <w:r w:rsidR="00C8132C" w:rsidRPr="005D762A">
              <w:rPr>
                <w:b/>
                <w:i/>
              </w:rPr>
              <w:t>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16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4 bekezdés – 1 </w:t>
      </w:r>
      <w:proofErr w:type="spellStart"/>
      <w:r w:rsidRPr="005D762A">
        <w:t>albekezdés</w:t>
      </w:r>
      <w:proofErr w:type="spellEnd"/>
      <w:r w:rsidRPr="005D762A">
        <w:t xml:space="preserve"> – c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c)</w:t>
            </w:r>
            <w:r w:rsidRPr="005D762A">
              <w:tab/>
              <w:t>az adóalanyoknak a GRCM alkalmazásának bevezetéséről való tájékoztatása érdekében meghozandó intézkedések;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c)</w:t>
            </w:r>
            <w:r w:rsidRPr="005D762A">
              <w:tab/>
              <w:t xml:space="preserve">az adóalanyoknak a GRCM alkalmazásának bevezetéséről való tájékoztatása érdekében meghozandó intézkedések; </w:t>
            </w:r>
            <w:r w:rsidRPr="005D762A">
              <w:rPr>
                <w:b/>
                <w:i/>
              </w:rPr>
              <w:t>továbbá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17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4 bekezdés – 1 </w:t>
      </w:r>
      <w:proofErr w:type="spellStart"/>
      <w:r w:rsidRPr="005D762A">
        <w:t>albekezdés</w:t>
      </w:r>
      <w:proofErr w:type="spellEnd"/>
      <w:r w:rsidRPr="005D762A">
        <w:t xml:space="preserve"> – d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>d)</w:t>
            </w:r>
            <w:r w:rsidRPr="005D762A">
              <w:tab/>
              <w:t>a (</w:t>
            </w:r>
            <w:r w:rsidRPr="005D762A">
              <w:rPr>
                <w:b/>
                <w:i/>
              </w:rPr>
              <w:t>3</w:t>
            </w:r>
            <w:r w:rsidRPr="005D762A">
              <w:t>) bekezdésben említett kísérő intézkedések részletes leírása.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>d)</w:t>
            </w:r>
            <w:r w:rsidRPr="005D762A">
              <w:tab/>
              <w:t>a (</w:t>
            </w:r>
            <w:r w:rsidRPr="005D762A">
              <w:rPr>
                <w:b/>
                <w:i/>
              </w:rPr>
              <w:t>2</w:t>
            </w:r>
            <w:r w:rsidRPr="005D762A">
              <w:t>) bekezdésben említett kísérő intézkedések részletes leírása.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18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7 bekezdés – 1 </w:t>
      </w:r>
      <w:proofErr w:type="spellStart"/>
      <w:r w:rsidRPr="005D762A">
        <w:t>albekezdés</w:t>
      </w:r>
      <w:proofErr w:type="spellEnd"/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A GRCM-et</w:t>
            </w:r>
            <w:r w:rsidRPr="005D762A">
              <w:t xml:space="preserve"> alkalmazó tagállamok </w:t>
            </w:r>
            <w:r w:rsidRPr="005D762A">
              <w:rPr>
                <w:b/>
                <w:i/>
              </w:rPr>
              <w:t xml:space="preserve">legkésőbb két évvel a GRCM alkalmazásának megkezdését követően </w:t>
            </w:r>
            <w:r w:rsidRPr="005D762A">
              <w:rPr>
                <w:b/>
                <w:i/>
              </w:rPr>
              <w:lastRenderedPageBreak/>
              <w:t>időközi jelentést nyújtanak be a Bizottságnak.</w:t>
            </w:r>
            <w:r w:rsidRPr="005D762A">
              <w:t xml:space="preserve"> </w:t>
            </w:r>
            <w:r w:rsidRPr="005D762A">
              <w:rPr>
                <w:b/>
                <w:i/>
              </w:rPr>
              <w:t>A jelentésnek részletes értékelést kell tartalmaznia a GRCM eredményességéről.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lastRenderedPageBreak/>
              <w:t>Az ÁFAM-</w:t>
            </w:r>
            <w:proofErr w:type="spellStart"/>
            <w:r w:rsidRPr="005D762A">
              <w:rPr>
                <w:b/>
                <w:i/>
              </w:rPr>
              <w:t>ot</w:t>
            </w:r>
            <w:proofErr w:type="spellEnd"/>
            <w:r w:rsidRPr="005D762A">
              <w:rPr>
                <w:b/>
                <w:i/>
              </w:rPr>
              <w:t xml:space="preserve"> alkalmazó tagállamok minden tagállam számára elektronikus formában rendelkezésre bocsátják: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 xml:space="preserve">a) mindazon személyek nevét, akikre vonatkozóan az ÁFAM alkalmazásának kezdő időpontját megelőző tizenkét hónap folyamán </w:t>
            </w:r>
            <w:proofErr w:type="spellStart"/>
            <w:r w:rsidRPr="005D762A">
              <w:rPr>
                <w:b/>
                <w:i/>
              </w:rPr>
              <w:t>héacsalás</w:t>
            </w:r>
            <w:proofErr w:type="spellEnd"/>
            <w:r w:rsidRPr="005D762A">
              <w:rPr>
                <w:b/>
                <w:i/>
              </w:rPr>
              <w:t xml:space="preserve"> gyanúja miatt akár büntetőjogi, akár közigazgatási eljárás volt folyamatban; 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 xml:space="preserve">b) mindazon személyek nevét – ideértve jogi személyek esetében azok igazgatóinak a nevét is –, akiknek a </w:t>
            </w:r>
            <w:proofErr w:type="spellStart"/>
            <w:r w:rsidRPr="005D762A">
              <w:rPr>
                <w:b/>
                <w:i/>
              </w:rPr>
              <w:t>héaalanyként</w:t>
            </w:r>
            <w:proofErr w:type="spellEnd"/>
            <w:r w:rsidRPr="005D762A">
              <w:rPr>
                <w:b/>
                <w:i/>
              </w:rPr>
              <w:t xml:space="preserve"> történő nyilvántartása az adott tagállamban az ÁFAM bevezetése következtében megszűnt; továbbá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 xml:space="preserve">c) mindazon személyek nevét – ideértve jogi személyek esetében azok igazgatóinak a nevét is –, akik az ÁFAM bevezetését követő két egymást követő adómegállapítási időszak során elmulasztottak benyújtani </w:t>
            </w:r>
            <w:proofErr w:type="spellStart"/>
            <w:r w:rsidRPr="005D762A">
              <w:rPr>
                <w:b/>
                <w:i/>
              </w:rPr>
              <w:t>héabevallást</w:t>
            </w:r>
            <w:proofErr w:type="spellEnd"/>
            <w:r w:rsidRPr="005D762A">
              <w:rPr>
                <w:b/>
                <w:i/>
              </w:rPr>
              <w:t>.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Az a) és b) pontban említett adatokat legkésőbb az ÁFAM bevezetését követő három hónapon belül kell rendelkezésre bocsátani, és ezt követően háromhavonta frissíteni kell. A c) pontban említett adatokat legkésőbb az ÁFAM bevezetését követő kilenc hónapon belül kell rendelkezésre bocsátani, és ezt követően háromhavonta frissíteni kell.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</w:tcPr>
          <w:p w:rsidR="00284DE5" w:rsidRPr="005D762A" w:rsidRDefault="00284DE5" w:rsidP="009A78C4">
            <w:pPr>
              <w:pStyle w:val="Normal6"/>
            </w:pP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Az ÁFAM-</w:t>
            </w:r>
            <w:proofErr w:type="spellStart"/>
            <w:r w:rsidRPr="005D762A">
              <w:rPr>
                <w:b/>
                <w:i/>
              </w:rPr>
              <w:t>ot</w:t>
            </w:r>
            <w:proofErr w:type="spellEnd"/>
            <w:r w:rsidRPr="005D762A">
              <w:rPr>
                <w:b/>
                <w:i/>
              </w:rPr>
              <w:t xml:space="preserve"> alkalmazó tagállamok legkésőbb egy évvel az ÁFAM alkalmazásának megkezdését követően időközi jelentést nyújtanak be a Bizottságnak.</w:t>
            </w:r>
            <w:r w:rsidRPr="005D762A">
              <w:t xml:space="preserve"> </w:t>
            </w:r>
            <w:r w:rsidRPr="005D762A">
              <w:rPr>
                <w:b/>
                <w:i/>
              </w:rPr>
              <w:t>A jelentésnek részletes értékelést kell tartalmaznia a GRCM eredményességéről.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19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 xml:space="preserve">199 c cikk – 8 bekezdés – 1 </w:t>
      </w:r>
      <w:proofErr w:type="spellStart"/>
      <w:r w:rsidRPr="005D762A">
        <w:t>albekezdés</w:t>
      </w:r>
      <w:proofErr w:type="spellEnd"/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 xml:space="preserve">Azok a tagállamok, amelyek nem alkalmazzák a mechanizmust, </w:t>
            </w:r>
            <w:r w:rsidRPr="005D762A">
              <w:rPr>
                <w:b/>
                <w:i/>
              </w:rPr>
              <w:t xml:space="preserve">legkésőbb 2019. június 30-ig </w:t>
            </w:r>
            <w:r w:rsidRPr="005D762A">
              <w:t xml:space="preserve">időközi jelentést nyújtanak be a Bizottságnak </w:t>
            </w:r>
            <w:r w:rsidRPr="005D762A">
              <w:rPr>
                <w:b/>
                <w:i/>
              </w:rPr>
              <w:t>a GRCM</w:t>
            </w:r>
            <w:r w:rsidRPr="005D762A">
              <w:t xml:space="preserve"> más tagállamok általi alkalmazásának a saját területükön érzékelhető hatásairól</w:t>
            </w:r>
            <w:r w:rsidRPr="005D762A">
              <w:rPr>
                <w:b/>
                <w:i/>
              </w:rPr>
              <w:t>, amennyiben a GRCM-et</w:t>
            </w:r>
            <w:r w:rsidRPr="005D762A">
              <w:t xml:space="preserve"> az </w:t>
            </w:r>
            <w:r w:rsidRPr="005D762A">
              <w:rPr>
                <w:b/>
                <w:i/>
              </w:rPr>
              <w:t>említett időpontig</w:t>
            </w:r>
            <w:r w:rsidRPr="005D762A">
              <w:t xml:space="preserve"> valamely tagállamban </w:t>
            </w:r>
            <w:r w:rsidRPr="005D762A">
              <w:rPr>
                <w:b/>
                <w:i/>
              </w:rPr>
              <w:t>legalább egy évig alkalmazták</w:t>
            </w:r>
            <w:r w:rsidRPr="005D762A">
              <w:t>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 xml:space="preserve">Azok a tagállamok, amelyek nem alkalmazzák a mechanizmust, időközi jelentést nyújtanak be a Bizottságnak </w:t>
            </w:r>
            <w:r w:rsidRPr="005D762A">
              <w:rPr>
                <w:b/>
                <w:i/>
              </w:rPr>
              <w:t>az ÁFAM</w:t>
            </w:r>
            <w:r w:rsidRPr="005D762A">
              <w:t xml:space="preserve"> más tagállamok általi alkalmazásának a saját területükön érzékelhető hatásairól</w:t>
            </w:r>
            <w:r w:rsidRPr="005D762A">
              <w:rPr>
                <w:b/>
                <w:i/>
              </w:rPr>
              <w:t>. Az említett jelentés</w:t>
            </w:r>
            <w:r w:rsidRPr="005D762A">
              <w:t xml:space="preserve"> az </w:t>
            </w:r>
            <w:r w:rsidRPr="005D762A">
              <w:rPr>
                <w:b/>
                <w:i/>
              </w:rPr>
              <w:t>ÁFAM –</w:t>
            </w:r>
            <w:r w:rsidRPr="005D762A">
              <w:t xml:space="preserve"> valamely tagállamban </w:t>
            </w:r>
            <w:r w:rsidRPr="005D762A">
              <w:rPr>
                <w:b/>
                <w:i/>
              </w:rPr>
              <w:t>való – egyéves alkalmazását követő három hónapon belül nyújtandó be a Bizottságnak</w:t>
            </w:r>
            <w:r w:rsidRPr="005D762A">
              <w:t>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20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1 cikk – 1 bekezdés</w:t>
      </w:r>
    </w:p>
    <w:p w:rsidR="00284DE5" w:rsidRPr="005D762A" w:rsidRDefault="00284DE5" w:rsidP="00284DE5">
      <w:pPr>
        <w:keepNext/>
      </w:pPr>
      <w:r w:rsidRPr="005D762A">
        <w:t>2006/112/EK irányelv</w:t>
      </w:r>
    </w:p>
    <w:p w:rsidR="00284DE5" w:rsidRPr="005D762A" w:rsidRDefault="00284DE5" w:rsidP="00284DE5">
      <w:r w:rsidRPr="005D762A">
        <w:t>199 c cikk – 10 bekezdés – a pont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rPr>
                <w:b/>
                <w:i/>
              </w:rPr>
              <w:t>a)</w:t>
            </w:r>
            <w:r w:rsidRPr="005D762A">
              <w:rPr>
                <w:b/>
                <w:i/>
              </w:rPr>
              <w:tab/>
              <w:t xml:space="preserve">a </w:t>
            </w:r>
            <w:proofErr w:type="spellStart"/>
            <w:r w:rsidRPr="005D762A">
              <w:rPr>
                <w:b/>
                <w:i/>
              </w:rPr>
              <w:t>héabevétel</w:t>
            </w:r>
            <w:proofErr w:type="spellEnd"/>
            <w:r w:rsidRPr="005D762A">
              <w:rPr>
                <w:b/>
                <w:i/>
              </w:rPr>
              <w:t>-kiesés alakulása;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rPr>
                <w:b/>
                <w:i/>
              </w:rPr>
              <w:t>törölve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>
      <w:pPr>
        <w:pStyle w:val="AMNumberTabs"/>
        <w:keepNext/>
      </w:pPr>
      <w:r w:rsidRPr="005D762A">
        <w:t>Módosítás</w:t>
      </w:r>
      <w:r w:rsidRPr="005D762A">
        <w:tab/>
      </w:r>
      <w:r w:rsidRPr="005D762A">
        <w:tab/>
        <w:t>21</w:t>
      </w:r>
    </w:p>
    <w:p w:rsidR="00284DE5" w:rsidRPr="005D762A" w:rsidRDefault="00284DE5" w:rsidP="00284DE5">
      <w:pPr>
        <w:pStyle w:val="NormalBold12b"/>
        <w:keepNext/>
      </w:pPr>
      <w:r w:rsidRPr="005D762A">
        <w:t>Irányelvre irányuló javaslat</w:t>
      </w:r>
    </w:p>
    <w:p w:rsidR="00284DE5" w:rsidRPr="005D762A" w:rsidRDefault="00284DE5" w:rsidP="00284DE5">
      <w:pPr>
        <w:pStyle w:val="NormalBold"/>
      </w:pPr>
      <w:r w:rsidRPr="005D762A">
        <w:t>2 cikk – 2 bekezdés</w:t>
      </w:r>
    </w:p>
    <w:tbl>
      <w:tblPr>
        <w:tblW w:w="0" w:type="auto"/>
        <w:jc w:val="center"/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284DE5" w:rsidRPr="005D762A" w:rsidTr="009A78C4">
        <w:trPr>
          <w:jc w:val="center"/>
        </w:trPr>
        <w:tc>
          <w:tcPr>
            <w:tcW w:w="9752" w:type="dxa"/>
            <w:gridSpan w:val="2"/>
          </w:tcPr>
          <w:p w:rsidR="00284DE5" w:rsidRPr="005D762A" w:rsidRDefault="00284DE5" w:rsidP="009A78C4">
            <w:pPr>
              <w:keepNext/>
            </w:pP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A Bizottság által javasolt szöveg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ColumnHeading"/>
              <w:keepNext/>
            </w:pPr>
            <w:r w:rsidRPr="005D762A">
              <w:t>Módosítás</w:t>
            </w:r>
          </w:p>
        </w:tc>
      </w:tr>
      <w:tr w:rsidR="00284DE5" w:rsidRPr="005D762A" w:rsidTr="009A78C4">
        <w:trPr>
          <w:jc w:val="center"/>
        </w:trPr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</w:pPr>
            <w:r w:rsidRPr="005D762A">
              <w:t xml:space="preserve">Ezt az irányelvet 2022. </w:t>
            </w:r>
            <w:r w:rsidRPr="005D762A">
              <w:rPr>
                <w:b/>
                <w:i/>
              </w:rPr>
              <w:t>szeptember</w:t>
            </w:r>
            <w:r w:rsidRPr="005D762A">
              <w:t xml:space="preserve"> 30-ig kell alkalmazni.</w:t>
            </w:r>
          </w:p>
        </w:tc>
        <w:tc>
          <w:tcPr>
            <w:tcW w:w="4876" w:type="dxa"/>
            <w:hideMark/>
          </w:tcPr>
          <w:p w:rsidR="00284DE5" w:rsidRPr="005D762A" w:rsidRDefault="00284DE5" w:rsidP="009A78C4">
            <w:pPr>
              <w:pStyle w:val="Normal6"/>
              <w:rPr>
                <w:szCs w:val="24"/>
              </w:rPr>
            </w:pPr>
            <w:r w:rsidRPr="005D762A">
              <w:t xml:space="preserve">Ezt az irányelvet 2022. </w:t>
            </w:r>
            <w:r w:rsidRPr="005D762A">
              <w:rPr>
                <w:b/>
                <w:i/>
              </w:rPr>
              <w:t>június</w:t>
            </w:r>
            <w:r w:rsidRPr="005D762A">
              <w:t xml:space="preserve"> 30-ig kell alkalmazni.</w:t>
            </w:r>
          </w:p>
        </w:tc>
      </w:tr>
    </w:tbl>
    <w:p w:rsidR="00284DE5" w:rsidRPr="005D762A" w:rsidRDefault="00284DE5" w:rsidP="00284DE5">
      <w:pPr>
        <w:rPr>
          <w:szCs w:val="24"/>
        </w:rPr>
      </w:pPr>
    </w:p>
    <w:p w:rsidR="00284DE5" w:rsidRPr="005D762A" w:rsidRDefault="00284DE5" w:rsidP="00284DE5"/>
    <w:p w:rsidR="00284DE5" w:rsidRPr="005D762A" w:rsidRDefault="00284DE5" w:rsidP="00284DE5"/>
    <w:p w:rsidR="00E365E1" w:rsidRPr="005D762A" w:rsidRDefault="00E365E1" w:rsidP="00284DE5">
      <w:bookmarkStart w:id="11" w:name="TextBodyEnd"/>
      <w:bookmarkEnd w:id="11"/>
    </w:p>
    <w:sectPr w:rsidR="00E365E1" w:rsidRPr="005D762A" w:rsidSect="00F2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F7" w:rsidRPr="00F25FE4" w:rsidRDefault="00212EF7">
      <w:r w:rsidRPr="00F25FE4">
        <w:separator/>
      </w:r>
    </w:p>
  </w:endnote>
  <w:endnote w:type="continuationSeparator" w:id="0">
    <w:p w:rsidR="00212EF7" w:rsidRPr="00F25FE4" w:rsidRDefault="00212EF7">
      <w:r w:rsidRPr="00F25FE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Footer"/>
      <w:rPr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F7" w:rsidRPr="00F25FE4" w:rsidRDefault="00212EF7">
      <w:r w:rsidRPr="00F25FE4">
        <w:separator/>
      </w:r>
    </w:p>
  </w:footnote>
  <w:footnote w:type="continuationSeparator" w:id="0">
    <w:p w:rsidR="00212EF7" w:rsidRPr="00F25FE4" w:rsidRDefault="00212EF7">
      <w:r w:rsidRPr="00F25FE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Header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Header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E4" w:rsidRPr="00F25FE4" w:rsidRDefault="00F25FE4">
    <w:pPr>
      <w:pStyle w:val="Head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A8-0418/2018"/>
    <w:docVar w:name="dvlangue" w:val="HU"/>
    <w:docVar w:name="dvnumam" w:val="21"/>
    <w:docVar w:name="dvpe" w:val="604.776"/>
    <w:docVar w:name="dvrapporteur" w:val="Előadó: "/>
    <w:docVar w:name="dvtitre" w:val="Az Európai Parlament 2018.  ...-i jogalkotási állásfoglalása a közös hozzáadottértékadó-rendszerről szóló 2006/112/EK irányelvnek az általános fordított adózási mechanizmusnak termékek és szolgáltatások egy bizonyos határértéket meghaladó értékesítésére vonatkozó ideiglenes alkalmazása tekintetében történő módosításáról szóló tanácsi irányelvre irányuló javaslatról(COM(2016)0811 – C8-0023/2017 – 2016/0406(CNS))"/>
  </w:docVars>
  <w:rsids>
    <w:rsidRoot w:val="00212EF7"/>
    <w:rsid w:val="00002272"/>
    <w:rsid w:val="000677B9"/>
    <w:rsid w:val="000E7DD9"/>
    <w:rsid w:val="0010095E"/>
    <w:rsid w:val="00125B37"/>
    <w:rsid w:val="00212EF7"/>
    <w:rsid w:val="002767FF"/>
    <w:rsid w:val="00284DE5"/>
    <w:rsid w:val="002B5493"/>
    <w:rsid w:val="00361C00"/>
    <w:rsid w:val="0036698B"/>
    <w:rsid w:val="00395FA1"/>
    <w:rsid w:val="003E15D4"/>
    <w:rsid w:val="00411CCE"/>
    <w:rsid w:val="0041666E"/>
    <w:rsid w:val="00421060"/>
    <w:rsid w:val="00494A28"/>
    <w:rsid w:val="0050519A"/>
    <w:rsid w:val="005072A1"/>
    <w:rsid w:val="00514517"/>
    <w:rsid w:val="005A3196"/>
    <w:rsid w:val="005D762A"/>
    <w:rsid w:val="006037C0"/>
    <w:rsid w:val="00680577"/>
    <w:rsid w:val="006F74FA"/>
    <w:rsid w:val="00731ADD"/>
    <w:rsid w:val="00734777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A4678D"/>
    <w:rsid w:val="00AF3B82"/>
    <w:rsid w:val="00B558F0"/>
    <w:rsid w:val="00B76581"/>
    <w:rsid w:val="00BD7BD8"/>
    <w:rsid w:val="00C05BFE"/>
    <w:rsid w:val="00C23CD4"/>
    <w:rsid w:val="00C8132C"/>
    <w:rsid w:val="00C941CB"/>
    <w:rsid w:val="00CC2357"/>
    <w:rsid w:val="00D058B8"/>
    <w:rsid w:val="00D834A0"/>
    <w:rsid w:val="00D91E21"/>
    <w:rsid w:val="00E365E1"/>
    <w:rsid w:val="00ED4235"/>
    <w:rsid w:val="00F04346"/>
    <w:rsid w:val="00F075DC"/>
    <w:rsid w:val="00F25FE4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27EF"/>
  <w15:chartTrackingRefBased/>
  <w15:docId w15:val="{4C8D1D2C-EEE4-4D21-BA2B-01D618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hu-HU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link w:val="Normal6Char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character" w:customStyle="1" w:styleId="Normal6Char">
    <w:name w:val="Normal6 Char"/>
    <w:link w:val="Normal6"/>
    <w:rsid w:val="00284DE5"/>
    <w:rPr>
      <w:sz w:val="24"/>
      <w:lang w:val="hu-HU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link w:val="NormalBoldChar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NormalBoldChar">
    <w:name w:val="NormalBold Char"/>
    <w:link w:val="NormalBold"/>
    <w:rsid w:val="00284DE5"/>
    <w:rPr>
      <w:b/>
      <w:sz w:val="24"/>
      <w:lang w:val="hu-HU"/>
    </w:rPr>
  </w:style>
  <w:style w:type="paragraph" w:customStyle="1" w:styleId="ColumnHeading">
    <w:name w:val="ColumnHeading"/>
    <w:basedOn w:val="Normal"/>
    <w:rsid w:val="00284DE5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284DE5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Bold12b">
    <w:name w:val="NormalBold12b"/>
    <w:basedOn w:val="Normal"/>
    <w:rsid w:val="00284DE5"/>
    <w:pPr>
      <w:spacing w:before="240"/>
    </w:pPr>
    <w:rPr>
      <w:b/>
    </w:rPr>
  </w:style>
  <w:style w:type="paragraph" w:styleId="BalloonText">
    <w:name w:val="Balloon Text"/>
    <w:basedOn w:val="Normal"/>
    <w:link w:val="BalloonTextChar"/>
    <w:rsid w:val="005A3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3196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1869</Words>
  <Characters>13077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SALAT Adriana</dc:creator>
  <cp:keywords/>
  <cp:lastModifiedBy>SALAT Adriana relec</cp:lastModifiedBy>
  <cp:revision>2</cp:revision>
  <cp:lastPrinted>2004-11-19T15:42:00Z</cp:lastPrinted>
  <dcterms:created xsi:type="dcterms:W3CDTF">2019-07-23T13:41:00Z</dcterms:created>
  <dcterms:modified xsi:type="dcterms:W3CDTF">2019-07-23T13:41:00Z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HU</vt:lpwstr>
  </property>
  <property fmtid="{D5CDD505-2E9C-101B-9397-08002B2CF9AE}" pid="3" name="&lt;FdR&gt;">
    <vt:lpwstr>A8-0418/2018</vt:lpwstr>
  </property>
  <property fmtid="{D5CDD505-2E9C-101B-9397-08002B2CF9AE}" pid="4" name="&lt;Type&gt;">
    <vt:lpwstr>RR</vt:lpwstr>
  </property>
</Properties>
</file>