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942F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942F7" w:rsidRDefault="00F323DF" w:rsidP="0010095E">
            <w:pPr>
              <w:pStyle w:val="EPName"/>
              <w:rPr>
                <w:lang w:val="hu-HU"/>
              </w:rPr>
            </w:pPr>
            <w:r w:rsidRPr="008942F7">
              <w:rPr>
                <w:lang w:val="hu-HU"/>
              </w:rPr>
              <w:t>Európai Parlament</w:t>
            </w:r>
          </w:p>
          <w:p w:rsidR="00751A4A" w:rsidRPr="008942F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8942F7">
              <w:rPr>
                <w:lang w:val="hu-HU"/>
              </w:rPr>
              <w:t>2014</w:t>
            </w:r>
            <w:r w:rsidR="00C941CB" w:rsidRPr="008942F7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942F7" w:rsidRDefault="00CF5057" w:rsidP="0010095E">
            <w:pPr>
              <w:pStyle w:val="EPLogo"/>
            </w:pPr>
            <w:r w:rsidRPr="008942F7">
              <w:rPr>
                <w:noProof/>
                <w:lang w:eastAsia="hu-HU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8942F7" w:rsidRDefault="00D058B8" w:rsidP="00D058B8">
      <w:pPr>
        <w:pStyle w:val="LineTop"/>
        <w:rPr>
          <w:lang w:val="hu-HU"/>
        </w:rPr>
      </w:pPr>
    </w:p>
    <w:p w:rsidR="00680577" w:rsidRPr="008942F7" w:rsidRDefault="00F323DF" w:rsidP="00680577">
      <w:pPr>
        <w:pStyle w:val="ZSessionDoc"/>
        <w:rPr>
          <w:b/>
          <w:i w:val="0"/>
        </w:rPr>
      </w:pPr>
      <w:r w:rsidRPr="008942F7">
        <w:rPr>
          <w:b/>
          <w:i w:val="0"/>
        </w:rPr>
        <w:t>ELFOGADOTT SZÖVEGEK</w:t>
      </w:r>
    </w:p>
    <w:p w:rsidR="00D058B8" w:rsidRPr="008942F7" w:rsidRDefault="00D058B8" w:rsidP="00D058B8">
      <w:pPr>
        <w:pStyle w:val="LineBottom"/>
      </w:pPr>
    </w:p>
    <w:p w:rsidR="00F323DF" w:rsidRPr="008942F7" w:rsidRDefault="00F323DF" w:rsidP="00F323DF">
      <w:pPr>
        <w:pStyle w:val="ATHeading1"/>
        <w:rPr>
          <w:noProof w:val="0"/>
          <w:lang w:val="hu-HU"/>
        </w:rPr>
      </w:pPr>
      <w:bookmarkStart w:id="0" w:name="TANumber"/>
      <w:r w:rsidRPr="008942F7">
        <w:rPr>
          <w:noProof w:val="0"/>
          <w:lang w:val="hu-HU"/>
        </w:rPr>
        <w:t>P8_</w:t>
      </w:r>
      <w:proofErr w:type="gramStart"/>
      <w:r w:rsidRPr="008942F7">
        <w:rPr>
          <w:noProof w:val="0"/>
          <w:lang w:val="hu-HU"/>
        </w:rPr>
        <w:t>TA(</w:t>
      </w:r>
      <w:proofErr w:type="gramEnd"/>
      <w:r w:rsidRPr="008942F7">
        <w:rPr>
          <w:noProof w:val="0"/>
          <w:lang w:val="hu-HU"/>
        </w:rPr>
        <w:t>2019)00</w:t>
      </w:r>
      <w:r w:rsidR="008942F7" w:rsidRPr="008942F7">
        <w:rPr>
          <w:noProof w:val="0"/>
          <w:lang w:val="hu-HU"/>
        </w:rPr>
        <w:t>35</w:t>
      </w:r>
      <w:bookmarkEnd w:id="0"/>
    </w:p>
    <w:p w:rsidR="00F323DF" w:rsidRPr="008942F7" w:rsidRDefault="00AC77B6" w:rsidP="00F323DF">
      <w:pPr>
        <w:pStyle w:val="ATHeading2"/>
        <w:rPr>
          <w:noProof w:val="0"/>
          <w:lang w:val="hu-HU"/>
        </w:rPr>
      </w:pPr>
      <w:bookmarkStart w:id="1" w:name="title"/>
      <w:r w:rsidRPr="008942F7">
        <w:rPr>
          <w:noProof w:val="0"/>
          <w:lang w:val="hu-HU"/>
        </w:rPr>
        <w:t xml:space="preserve">A litvániai </w:t>
      </w:r>
      <w:proofErr w:type="spellStart"/>
      <w:r w:rsidRPr="008942F7">
        <w:rPr>
          <w:noProof w:val="0"/>
          <w:lang w:val="hu-HU"/>
        </w:rPr>
        <w:t>Ignalina</w:t>
      </w:r>
      <w:proofErr w:type="spellEnd"/>
      <w:r w:rsidRPr="008942F7">
        <w:rPr>
          <w:noProof w:val="0"/>
          <w:lang w:val="hu-HU"/>
        </w:rPr>
        <w:t xml:space="preserve"> atomerőmű leszerelését segítő támogatási program</w:t>
      </w:r>
      <w:bookmarkEnd w:id="1"/>
      <w:r w:rsidR="00F323DF" w:rsidRPr="008942F7">
        <w:rPr>
          <w:noProof w:val="0"/>
          <w:lang w:val="hu-HU"/>
        </w:rPr>
        <w:t xml:space="preserve"> </w:t>
      </w:r>
      <w:bookmarkStart w:id="2" w:name="Etoiles"/>
      <w:r w:rsidR="00F323DF" w:rsidRPr="008942F7">
        <w:rPr>
          <w:noProof w:val="0"/>
          <w:lang w:val="hu-HU"/>
        </w:rPr>
        <w:t>*</w:t>
      </w:r>
      <w:bookmarkEnd w:id="2"/>
    </w:p>
    <w:p w:rsidR="00F323DF" w:rsidRPr="008942F7" w:rsidRDefault="00F323DF" w:rsidP="00F323DF">
      <w:pPr>
        <w:rPr>
          <w:i/>
          <w:vanish/>
        </w:rPr>
      </w:pPr>
      <w:r w:rsidRPr="008942F7">
        <w:rPr>
          <w:i/>
        </w:rPr>
        <w:fldChar w:fldCharType="begin"/>
      </w:r>
      <w:r w:rsidRPr="008942F7">
        <w:rPr>
          <w:i/>
        </w:rPr>
        <w:instrText xml:space="preserve"> TC"(</w:instrText>
      </w:r>
      <w:bookmarkStart w:id="3" w:name="DocNumber"/>
      <w:r w:rsidRPr="008942F7">
        <w:rPr>
          <w:i/>
        </w:rPr>
        <w:instrText>A8-0413/2018</w:instrText>
      </w:r>
      <w:bookmarkEnd w:id="3"/>
      <w:r w:rsidRPr="008942F7">
        <w:rPr>
          <w:i/>
        </w:rPr>
        <w:instrText xml:space="preserve"> - Előadó: </w:instrText>
      </w:r>
      <w:proofErr w:type="spellStart"/>
      <w:r w:rsidRPr="008942F7">
        <w:rPr>
          <w:i/>
        </w:rPr>
        <w:instrText>Rebecca</w:instrText>
      </w:r>
      <w:proofErr w:type="spellEnd"/>
      <w:r w:rsidRPr="008942F7">
        <w:rPr>
          <w:i/>
        </w:rPr>
        <w:instrText xml:space="preserve"> </w:instrText>
      </w:r>
      <w:proofErr w:type="spellStart"/>
      <w:r w:rsidRPr="008942F7">
        <w:rPr>
          <w:i/>
        </w:rPr>
        <w:instrText>Harms</w:instrText>
      </w:r>
      <w:proofErr w:type="spellEnd"/>
      <w:r w:rsidRPr="008942F7">
        <w:rPr>
          <w:i/>
        </w:rPr>
        <w:instrText xml:space="preserve">)"\l3 \n&gt; \* MERGEFORMAT </w:instrText>
      </w:r>
      <w:r w:rsidRPr="008942F7">
        <w:rPr>
          <w:i/>
        </w:rPr>
        <w:fldChar w:fldCharType="end"/>
      </w:r>
    </w:p>
    <w:p w:rsidR="00F323DF" w:rsidRPr="008942F7" w:rsidRDefault="00F323DF" w:rsidP="00F323DF">
      <w:pPr>
        <w:rPr>
          <w:vanish/>
        </w:rPr>
      </w:pPr>
      <w:bookmarkStart w:id="4" w:name="Commission"/>
      <w:r w:rsidRPr="008942F7">
        <w:rPr>
          <w:vanish/>
        </w:rPr>
        <w:t>Ipari, Kutatási és Energiaügyi Bizottság</w:t>
      </w:r>
      <w:bookmarkEnd w:id="4"/>
    </w:p>
    <w:p w:rsidR="00F323DF" w:rsidRPr="008942F7" w:rsidRDefault="00F323DF" w:rsidP="00F323DF">
      <w:pPr>
        <w:rPr>
          <w:vanish/>
        </w:rPr>
      </w:pPr>
      <w:bookmarkStart w:id="5" w:name="PE"/>
      <w:r w:rsidRPr="008942F7">
        <w:rPr>
          <w:vanish/>
        </w:rPr>
        <w:t>PE627.763</w:t>
      </w:r>
      <w:bookmarkEnd w:id="5"/>
    </w:p>
    <w:p w:rsidR="00F323DF" w:rsidRPr="008942F7" w:rsidRDefault="00F323DF" w:rsidP="00F323DF">
      <w:pPr>
        <w:pStyle w:val="ATHeading3"/>
        <w:rPr>
          <w:noProof w:val="0"/>
          <w:lang w:val="hu-HU"/>
        </w:rPr>
      </w:pPr>
      <w:bookmarkStart w:id="6" w:name="Sujet"/>
      <w:r w:rsidRPr="008942F7">
        <w:rPr>
          <w:noProof w:val="0"/>
          <w:lang w:val="hu-HU"/>
        </w:rPr>
        <w:t xml:space="preserve">Az Európai Parlament 2019. január </w:t>
      </w:r>
      <w:r w:rsidR="00824F98" w:rsidRPr="008942F7">
        <w:rPr>
          <w:noProof w:val="0"/>
          <w:lang w:val="hu-HU"/>
        </w:rPr>
        <w:t>17</w:t>
      </w:r>
      <w:r w:rsidR="00AC77B6" w:rsidRPr="008942F7">
        <w:rPr>
          <w:noProof w:val="0"/>
          <w:lang w:val="hu-HU"/>
        </w:rPr>
        <w:t>-</w:t>
      </w:r>
      <w:r w:rsidRPr="008942F7">
        <w:rPr>
          <w:noProof w:val="0"/>
          <w:lang w:val="hu-HU"/>
        </w:rPr>
        <w:t xml:space="preserve">i jogalkotási állásfoglalása a litvániai </w:t>
      </w:r>
      <w:proofErr w:type="spellStart"/>
      <w:r w:rsidRPr="008942F7">
        <w:rPr>
          <w:noProof w:val="0"/>
          <w:lang w:val="hu-HU"/>
        </w:rPr>
        <w:t>Ignalina</w:t>
      </w:r>
      <w:proofErr w:type="spellEnd"/>
      <w:r w:rsidRPr="008942F7">
        <w:rPr>
          <w:noProof w:val="0"/>
          <w:lang w:val="hu-HU"/>
        </w:rPr>
        <w:t xml:space="preserve"> atomerőmű leszerelését segítő támogatási program létrehozásáról (</w:t>
      </w:r>
      <w:proofErr w:type="spellStart"/>
      <w:r w:rsidRPr="008942F7">
        <w:rPr>
          <w:noProof w:val="0"/>
          <w:lang w:val="hu-HU"/>
        </w:rPr>
        <w:t>Ignalina</w:t>
      </w:r>
      <w:proofErr w:type="spellEnd"/>
      <w:r w:rsidRPr="008942F7">
        <w:rPr>
          <w:noProof w:val="0"/>
          <w:lang w:val="hu-HU"/>
        </w:rPr>
        <w:t>-program), valamint az 1369/2013/EU tanácsi rendelet hatályon kívül helyezéséről szóló tanácsi rendeletre irányuló javaslatról</w:t>
      </w:r>
      <w:bookmarkEnd w:id="6"/>
      <w:r w:rsidRPr="008942F7">
        <w:rPr>
          <w:noProof w:val="0"/>
          <w:lang w:val="hu-HU"/>
        </w:rPr>
        <w:t xml:space="preserve"> </w:t>
      </w:r>
      <w:bookmarkStart w:id="7" w:name="References"/>
      <w:r w:rsidRPr="008942F7">
        <w:rPr>
          <w:noProof w:val="0"/>
          <w:lang w:val="hu-HU"/>
        </w:rPr>
        <w:t>(</w:t>
      </w:r>
      <w:proofErr w:type="gramStart"/>
      <w:r w:rsidRPr="008942F7">
        <w:rPr>
          <w:noProof w:val="0"/>
          <w:lang w:val="hu-HU"/>
        </w:rPr>
        <w:t>COM(</w:t>
      </w:r>
      <w:proofErr w:type="gramEnd"/>
      <w:r w:rsidRPr="008942F7">
        <w:rPr>
          <w:noProof w:val="0"/>
          <w:lang w:val="hu-HU"/>
        </w:rPr>
        <w:t>2018)0466 – C8-0394/2018 – 2018/0251(NLE))</w:t>
      </w:r>
      <w:bookmarkEnd w:id="7"/>
    </w:p>
    <w:p w:rsidR="000B6D65" w:rsidRPr="008942F7" w:rsidRDefault="000B6D65" w:rsidP="000B6D65">
      <w:pPr>
        <w:pStyle w:val="Normal12Bold"/>
      </w:pPr>
      <w:bookmarkStart w:id="8" w:name="TextBodyBegin"/>
      <w:bookmarkStart w:id="9" w:name="_GoBack"/>
      <w:bookmarkEnd w:id="8"/>
      <w:bookmarkEnd w:id="9"/>
      <w:r w:rsidRPr="008942F7">
        <w:t>(Konzultáció)</w:t>
      </w:r>
    </w:p>
    <w:p w:rsidR="000B6D65" w:rsidRPr="008942F7" w:rsidRDefault="000B6D65" w:rsidP="00F36F53">
      <w:pPr>
        <w:pStyle w:val="Normal12"/>
        <w:spacing w:before="360"/>
      </w:pPr>
      <w:r w:rsidRPr="008942F7">
        <w:rPr>
          <w:i/>
        </w:rPr>
        <w:t>Az Európai Parlament</w:t>
      </w:r>
      <w:r w:rsidRPr="008942F7">
        <w:t>,</w:t>
      </w:r>
    </w:p>
    <w:p w:rsidR="000B6D65" w:rsidRPr="008942F7" w:rsidRDefault="000B6D65" w:rsidP="00F36F53">
      <w:pPr>
        <w:pStyle w:val="Normal12Hanging"/>
        <w:widowControl/>
      </w:pPr>
      <w:r w:rsidRPr="008942F7">
        <w:t>–</w:t>
      </w:r>
      <w:r w:rsidRPr="008942F7">
        <w:tab/>
        <w:t>tekintettel a Bizottság Tanácshoz intézett javaslatára (</w:t>
      </w:r>
      <w:proofErr w:type="gramStart"/>
      <w:r w:rsidRPr="008942F7">
        <w:t>COM(</w:t>
      </w:r>
      <w:proofErr w:type="gramEnd"/>
      <w:r w:rsidRPr="008942F7">
        <w:t>2018)0466),</w:t>
      </w:r>
    </w:p>
    <w:p w:rsidR="000B6D65" w:rsidRPr="008942F7" w:rsidRDefault="000B6D65" w:rsidP="00F36F53">
      <w:pPr>
        <w:pStyle w:val="Normal12Hanging"/>
        <w:widowControl/>
      </w:pPr>
      <w:r w:rsidRPr="008942F7">
        <w:sym w:font="Symbol" w:char="F02D"/>
      </w:r>
      <w:r w:rsidRPr="008942F7">
        <w:tab/>
      </w:r>
      <w:proofErr w:type="gramStart"/>
      <w:r w:rsidRPr="008942F7">
        <w:t>tekintettel</w:t>
      </w:r>
      <w:proofErr w:type="gramEnd"/>
      <w:r w:rsidRPr="008942F7">
        <w:t xml:space="preserve"> a 2003. évi csatlakozási okmányra és különösen az ahhoz csatolt 4. jegyzőkönyv 3. cikkére,</w:t>
      </w:r>
    </w:p>
    <w:p w:rsidR="000B6D65" w:rsidRPr="008942F7" w:rsidRDefault="000B6D65" w:rsidP="00F36F53">
      <w:pPr>
        <w:pStyle w:val="Normal12Hanging"/>
        <w:widowControl/>
      </w:pPr>
      <w:r w:rsidRPr="008942F7">
        <w:t>–</w:t>
      </w:r>
      <w:r w:rsidRPr="008942F7">
        <w:tab/>
        <w:t>tekintettel a Tanács vélemény iránti kérelmére (C8-0394/2018),</w:t>
      </w:r>
    </w:p>
    <w:p w:rsidR="000B6D65" w:rsidRPr="008942F7" w:rsidRDefault="000B6D65" w:rsidP="00F36F53">
      <w:pPr>
        <w:pStyle w:val="Normal12Hanging"/>
        <w:widowControl/>
      </w:pPr>
      <w:r w:rsidRPr="008942F7">
        <w:t>–</w:t>
      </w:r>
      <w:r w:rsidRPr="008942F7">
        <w:tab/>
        <w:t>tekintettel eljárási szabályzata 78c. cikkére,</w:t>
      </w:r>
    </w:p>
    <w:p w:rsidR="000B6D65" w:rsidRPr="008942F7" w:rsidRDefault="000B6D65" w:rsidP="00F36F53">
      <w:pPr>
        <w:pStyle w:val="Normal12Hanging"/>
        <w:widowControl/>
      </w:pPr>
      <w:r w:rsidRPr="008942F7">
        <w:t>–</w:t>
      </w:r>
      <w:r w:rsidRPr="008942F7">
        <w:tab/>
        <w:t>tekintettel az Ipari, Kutatási és Energiaügyi Bizottság jelentésére (A8-0413/2018),</w:t>
      </w:r>
    </w:p>
    <w:p w:rsidR="000B6D65" w:rsidRPr="008942F7" w:rsidRDefault="000B6D65" w:rsidP="00F36F53">
      <w:pPr>
        <w:pStyle w:val="Normal12Hanging"/>
        <w:widowControl/>
      </w:pPr>
      <w:r w:rsidRPr="008942F7">
        <w:t>1.</w:t>
      </w:r>
      <w:r w:rsidRPr="008942F7">
        <w:tab/>
        <w:t>jóváhagyja a Bizottság javaslatát az alábbi módosításokkal;</w:t>
      </w:r>
    </w:p>
    <w:p w:rsidR="000B6D65" w:rsidRPr="008942F7" w:rsidRDefault="000B6D65" w:rsidP="00F36F53">
      <w:pPr>
        <w:pStyle w:val="Normal12Hanging"/>
        <w:widowControl/>
      </w:pPr>
      <w:r w:rsidRPr="008942F7">
        <w:t>2.</w:t>
      </w:r>
      <w:r w:rsidRPr="008942F7">
        <w:tab/>
        <w:t>felkéri a Bizottságot, hogy ennek megfelelően módosítsa javaslatát, az Európai Unió működéséről szóló szerződés 293. cikk</w:t>
      </w:r>
      <w:r w:rsidR="007C4294" w:rsidRPr="008942F7">
        <w:t>e</w:t>
      </w:r>
      <w:r w:rsidRPr="008942F7">
        <w:t xml:space="preserve"> (2) </w:t>
      </w:r>
      <w:r w:rsidR="000A01F0" w:rsidRPr="008942F7">
        <w:t>bekezdésének megfelelően</w:t>
      </w:r>
      <w:r w:rsidRPr="008942F7">
        <w:t>;</w:t>
      </w:r>
    </w:p>
    <w:p w:rsidR="000B6D65" w:rsidRPr="008942F7" w:rsidRDefault="000B6D65" w:rsidP="00F36F53">
      <w:pPr>
        <w:pStyle w:val="Normal12Hanging"/>
        <w:widowControl/>
      </w:pPr>
      <w:r w:rsidRPr="008942F7">
        <w:t>3.</w:t>
      </w:r>
      <w:r w:rsidRPr="008942F7">
        <w:tab/>
        <w:t>felkéri a Tanácsot, hogy tájékoztassa arról, ha a Parlament által jóváhagyott szövegtől el kíván térni;</w:t>
      </w:r>
    </w:p>
    <w:p w:rsidR="000B6D65" w:rsidRPr="008942F7" w:rsidRDefault="000B6D65" w:rsidP="00F36F53">
      <w:pPr>
        <w:pStyle w:val="Normal12Hanging"/>
        <w:widowControl/>
      </w:pPr>
      <w:r w:rsidRPr="008942F7">
        <w:t>4.</w:t>
      </w:r>
      <w:r w:rsidRPr="008942F7">
        <w:tab/>
        <w:t xml:space="preserve">felkéri a Tanácsot a Parlamenttel való újbóli </w:t>
      </w:r>
      <w:proofErr w:type="gramStart"/>
      <w:r w:rsidRPr="008942F7">
        <w:t>konzultációra</w:t>
      </w:r>
      <w:proofErr w:type="gramEnd"/>
      <w:r w:rsidRPr="008942F7">
        <w:t>, ha lényegesen módosítani kívánja a Bizottság javaslatát;</w:t>
      </w:r>
    </w:p>
    <w:p w:rsidR="000B6D65" w:rsidRPr="008942F7" w:rsidRDefault="000B6D65" w:rsidP="00F36F53">
      <w:pPr>
        <w:pStyle w:val="Normal12Hanging"/>
        <w:widowControl/>
      </w:pPr>
      <w:r w:rsidRPr="008942F7">
        <w:t>5.</w:t>
      </w:r>
      <w:r w:rsidRPr="008942F7">
        <w:tab/>
        <w:t>utasítja elnökét, hogy továbbítsa a Parlament álláspontját a Tanácsnak és a Bizottságnak.</w:t>
      </w:r>
    </w:p>
    <w:p w:rsidR="000B6D65" w:rsidRPr="008942F7" w:rsidRDefault="00F36F53" w:rsidP="000B6D65">
      <w:pPr>
        <w:pStyle w:val="AMNumberTabs"/>
        <w:keepNext/>
      </w:pPr>
      <w:r w:rsidRPr="008942F7">
        <w:br w:type="page"/>
      </w:r>
      <w:r w:rsidR="000B6D65" w:rsidRPr="008942F7">
        <w:lastRenderedPageBreak/>
        <w:t>Módosítás</w:t>
      </w:r>
      <w:r w:rsidR="000B6D65" w:rsidRPr="008942F7">
        <w:tab/>
      </w:r>
      <w:r w:rsidR="000B6D65" w:rsidRPr="008942F7">
        <w:tab/>
        <w:t>1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  <w:keepNext/>
        <w:rPr>
          <w:rFonts w:ascii="Arial" w:hAnsi="Arial"/>
          <w:b w:val="0"/>
          <w:sz w:val="20"/>
        </w:rPr>
      </w:pPr>
      <w:r w:rsidRPr="008942F7">
        <w:t>1 preambulumbekezdés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  <w:rPr>
                <w:rFonts w:ascii="Calibri" w:hAnsi="Calibri"/>
                <w:sz w:val="22"/>
              </w:rPr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rPr>
                <w:snapToGrid w:val="0"/>
              </w:rPr>
              <w:t>(1)</w:t>
            </w:r>
            <w:r w:rsidRPr="008942F7">
              <w:rPr>
                <w:snapToGrid w:val="0"/>
              </w:rPr>
              <w:tab/>
              <w:t xml:space="preserve">A 2003. évi csatlakozási </w:t>
            </w:r>
            <w:r w:rsidRPr="008942F7">
              <w:rPr>
                <w:b/>
                <w:i/>
                <w:snapToGrid w:val="0"/>
              </w:rPr>
              <w:t>okmány</w:t>
            </w:r>
            <w:r w:rsidRPr="008942F7">
              <w:rPr>
                <w:snapToGrid w:val="0"/>
              </w:rPr>
              <w:t xml:space="preserve"> az </w:t>
            </w:r>
            <w:proofErr w:type="spellStart"/>
            <w:r w:rsidRPr="008942F7">
              <w:rPr>
                <w:snapToGrid w:val="0"/>
              </w:rPr>
              <w:t>Ignalina</w:t>
            </w:r>
            <w:proofErr w:type="spellEnd"/>
            <w:r w:rsidRPr="008942F7">
              <w:rPr>
                <w:snapToGrid w:val="0"/>
              </w:rPr>
              <w:t xml:space="preserve"> atomerőműről szóló 4. jegyzőkönyvében</w:t>
            </w:r>
            <w:r w:rsidRPr="008942F7">
              <w:rPr>
                <w:b/>
                <w:i/>
                <w:snapToGrid w:val="0"/>
              </w:rPr>
              <w:t xml:space="preserve"> (</w:t>
            </w:r>
            <w:r w:rsidRPr="008942F7">
              <w:rPr>
                <w:snapToGrid w:val="0"/>
                <w:vertAlign w:val="superscript"/>
              </w:rPr>
              <w:t>1</w:t>
            </w:r>
            <w:r w:rsidRPr="008942F7">
              <w:rPr>
                <w:b/>
                <w:i/>
                <w:snapToGrid w:val="0"/>
              </w:rPr>
              <w:t>)</w:t>
            </w:r>
            <w:r w:rsidRPr="008942F7">
              <w:rPr>
                <w:snapToGrid w:val="0"/>
              </w:rPr>
              <w:t xml:space="preserve"> Litvánia kötelezte magát arra, hogy 2004. december 31-ig, illetve 2009. december 31-ig leállítja az </w:t>
            </w:r>
            <w:proofErr w:type="spellStart"/>
            <w:r w:rsidRPr="008942F7">
              <w:rPr>
                <w:snapToGrid w:val="0"/>
              </w:rPr>
              <w:t>Ignalina</w:t>
            </w:r>
            <w:proofErr w:type="spellEnd"/>
            <w:r w:rsidRPr="008942F7">
              <w:rPr>
                <w:snapToGrid w:val="0"/>
              </w:rPr>
              <w:t xml:space="preserve"> atomerőmű 1. és 2. blokkját, valamint ezt követően leszereli az említett blokkokat.</w:t>
            </w:r>
            <w:r w:rsidRPr="008942F7">
              <w:rPr>
                <w:szCs w:val="24"/>
              </w:rPr>
              <w:t xml:space="preserve"> 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zCs w:val="24"/>
              </w:rPr>
              <w:t>(1)</w:t>
            </w:r>
            <w:r w:rsidRPr="008942F7">
              <w:tab/>
            </w:r>
            <w:r w:rsidRPr="008942F7">
              <w:rPr>
                <w:snapToGrid w:val="0"/>
              </w:rPr>
              <w:t xml:space="preserve">A 2003. évi csatlakozási </w:t>
            </w:r>
            <w:r w:rsidRPr="008942F7">
              <w:rPr>
                <w:b/>
                <w:i/>
                <w:snapToGrid w:val="0"/>
              </w:rPr>
              <w:t>okmánynak</w:t>
            </w:r>
            <w:r w:rsidRPr="008942F7">
              <w:rPr>
                <w:snapToGrid w:val="0"/>
              </w:rPr>
              <w:t xml:space="preserve"> az </w:t>
            </w:r>
            <w:proofErr w:type="spellStart"/>
            <w:r w:rsidRPr="008942F7">
              <w:rPr>
                <w:snapToGrid w:val="0"/>
              </w:rPr>
              <w:t>Ignalina</w:t>
            </w:r>
            <w:proofErr w:type="spellEnd"/>
            <w:r w:rsidRPr="008942F7">
              <w:rPr>
                <w:snapToGrid w:val="0"/>
              </w:rPr>
              <w:t xml:space="preserve"> atomerőműről szóló 4. jegyzőkönyvében</w:t>
            </w:r>
            <w:r w:rsidRPr="008942F7">
              <w:rPr>
                <w:snapToGrid w:val="0"/>
                <w:vertAlign w:val="superscript"/>
              </w:rPr>
              <w:t>1</w:t>
            </w:r>
            <w:r w:rsidRPr="008942F7">
              <w:rPr>
                <w:snapToGrid w:val="0"/>
              </w:rPr>
              <w:t xml:space="preserve"> Litvánia kötelezte magát arra, hogy 2004. december 31-ig, illetve 2009. december 31-ig leállítja az </w:t>
            </w:r>
            <w:proofErr w:type="spellStart"/>
            <w:r w:rsidRPr="008942F7">
              <w:rPr>
                <w:snapToGrid w:val="0"/>
              </w:rPr>
              <w:t>Ignalina</w:t>
            </w:r>
            <w:proofErr w:type="spellEnd"/>
            <w:r w:rsidRPr="008942F7">
              <w:rPr>
                <w:snapToGrid w:val="0"/>
              </w:rPr>
              <w:t xml:space="preserve"> atomerőmű 1. és 2. blokkját, valamint ezt követően leszereli az említett blokkokat. </w:t>
            </w:r>
            <w:r w:rsidRPr="008942F7">
              <w:rPr>
                <w:b/>
                <w:i/>
                <w:snapToGrid w:val="0"/>
              </w:rPr>
              <w:t xml:space="preserve">Az </w:t>
            </w:r>
            <w:proofErr w:type="spellStart"/>
            <w:r w:rsidRPr="008942F7">
              <w:rPr>
                <w:b/>
                <w:i/>
                <w:snapToGrid w:val="0"/>
              </w:rPr>
              <w:t>Ignalina</w:t>
            </w:r>
            <w:proofErr w:type="spellEnd"/>
            <w:r w:rsidRPr="008942F7">
              <w:rPr>
                <w:b/>
                <w:i/>
                <w:snapToGrid w:val="0"/>
              </w:rPr>
              <w:t>-program jogalapját továbbra is a 4. jegyzőkönyv képezi.</w:t>
            </w:r>
            <w:r w:rsidRPr="008942F7">
              <w:rPr>
                <w:szCs w:val="24"/>
              </w:rPr>
              <w:t xml:space="preserve"> 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napToGrid w:val="0"/>
              </w:rPr>
            </w:pPr>
            <w:r w:rsidRPr="008942F7">
              <w:rPr>
                <w:snapToGrid w:val="0"/>
              </w:rPr>
              <w:t>_____________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zCs w:val="24"/>
              </w:rPr>
              <w:t>_________________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napToGrid w:val="0"/>
              </w:rPr>
            </w:pPr>
            <w:r w:rsidRPr="008942F7">
              <w:rPr>
                <w:vertAlign w:val="superscript"/>
              </w:rPr>
              <w:t>1</w:t>
            </w:r>
            <w:r w:rsidRPr="008942F7">
              <w:t xml:space="preserve"> HL L 236., 2003.9.23</w:t>
            </w:r>
            <w:proofErr w:type="gramStart"/>
            <w:r w:rsidRPr="008942F7">
              <w:t>.,</w:t>
            </w:r>
            <w:proofErr w:type="gramEnd"/>
            <w:r w:rsidRPr="008942F7">
              <w:t xml:space="preserve"> 944. o.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vertAlign w:val="superscript"/>
              </w:rPr>
              <w:t>1</w:t>
            </w:r>
            <w:r w:rsidRPr="008942F7">
              <w:t xml:space="preserve"> HL L 236., 2003.9.23</w:t>
            </w:r>
            <w:proofErr w:type="gramStart"/>
            <w:r w:rsidRPr="008942F7">
              <w:t>.,</w:t>
            </w:r>
            <w:proofErr w:type="gramEnd"/>
            <w:r w:rsidRPr="008942F7">
              <w:t xml:space="preserve"> 944. o.</w:t>
            </w:r>
          </w:p>
        </w:tc>
      </w:tr>
    </w:tbl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2</w:t>
      </w:r>
    </w:p>
    <w:p w:rsidR="000B6D65" w:rsidRPr="008942F7" w:rsidRDefault="000B6D65" w:rsidP="000B6D65">
      <w:pPr>
        <w:pStyle w:val="NormalBold12b"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2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/>
        </w:tc>
      </w:tr>
      <w:tr w:rsidR="000B6D65" w:rsidRPr="008942F7" w:rsidTr="006661EE">
        <w:trPr>
          <w:trHeight w:val="240"/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(2)</w:t>
            </w:r>
            <w:r w:rsidRPr="008942F7">
              <w:tab/>
              <w:t>A csatlakozási szerződésben vállalt kötelezettségeinek megfelelően, valamint az Európiai Unió támogatásával Litvánia határidőre leállította a két blokkot, és jelentős előrelépést tett azok leszerelése felé. A sugárzásveszély szintjének folyamatos csökkentéséhez további munkálatok elvégzésére van szükség. A rendelkezésre álló becslések szerint 2020 után további pénzügyi forrásokra lesz szükség e cél megvalósításához.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(2)</w:t>
            </w:r>
            <w:r w:rsidRPr="008942F7">
              <w:tab/>
              <w:t>A csatlakozási szerződésben vállalt kötelezettségeinek megfelelően, valamint az Európiai Unió támogatásával Litvánia határidőre leállította a két blokkot, és jelentős előrelépést tett azok leszerelése felé. A sugárzásveszély szintjének folyamatos csökkentéséhez további munkálatok elvégzésére van szükség. A rendelkezésre álló becslések szerint</w:t>
            </w:r>
            <w:r w:rsidRPr="008942F7">
              <w:rPr>
                <w:b/>
                <w:i/>
              </w:rPr>
              <w:t>, és tekintettel a 2038-ra tervezett végső leállításra,</w:t>
            </w:r>
            <w:r w:rsidRPr="008942F7">
              <w:t xml:space="preserve"> 2020 után további</w:t>
            </w:r>
            <w:r w:rsidRPr="008942F7">
              <w:rPr>
                <w:b/>
                <w:i/>
              </w:rPr>
              <w:t xml:space="preserve"> jelentős</w:t>
            </w:r>
            <w:r w:rsidRPr="008942F7">
              <w:t xml:space="preserve"> pénzügyi forrásokra lesz szükség e cél megvalósításához.</w:t>
            </w:r>
            <w:r w:rsidRPr="008942F7">
              <w:rPr>
                <w:b/>
                <w:i/>
                <w:snapToGrid w:val="0"/>
              </w:rPr>
              <w:t xml:space="preserve"> A leszerelési terv 2038-ig történő végrehajtásához az 1548 millió EUR összegű </w:t>
            </w:r>
            <w:proofErr w:type="gramStart"/>
            <w:r w:rsidRPr="008942F7">
              <w:rPr>
                <w:b/>
                <w:i/>
                <w:snapToGrid w:val="0"/>
              </w:rPr>
              <w:t>finanszírozási</w:t>
            </w:r>
            <w:proofErr w:type="gramEnd"/>
            <w:r w:rsidRPr="008942F7">
              <w:rPr>
                <w:b/>
                <w:i/>
                <w:snapToGrid w:val="0"/>
              </w:rPr>
              <w:t xml:space="preserve"> hiányt pótolni kell</w:t>
            </w:r>
            <w:r w:rsidRPr="008942F7">
              <w:rPr>
                <w:b/>
                <w:i/>
              </w:rPr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3</w:t>
      </w:r>
    </w:p>
    <w:p w:rsidR="000B6D65" w:rsidRPr="008942F7" w:rsidRDefault="000B6D65" w:rsidP="000B6D65">
      <w:pPr>
        <w:pStyle w:val="NormalBold12b"/>
        <w:keepNext/>
      </w:pPr>
      <w:r w:rsidRPr="008942F7">
        <w:lastRenderedPageBreak/>
        <w:t>Rendeletre irányuló javaslat</w:t>
      </w:r>
    </w:p>
    <w:p w:rsidR="000B6D65" w:rsidRPr="008942F7" w:rsidRDefault="000B6D65" w:rsidP="000B6D65">
      <w:pPr>
        <w:pStyle w:val="NormalBold"/>
        <w:keepNext/>
      </w:pPr>
      <w:r w:rsidRPr="008942F7">
        <w:t>3 preambulumbekezdés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F36F53">
            <w:pPr>
              <w:pStyle w:val="Normal6"/>
              <w:rPr>
                <w:szCs w:val="24"/>
              </w:rPr>
            </w:pPr>
            <w:r w:rsidRPr="008942F7">
              <w:rPr>
                <w:szCs w:val="24"/>
              </w:rPr>
              <w:t>(3)</w:t>
            </w:r>
            <w:r w:rsidRPr="008942F7">
              <w:tab/>
            </w:r>
            <w:r w:rsidRPr="008942F7">
              <w:rPr>
                <w:snapToGrid w:val="0"/>
              </w:rPr>
              <w:t>A rendelet hatálya alá tartozó tevékenységeknek meg kell felelniük az alkalmazandó uniós és tagállami jogszabályoknak. Az e rendelet hatálya alá tartozó atomerőmű leszerelését a nukleáris biztonságra vonatkozó jogszabályokkal, nevezetesen a 2009/71/Euratom</w:t>
            </w:r>
            <w:r w:rsidRPr="008942F7">
              <w:rPr>
                <w:snapToGrid w:val="0"/>
                <w:vertAlign w:val="superscript"/>
              </w:rPr>
              <w:t>1</w:t>
            </w:r>
            <w:r w:rsidRPr="008942F7">
              <w:rPr>
                <w:snapToGrid w:val="0"/>
              </w:rPr>
              <w:t xml:space="preserve"> tanácsi irányelvvel és a hulladékkezelésre vonatkozó jogszabályokkal, nevezetesen a 2011/70/Euratom</w:t>
            </w:r>
            <w:r w:rsidRPr="008942F7">
              <w:rPr>
                <w:snapToGrid w:val="0"/>
                <w:vertAlign w:val="superscript"/>
              </w:rPr>
              <w:t>2</w:t>
            </w:r>
            <w:r w:rsidRPr="008942F7">
              <w:rPr>
                <w:snapToGrid w:val="0"/>
              </w:rPr>
              <w:t xml:space="preserve"> tanácsi irányelvvel összhangban kell megvalósítani. A kiégett fűtőelemek és a radioaktív hulladékok biztonságos kezelése iránti végső felelősség Litvániáé.</w:t>
            </w:r>
          </w:p>
        </w:tc>
        <w:tc>
          <w:tcPr>
            <w:tcW w:w="4876" w:type="dxa"/>
            <w:hideMark/>
          </w:tcPr>
          <w:p w:rsidR="000B6D65" w:rsidRPr="008942F7" w:rsidRDefault="000B6D65" w:rsidP="00F36F53">
            <w:pPr>
              <w:pStyle w:val="Normal6"/>
              <w:rPr>
                <w:szCs w:val="24"/>
              </w:rPr>
            </w:pPr>
            <w:r w:rsidRPr="008942F7">
              <w:rPr>
                <w:szCs w:val="24"/>
              </w:rPr>
              <w:t>(3)</w:t>
            </w:r>
            <w:r w:rsidRPr="008942F7">
              <w:tab/>
            </w:r>
            <w:r w:rsidRPr="008942F7">
              <w:rPr>
                <w:snapToGrid w:val="0"/>
              </w:rPr>
              <w:t>A rendelet hatálya alá tartozó tevékenységeknek meg kell felelniük az alkalmazandó uniós és tagállami jogszabályoknak. Az e rendelet hatálya alá tartozó atomerőmű leszerelését a nukleáris biztonságra vonatkozó jogszabályokkal, nevezetesen a 2009/71/Euratom tanácsi irányelvvel</w:t>
            </w:r>
            <w:r w:rsidRPr="008942F7">
              <w:rPr>
                <w:snapToGrid w:val="0"/>
                <w:vertAlign w:val="superscript"/>
              </w:rPr>
              <w:t>1</w:t>
            </w:r>
            <w:r w:rsidRPr="008942F7">
              <w:rPr>
                <w:snapToGrid w:val="0"/>
              </w:rPr>
              <w:t xml:space="preserve"> és a hulladékkezelésre vonatkozó jogszabályokkal, nevezetesen a 2011/70/Euratom tanácsi irányelvvel</w:t>
            </w:r>
            <w:r w:rsidRPr="008942F7">
              <w:rPr>
                <w:snapToGrid w:val="0"/>
                <w:vertAlign w:val="superscript"/>
              </w:rPr>
              <w:t>2</w:t>
            </w:r>
            <w:r w:rsidRPr="008942F7">
              <w:rPr>
                <w:snapToGrid w:val="0"/>
              </w:rPr>
              <w:t xml:space="preserve"> összhangban kell megvalósítani. A nukleáris biztonsággal, valamint a kiégett fűtőelemek és a radioaktív hulladékok biztonságos kezelésével kapcsolatos végső felelősség Litvániáé</w:t>
            </w:r>
            <w:r w:rsidRPr="008942F7">
              <w:t xml:space="preserve">. </w:t>
            </w:r>
            <w:r w:rsidRPr="008942F7">
              <w:rPr>
                <w:b/>
                <w:bCs/>
                <w:i/>
                <w:iCs/>
              </w:rPr>
              <w:t xml:space="preserve">A 2011/70/Euratom irányelv azonban lehetővé teszi, hogy az Unió leszerelési projektek széles köréhez járuljon hozzá, beleértve a kiégett fűtőelemek és a radioaktív hulladékok tárolását és végleges elhelyezését. Míg a 2011/70/Euratom irányelv rögzíti, hogy a kiégett fűtőelemek és a radioaktív hulladékok kezelésének költségeit azoknak kell viselniük, akiknél ezek az anyagok keletkeznek, ez a rendelkezés nem alkalmazható visszamenőleges hatállyal Litvániára, amely az </w:t>
            </w:r>
            <w:proofErr w:type="spellStart"/>
            <w:r w:rsidRPr="008942F7">
              <w:rPr>
                <w:b/>
                <w:bCs/>
                <w:i/>
                <w:iCs/>
              </w:rPr>
              <w:t>Ignalina</w:t>
            </w:r>
            <w:proofErr w:type="spellEnd"/>
            <w:r w:rsidRPr="008942F7">
              <w:rPr>
                <w:b/>
                <w:bCs/>
                <w:i/>
                <w:iCs/>
              </w:rPr>
              <w:t xml:space="preserve"> atomerőművet az említett irányelv elfogadása előtt állította le, így nem volt abban a helyzetben, hogy elegendő forrást </w:t>
            </w:r>
            <w:proofErr w:type="spellStart"/>
            <w:r w:rsidRPr="008942F7">
              <w:rPr>
                <w:b/>
                <w:bCs/>
                <w:i/>
                <w:iCs/>
              </w:rPr>
              <w:t>gyűjthessen</w:t>
            </w:r>
            <w:proofErr w:type="spellEnd"/>
            <w:r w:rsidRPr="008942F7">
              <w:rPr>
                <w:b/>
                <w:bCs/>
                <w:i/>
                <w:iCs/>
              </w:rPr>
              <w:t xml:space="preserve"> a kiégett fűtőelemek és a radioaktív hulladékok tárolására és végleges elhelyezésére.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napToGrid w:val="0"/>
              </w:rPr>
            </w:pPr>
            <w:r w:rsidRPr="008942F7">
              <w:rPr>
                <w:snapToGrid w:val="0"/>
              </w:rPr>
              <w:t>_____________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zCs w:val="24"/>
              </w:rPr>
              <w:t>_________________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napToGrid w:val="0"/>
                <w:vertAlign w:val="superscript"/>
              </w:rPr>
              <w:t>1</w:t>
            </w:r>
            <w:r w:rsidRPr="008942F7">
              <w:rPr>
                <w:snapToGrid w:val="0"/>
              </w:rPr>
              <w:t xml:space="preserve"> A Tanács </w:t>
            </w:r>
            <w:r w:rsidRPr="008942F7">
              <w:rPr>
                <w:b/>
                <w:i/>
                <w:snapToGrid w:val="0"/>
              </w:rPr>
              <w:t>2009. június 25-i</w:t>
            </w:r>
            <w:r w:rsidRPr="008942F7">
              <w:rPr>
                <w:snapToGrid w:val="0"/>
              </w:rPr>
              <w:t xml:space="preserve"> 2009/71/Euratom irányelve a nukleáris létesítmények nukleáris biztonsági közösségi keretrendszerének létrehozásáról (HL L 172., 2009.7.2</w:t>
            </w:r>
            <w:proofErr w:type="gramStart"/>
            <w:r w:rsidRPr="008942F7">
              <w:rPr>
                <w:snapToGrid w:val="0"/>
              </w:rPr>
              <w:t>.,</w:t>
            </w:r>
            <w:proofErr w:type="gramEnd"/>
            <w:r w:rsidRPr="008942F7">
              <w:rPr>
                <w:snapToGrid w:val="0"/>
              </w:rPr>
              <w:t xml:space="preserve"> 18. o.).</w:t>
            </w:r>
          </w:p>
        </w:tc>
        <w:tc>
          <w:tcPr>
            <w:tcW w:w="4876" w:type="dxa"/>
          </w:tcPr>
          <w:p w:rsidR="000B6D65" w:rsidRPr="008942F7" w:rsidRDefault="000B6D65" w:rsidP="00F36F53">
            <w:pPr>
              <w:pStyle w:val="Normal6"/>
              <w:rPr>
                <w:szCs w:val="24"/>
              </w:rPr>
            </w:pPr>
            <w:r w:rsidRPr="008942F7">
              <w:rPr>
                <w:snapToGrid w:val="0"/>
                <w:vertAlign w:val="superscript"/>
              </w:rPr>
              <w:t>1</w:t>
            </w:r>
            <w:r w:rsidRPr="008942F7">
              <w:rPr>
                <w:snapToGrid w:val="0"/>
              </w:rPr>
              <w:t xml:space="preserve"> A Tanács 2009/71/Euratom irányelve </w:t>
            </w:r>
            <w:r w:rsidR="00F36F53" w:rsidRPr="008942F7">
              <w:rPr>
                <w:b/>
                <w:i/>
                <w:snapToGrid w:val="0"/>
              </w:rPr>
              <w:t xml:space="preserve">(2009. június 25.) </w:t>
            </w:r>
            <w:r w:rsidRPr="008942F7">
              <w:rPr>
                <w:snapToGrid w:val="0"/>
              </w:rPr>
              <w:t>a nukleáris létesítmények nukleáris biztonsági közösségi keretrendszerének létrehozásáról (HL L 172., 2009.7.2</w:t>
            </w:r>
            <w:proofErr w:type="gramStart"/>
            <w:r w:rsidRPr="008942F7">
              <w:rPr>
                <w:snapToGrid w:val="0"/>
              </w:rPr>
              <w:t>.,</w:t>
            </w:r>
            <w:proofErr w:type="gramEnd"/>
            <w:r w:rsidRPr="008942F7">
              <w:rPr>
                <w:snapToGrid w:val="0"/>
              </w:rPr>
              <w:t xml:space="preserve"> 18. o.).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napToGrid w:val="0"/>
                <w:vertAlign w:val="superscript"/>
              </w:rPr>
              <w:t>2</w:t>
            </w:r>
            <w:r w:rsidRPr="008942F7">
              <w:rPr>
                <w:snapToGrid w:val="0"/>
              </w:rPr>
              <w:t xml:space="preserve"> A Tanács </w:t>
            </w:r>
            <w:r w:rsidRPr="008942F7">
              <w:rPr>
                <w:b/>
                <w:i/>
                <w:snapToGrid w:val="0"/>
              </w:rPr>
              <w:t>2011. július 19-i</w:t>
            </w:r>
            <w:r w:rsidRPr="008942F7">
              <w:rPr>
                <w:snapToGrid w:val="0"/>
              </w:rPr>
              <w:t xml:space="preserve"> 2011/70/Euratom irányelve a kiégett fűtőelemek és a radioaktív hulladékok felelősségteljes és biztonságos kezelését szolgáló közösségi keret létrehozásáról </w:t>
            </w:r>
            <w:r w:rsidRPr="008942F7">
              <w:rPr>
                <w:snapToGrid w:val="0"/>
              </w:rPr>
              <w:lastRenderedPageBreak/>
              <w:t>(HL L 199., 2011.8.2</w:t>
            </w:r>
            <w:proofErr w:type="gramStart"/>
            <w:r w:rsidRPr="008942F7">
              <w:rPr>
                <w:snapToGrid w:val="0"/>
              </w:rPr>
              <w:t>.,</w:t>
            </w:r>
            <w:proofErr w:type="gramEnd"/>
            <w:r w:rsidRPr="008942F7">
              <w:rPr>
                <w:snapToGrid w:val="0"/>
              </w:rPr>
              <w:t xml:space="preserve"> 48. o.).</w:t>
            </w:r>
          </w:p>
        </w:tc>
        <w:tc>
          <w:tcPr>
            <w:tcW w:w="4876" w:type="dxa"/>
          </w:tcPr>
          <w:p w:rsidR="000B6D65" w:rsidRPr="008942F7" w:rsidRDefault="000B6D65" w:rsidP="00F36F53">
            <w:pPr>
              <w:pStyle w:val="Normal6"/>
              <w:rPr>
                <w:szCs w:val="24"/>
              </w:rPr>
            </w:pPr>
            <w:r w:rsidRPr="008942F7">
              <w:rPr>
                <w:snapToGrid w:val="0"/>
                <w:vertAlign w:val="superscript"/>
              </w:rPr>
              <w:lastRenderedPageBreak/>
              <w:t>2</w:t>
            </w:r>
            <w:r w:rsidRPr="008942F7">
              <w:rPr>
                <w:snapToGrid w:val="0"/>
              </w:rPr>
              <w:t xml:space="preserve"> A Tanács 2011/70/Euratom irányelve </w:t>
            </w:r>
            <w:r w:rsidR="00F36F53" w:rsidRPr="008942F7">
              <w:rPr>
                <w:b/>
                <w:i/>
                <w:snapToGrid w:val="0"/>
              </w:rPr>
              <w:t xml:space="preserve">(2011. július 19.) </w:t>
            </w:r>
            <w:r w:rsidRPr="008942F7">
              <w:rPr>
                <w:snapToGrid w:val="0"/>
              </w:rPr>
              <w:t>a kiégett fűtőelemek és a radioaktív hulladékok felelősségteljes és biztonságos kezelését szolgáló közösségi keret létrehozásáról (HL L 199., 2011.8.2</w:t>
            </w:r>
            <w:proofErr w:type="gramStart"/>
            <w:r w:rsidRPr="008942F7">
              <w:rPr>
                <w:snapToGrid w:val="0"/>
              </w:rPr>
              <w:t>.,</w:t>
            </w:r>
            <w:proofErr w:type="gramEnd"/>
            <w:r w:rsidRPr="008942F7">
              <w:rPr>
                <w:snapToGrid w:val="0"/>
              </w:rPr>
              <w:t xml:space="preserve"> </w:t>
            </w:r>
            <w:r w:rsidRPr="008942F7">
              <w:rPr>
                <w:snapToGrid w:val="0"/>
              </w:rPr>
              <w:lastRenderedPageBreak/>
              <w:t>48. o.).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4</w:t>
      </w:r>
    </w:p>
    <w:p w:rsidR="000B6D65" w:rsidRPr="008942F7" w:rsidRDefault="000B6D65" w:rsidP="000B6D65">
      <w:pPr>
        <w:pStyle w:val="NormalBold12b"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4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/>
        </w:tc>
      </w:tr>
      <w:tr w:rsidR="000B6D65" w:rsidRPr="008942F7" w:rsidTr="006661EE">
        <w:trPr>
          <w:trHeight w:val="240"/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(4)</w:t>
            </w:r>
            <w:r w:rsidRPr="008942F7">
              <w:tab/>
              <w:t xml:space="preserve">Elismerve, hogy a Szovjetuniótól örökölt két 1500 MW teljesítményű RBMK reaktorral rendelkező </w:t>
            </w:r>
            <w:proofErr w:type="spellStart"/>
            <w:r w:rsidRPr="008942F7">
              <w:t>Ignalina</w:t>
            </w:r>
            <w:proofErr w:type="spellEnd"/>
            <w:r w:rsidRPr="008942F7">
              <w:t xml:space="preserve"> atomerőmű idő előtti leállítása és az azt követő leszerelése példa nélküli, és Litvánia számára kivételes pénzügyi terhet jelentett, amely az ország méretével és gazdasági erejével nem áll arányban, a 4. jegyzőkönyv leszögezte, hogy az </w:t>
            </w:r>
            <w:proofErr w:type="spellStart"/>
            <w:r w:rsidRPr="008942F7">
              <w:t>Ignalina</w:t>
            </w:r>
            <w:proofErr w:type="spellEnd"/>
            <w:r w:rsidRPr="008942F7">
              <w:t>-program keretében biztosított uniós támogatásnak zavartalanul folytatódnia kell és a 2006 utáni időszakra is meghosszabbításra kerül, a következő pénzügyi keret időszakára.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(4)</w:t>
            </w:r>
            <w:r w:rsidRPr="008942F7">
              <w:tab/>
            </w:r>
            <w:proofErr w:type="gramStart"/>
            <w:r w:rsidRPr="008942F7">
              <w:t>Elismerve, hogy a Szovjetuniótól örökölt</w:t>
            </w:r>
            <w:r w:rsidRPr="008942F7">
              <w:rPr>
                <w:b/>
                <w:i/>
              </w:rPr>
              <w:t xml:space="preserve">, a </w:t>
            </w:r>
            <w:proofErr w:type="spellStart"/>
            <w:r w:rsidRPr="008942F7">
              <w:rPr>
                <w:b/>
                <w:i/>
              </w:rPr>
              <w:t>Csernobilban</w:t>
            </w:r>
            <w:proofErr w:type="spellEnd"/>
            <w:r w:rsidRPr="008942F7">
              <w:rPr>
                <w:b/>
                <w:i/>
              </w:rPr>
              <w:t xml:space="preserve"> használtakhoz hasonló</w:t>
            </w:r>
            <w:r w:rsidRPr="008942F7">
              <w:t xml:space="preserve"> két 1500 MW teljesítményű</w:t>
            </w:r>
            <w:r w:rsidRPr="008942F7">
              <w:rPr>
                <w:b/>
                <w:i/>
              </w:rPr>
              <w:t xml:space="preserve"> (grafitmoderátoros, csatorna típusú)</w:t>
            </w:r>
            <w:r w:rsidRPr="008942F7">
              <w:t xml:space="preserve"> RBMK reaktorral rendelkező </w:t>
            </w:r>
            <w:proofErr w:type="spellStart"/>
            <w:r w:rsidRPr="008942F7">
              <w:t>Ignalina</w:t>
            </w:r>
            <w:proofErr w:type="spellEnd"/>
            <w:r w:rsidRPr="008942F7">
              <w:t xml:space="preserve"> atomerőmű idő előtti leállítása és az azt követő leszerelése példa nélküli</w:t>
            </w:r>
            <w:r w:rsidRPr="008942F7">
              <w:rPr>
                <w:b/>
                <w:i/>
              </w:rPr>
              <w:t xml:space="preserve"> – mivel a gyakorlatban a világ egyetlen pontján sem volt példa hasonló felépítésű reaktor leszerelésére –</w:t>
            </w:r>
            <w:r w:rsidRPr="008942F7">
              <w:t xml:space="preserve">, és Litvánia számára kivételes pénzügyi terhet jelentett, amely az ország méretével és gazdasági erejével nem áll arányban, a 4. jegyzőkönyv leszögezte, hogy az </w:t>
            </w:r>
            <w:proofErr w:type="spellStart"/>
            <w:r w:rsidRPr="008942F7">
              <w:t>Ignalina</w:t>
            </w:r>
            <w:proofErr w:type="spellEnd"/>
            <w:r w:rsidRPr="008942F7">
              <w:t>-program keretében biztosított uniós támogatásnak zavartalanul folytatódnia</w:t>
            </w:r>
            <w:proofErr w:type="gramEnd"/>
            <w:r w:rsidRPr="008942F7">
              <w:t xml:space="preserve"> kell</w:t>
            </w:r>
            <w:r w:rsidRPr="008942F7">
              <w:rPr>
                <w:b/>
                <w:i/>
              </w:rPr>
              <w:t>,</w:t>
            </w:r>
            <w:r w:rsidRPr="008942F7">
              <w:t xml:space="preserve"> és</w:t>
            </w:r>
            <w:r w:rsidRPr="008942F7">
              <w:rPr>
                <w:b/>
                <w:i/>
              </w:rPr>
              <w:t xml:space="preserve"> az</w:t>
            </w:r>
            <w:r w:rsidRPr="008942F7">
              <w:t xml:space="preserve"> a 2006 utáni időszakra is meghosszabbításra kerül, a következő pénzügyi keret időszakára</w:t>
            </w:r>
            <w:r w:rsidRPr="008942F7">
              <w:rPr>
                <w:b/>
                <w:i/>
              </w:rPr>
              <w:t>, egészen a jelenleg 2038-ra tervezett végső leállítás időpontjáig</w:t>
            </w:r>
            <w:r w:rsidRPr="008942F7"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5</w:t>
      </w:r>
    </w:p>
    <w:p w:rsidR="000B6D65" w:rsidRPr="008942F7" w:rsidRDefault="000B6D65" w:rsidP="000B6D65">
      <w:pPr>
        <w:pStyle w:val="NormalBold12b"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10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/>
        </w:tc>
      </w:tr>
      <w:tr w:rsidR="000B6D65" w:rsidRPr="008942F7" w:rsidTr="006661EE">
        <w:trPr>
          <w:trHeight w:val="240"/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(10)</w:t>
            </w:r>
            <w:r w:rsidRPr="008942F7">
              <w:tab/>
            </w:r>
            <w:proofErr w:type="gramStart"/>
            <w:r w:rsidRPr="008942F7">
              <w:t>Ezenfelül</w:t>
            </w:r>
            <w:proofErr w:type="gramEnd"/>
            <w:r w:rsidRPr="008942F7">
              <w:t xml:space="preserve"> a programnak garantálnia kell a program során szerzett ismeretek terjesztését a többi tagállam felé, továbbá az együttműködést és a szinergiát a többi releváns, Bulgáriában és Szlovákiában zajló leszerelési tevékenységeket támogató uniós programmal, valamint az Európai Bizottság Közös Kutatóközpontjával</w:t>
            </w:r>
            <w:r w:rsidRPr="008942F7">
              <w:rPr>
                <w:b/>
                <w:i/>
              </w:rPr>
              <w:t>;</w:t>
            </w:r>
            <w:r w:rsidRPr="008942F7">
              <w:rPr>
                <w:b/>
                <w:bCs/>
                <w:i/>
                <w:iCs/>
              </w:rPr>
              <w:t xml:space="preserve"> </w:t>
            </w:r>
            <w:r w:rsidRPr="008942F7">
              <w:rPr>
                <w:b/>
                <w:i/>
              </w:rPr>
              <w:t>mivel</w:t>
            </w:r>
            <w:r w:rsidRPr="008942F7">
              <w:t xml:space="preserve"> az </w:t>
            </w:r>
            <w:r w:rsidRPr="008942F7">
              <w:rPr>
                <w:b/>
                <w:i/>
              </w:rPr>
              <w:t xml:space="preserve">ilyen </w:t>
            </w:r>
            <w:r w:rsidRPr="008942F7">
              <w:t xml:space="preserve">intézkedések </w:t>
            </w:r>
            <w:r w:rsidRPr="008942F7">
              <w:rPr>
                <w:b/>
                <w:i/>
              </w:rPr>
              <w:t>képviselik a</w:t>
            </w:r>
            <w:r w:rsidRPr="008942F7">
              <w:t xml:space="preserve"> legnagyobb hozzáadott értéket az </w:t>
            </w:r>
            <w:r w:rsidRPr="008942F7">
              <w:rPr>
                <w:b/>
                <w:i/>
              </w:rPr>
              <w:t>Unió számára</w:t>
            </w:r>
            <w:r w:rsidRPr="008942F7">
              <w:t>.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(10)</w:t>
            </w:r>
            <w:r w:rsidRPr="008942F7">
              <w:tab/>
            </w:r>
            <w:proofErr w:type="gramStart"/>
            <w:r w:rsidRPr="008942F7">
              <w:t>Ezenfelül</w:t>
            </w:r>
            <w:proofErr w:type="gramEnd"/>
            <w:r w:rsidRPr="008942F7">
              <w:t xml:space="preserve"> a programnak garantálnia kell a program során szerzett ismeretek terjesztését a többi tagállam felé, továbbá az együttműködést és a szinergiát a többi releváns, Bulgáriában és Szlovákiában zajló leszerelési tevékenységeket támogató uniós programmal, valamint az Európai Bizottság Közös Kutatóközpontjával</w:t>
            </w:r>
            <w:r w:rsidRPr="008942F7">
              <w:rPr>
                <w:b/>
                <w:i/>
              </w:rPr>
              <w:t>.</w:t>
            </w:r>
            <w:r w:rsidRPr="008942F7">
              <w:t xml:space="preserve"> </w:t>
            </w:r>
            <w:r w:rsidRPr="008942F7">
              <w:rPr>
                <w:b/>
                <w:i/>
              </w:rPr>
              <w:t>Ahhoz, hogy ezek</w:t>
            </w:r>
            <w:r w:rsidRPr="008942F7">
              <w:t xml:space="preserve"> az intézkedések </w:t>
            </w:r>
            <w:r w:rsidRPr="008942F7">
              <w:rPr>
                <w:b/>
                <w:i/>
              </w:rPr>
              <w:t>a lehető</w:t>
            </w:r>
            <w:r w:rsidRPr="008942F7">
              <w:t xml:space="preserve"> legnagyobb </w:t>
            </w:r>
            <w:r w:rsidRPr="008942F7">
              <w:rPr>
                <w:b/>
                <w:i/>
              </w:rPr>
              <w:t xml:space="preserve">uniós </w:t>
            </w:r>
            <w:r w:rsidRPr="008942F7">
              <w:t xml:space="preserve">hozzáadott értéket </w:t>
            </w:r>
            <w:r w:rsidRPr="008942F7">
              <w:rPr>
                <w:b/>
                <w:i/>
              </w:rPr>
              <w:t xml:space="preserve">eredményezzék, </w:t>
            </w:r>
            <w:r w:rsidRPr="008942F7">
              <w:t xml:space="preserve">az </w:t>
            </w:r>
            <w:r w:rsidRPr="008942F7">
              <w:rPr>
                <w:b/>
                <w:i/>
              </w:rPr>
              <w:t xml:space="preserve">ismeretek </w:t>
            </w:r>
            <w:r w:rsidRPr="008942F7">
              <w:rPr>
                <w:b/>
                <w:i/>
              </w:rPr>
              <w:lastRenderedPageBreak/>
              <w:t xml:space="preserve">terjesztéséhez kapcsolódó </w:t>
            </w:r>
            <w:proofErr w:type="gramStart"/>
            <w:r w:rsidRPr="008942F7">
              <w:rPr>
                <w:b/>
                <w:i/>
              </w:rPr>
              <w:t>finanszírozás</w:t>
            </w:r>
            <w:proofErr w:type="gramEnd"/>
            <w:r w:rsidRPr="008942F7">
              <w:rPr>
                <w:b/>
                <w:i/>
              </w:rPr>
              <w:t xml:space="preserve"> nem képezheti részét a leszerelési munkálatok finanszírozásának, hanem annak egyéb uniós pénzügyi forrásokból kell származnia</w:t>
            </w:r>
            <w:r w:rsidRPr="008942F7"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6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  <w:keepNext/>
      </w:pPr>
      <w:r w:rsidRPr="008942F7">
        <w:t>11 preambulumbekezdés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rPr>
                <w:szCs w:val="24"/>
              </w:rPr>
              <w:t>(11)</w:t>
            </w:r>
            <w:r w:rsidRPr="008942F7">
              <w:tab/>
              <w:t xml:space="preserve">Az </w:t>
            </w:r>
            <w:proofErr w:type="spellStart"/>
            <w:r w:rsidRPr="008942F7">
              <w:t>Ignalina</w:t>
            </w:r>
            <w:proofErr w:type="spellEnd"/>
            <w:r w:rsidRPr="008942F7">
              <w:t xml:space="preserve"> atomerőmű leszereléséhez – a biztonság és a lehető legnagyobb hatékonyság </w:t>
            </w:r>
            <w:proofErr w:type="gramStart"/>
            <w:r w:rsidRPr="008942F7">
              <w:t>garantálása</w:t>
            </w:r>
            <w:proofErr w:type="gramEnd"/>
            <w:r w:rsidRPr="008942F7">
              <w:t xml:space="preserve"> érdekében – az elérhető legjobb műszaki szakértői hátteret kell igénybe venni, kellő figyelmet fordítva a leszerelés által érintett létesítmények természetére és technológiai jellemzőire, tekintetbe véve a legjobb nemzetközi gyakorlatokat is.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napToGrid w:val="0"/>
              </w:rPr>
              <w:t>(11)</w:t>
            </w:r>
            <w:r w:rsidRPr="008942F7">
              <w:rPr>
                <w:snapToGrid w:val="0"/>
              </w:rPr>
              <w:tab/>
              <w:t xml:space="preserve">Az </w:t>
            </w:r>
            <w:proofErr w:type="spellStart"/>
            <w:r w:rsidRPr="008942F7">
              <w:rPr>
                <w:snapToGrid w:val="0"/>
              </w:rPr>
              <w:t>Ignalina</w:t>
            </w:r>
            <w:proofErr w:type="spellEnd"/>
            <w:r w:rsidRPr="008942F7">
              <w:rPr>
                <w:snapToGrid w:val="0"/>
              </w:rPr>
              <w:t xml:space="preserve"> atomerőmű leszereléséhez – a biztonság és a lehető legnagyobb hatékonyság </w:t>
            </w:r>
            <w:proofErr w:type="gramStart"/>
            <w:r w:rsidRPr="008942F7">
              <w:rPr>
                <w:snapToGrid w:val="0"/>
              </w:rPr>
              <w:t>garantálása</w:t>
            </w:r>
            <w:proofErr w:type="gramEnd"/>
            <w:r w:rsidRPr="008942F7">
              <w:rPr>
                <w:snapToGrid w:val="0"/>
              </w:rPr>
              <w:t xml:space="preserve"> érdekében – az elérhető legjobb műszaki szakértői hátteret kell igénybe venni, kellő figyelmet fordítva a leszerelés által érintett létesítmények természetére és technológiai jellemzőire, tekintetbe véve a legjobb nemzetközi gyakorlatokat is</w:t>
            </w:r>
            <w:r w:rsidRPr="008942F7">
              <w:rPr>
                <w:b/>
                <w:i/>
                <w:snapToGrid w:val="0"/>
              </w:rPr>
              <w:t xml:space="preserve"> és versenyképes fizetést biztosítva a szakképzett személyzet számára</w:t>
            </w:r>
            <w:r w:rsidRPr="008942F7">
              <w:rPr>
                <w:snapToGrid w:val="0"/>
              </w:rPr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7</w:t>
      </w:r>
    </w:p>
    <w:p w:rsidR="000B6D65" w:rsidRPr="008942F7" w:rsidRDefault="000B6D65" w:rsidP="000B6D65">
      <w:pPr>
        <w:pStyle w:val="NormalBold12b"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12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/>
        </w:tc>
      </w:tr>
      <w:tr w:rsidR="000B6D65" w:rsidRPr="008942F7" w:rsidTr="006661EE">
        <w:trPr>
          <w:trHeight w:val="240"/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(12)</w:t>
            </w:r>
            <w:r w:rsidRPr="008942F7">
              <w:tab/>
              <w:t xml:space="preserve">Annak érdekében, hogy az e rendeletben odaítélt uniós támogatás a legnagyobb hozzáadott értéket </w:t>
            </w:r>
            <w:proofErr w:type="spellStart"/>
            <w:r w:rsidRPr="008942F7">
              <w:t>teremtse</w:t>
            </w:r>
            <w:proofErr w:type="spellEnd"/>
            <w:r w:rsidRPr="008942F7">
              <w:t xml:space="preserve">, a </w:t>
            </w:r>
            <w:r w:rsidRPr="008942F7">
              <w:rPr>
                <w:b/>
                <w:i/>
              </w:rPr>
              <w:t>Bizottság</w:t>
            </w:r>
            <w:r w:rsidRPr="008942F7">
              <w:t xml:space="preserve"> és </w:t>
            </w:r>
            <w:r w:rsidRPr="008942F7">
              <w:rPr>
                <w:b/>
                <w:i/>
              </w:rPr>
              <w:t>Litvánia gondoskodni fog</w:t>
            </w:r>
            <w:r w:rsidRPr="008942F7">
              <w:t xml:space="preserve"> a leszerelési folyamat alakulásának hatékony nyomon követéséről és ellenőrzéséről</w:t>
            </w:r>
            <w:r w:rsidRPr="008942F7">
              <w:rPr>
                <w:b/>
                <w:i/>
              </w:rPr>
              <w:t>, jóllehet a leszerelésért a felelősség végső soron Litvániát terheli</w:t>
            </w:r>
            <w:r w:rsidRPr="008942F7">
              <w:t xml:space="preserve">. Ez magában foglalja az előrehaladás és a teljesítmény hatékony </w:t>
            </w:r>
            <w:r w:rsidRPr="008942F7">
              <w:rPr>
                <w:b/>
                <w:i/>
              </w:rPr>
              <w:t>mérését</w:t>
            </w:r>
            <w:r w:rsidRPr="008942F7">
              <w:t xml:space="preserve">, valamint szükség esetén </w:t>
            </w:r>
            <w:proofErr w:type="gramStart"/>
            <w:r w:rsidRPr="008942F7">
              <w:t>korrekciós</w:t>
            </w:r>
            <w:proofErr w:type="gramEnd"/>
            <w:r w:rsidRPr="008942F7">
              <w:t xml:space="preserve"> intézkedések bevezetését.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(12)</w:t>
            </w:r>
            <w:r w:rsidRPr="008942F7">
              <w:tab/>
              <w:t xml:space="preserve">Annak érdekében, hogy az e rendeletben odaítélt uniós támogatás a legnagyobb hozzáadott értéket </w:t>
            </w:r>
            <w:proofErr w:type="spellStart"/>
            <w:r w:rsidRPr="008942F7">
              <w:t>teremtse</w:t>
            </w:r>
            <w:proofErr w:type="spellEnd"/>
            <w:r w:rsidRPr="008942F7">
              <w:t xml:space="preserve">, a </w:t>
            </w:r>
            <w:r w:rsidRPr="008942F7">
              <w:rPr>
                <w:b/>
                <w:i/>
              </w:rPr>
              <w:t>Bizottságnak</w:t>
            </w:r>
            <w:r w:rsidRPr="008942F7">
              <w:t xml:space="preserve"> és </w:t>
            </w:r>
            <w:r w:rsidRPr="008942F7">
              <w:rPr>
                <w:b/>
                <w:i/>
              </w:rPr>
              <w:t>Litvániának gondoskodnia kell</w:t>
            </w:r>
            <w:r w:rsidRPr="008942F7">
              <w:t xml:space="preserve"> a leszerelési folyamat alakulásának hatékony nyomon követéséről és ellenőrzéséről. Ez magában foglalja az előrehaladás és a teljesítmény hatékony </w:t>
            </w:r>
            <w:r w:rsidRPr="008942F7">
              <w:rPr>
                <w:b/>
                <w:i/>
              </w:rPr>
              <w:t>nyomon követését</w:t>
            </w:r>
            <w:r w:rsidRPr="008942F7">
              <w:t xml:space="preserve">, valamint szükség esetén </w:t>
            </w:r>
            <w:proofErr w:type="gramStart"/>
            <w:r w:rsidRPr="008942F7">
              <w:t>korrekciós</w:t>
            </w:r>
            <w:proofErr w:type="gramEnd"/>
            <w:r w:rsidRPr="008942F7">
              <w:t xml:space="preserve"> intézkedések bevezetését</w:t>
            </w:r>
            <w:r w:rsidRPr="008942F7">
              <w:rPr>
                <w:b/>
                <w:i/>
              </w:rPr>
              <w:t xml:space="preserve"> Litvánia és az Unió részvételével</w:t>
            </w:r>
            <w:r w:rsidRPr="008942F7"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  <w:keepNext/>
      </w:pPr>
      <w:r w:rsidRPr="008942F7">
        <w:lastRenderedPageBreak/>
        <w:t>Módosítás</w:t>
      </w:r>
      <w:r w:rsidRPr="008942F7">
        <w:tab/>
      </w:r>
      <w:r w:rsidRPr="008942F7">
        <w:tab/>
        <w:t>8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16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(16)</w:t>
            </w:r>
            <w:r w:rsidRPr="008942F7">
              <w:tab/>
              <w:t xml:space="preserve">A programot az Európai Unió és Litvánia közös pénzügyi hozzájárulásával kell lefolytatni. Az </w:t>
            </w:r>
            <w:r w:rsidRPr="008942F7">
              <w:rPr>
                <w:b/>
                <w:i/>
              </w:rPr>
              <w:t>Európai Unió által biztosított társfinanszírozás felső határértékét</w:t>
            </w:r>
            <w:r w:rsidRPr="008942F7">
              <w:t xml:space="preserve"> a korábbi programok során kialakított társfinanszírozási gyakorlatoknak megfelelően meg kell határozni. A </w:t>
            </w:r>
            <w:r w:rsidRPr="008942F7">
              <w:rPr>
                <w:b/>
                <w:i/>
              </w:rPr>
              <w:t>hasonló</w:t>
            </w:r>
            <w:r w:rsidRPr="008942F7">
              <w:t xml:space="preserve"> uniós </w:t>
            </w:r>
            <w:r w:rsidRPr="008942F7">
              <w:rPr>
                <w:b/>
                <w:i/>
              </w:rPr>
              <w:t>programoknál alkalmazott gyakorlatot</w:t>
            </w:r>
            <w:r w:rsidRPr="008942F7">
              <w:t xml:space="preserve"> és </w:t>
            </w:r>
            <w:r w:rsidRPr="008942F7">
              <w:rPr>
                <w:b/>
                <w:i/>
              </w:rPr>
              <w:t xml:space="preserve">Litvánia gazdasági megerősödését figyelembe véve az </w:t>
            </w:r>
            <w:proofErr w:type="spellStart"/>
            <w:r w:rsidRPr="008942F7">
              <w:rPr>
                <w:b/>
                <w:i/>
              </w:rPr>
              <w:t>Ignalina</w:t>
            </w:r>
            <w:proofErr w:type="spellEnd"/>
            <w:r w:rsidRPr="008942F7">
              <w:rPr>
                <w:b/>
                <w:i/>
              </w:rPr>
              <w:t xml:space="preserve"> leszerelési program kezdete és a jelen rendelet által </w:t>
            </w:r>
            <w:proofErr w:type="gramStart"/>
            <w:r w:rsidRPr="008942F7">
              <w:rPr>
                <w:b/>
                <w:i/>
              </w:rPr>
              <w:t>finanszírozott</w:t>
            </w:r>
            <w:proofErr w:type="gramEnd"/>
            <w:r w:rsidRPr="008942F7">
              <w:rPr>
                <w:b/>
                <w:i/>
              </w:rPr>
              <w:t xml:space="preserve"> tevékenységének megvalósításának végéig</w:t>
            </w:r>
            <w:r w:rsidRPr="008942F7">
              <w:t xml:space="preserve"> az uniós társfinanszírozási arány </w:t>
            </w:r>
            <w:r w:rsidRPr="008942F7">
              <w:rPr>
                <w:b/>
                <w:i/>
              </w:rPr>
              <w:t>nem haladhatja meg</w:t>
            </w:r>
            <w:r w:rsidRPr="008942F7">
              <w:t xml:space="preserve"> a támogatható költségek </w:t>
            </w:r>
            <w:r w:rsidRPr="008942F7">
              <w:rPr>
                <w:b/>
                <w:i/>
              </w:rPr>
              <w:t>80%-át</w:t>
            </w:r>
            <w:r w:rsidRPr="008942F7">
              <w:t xml:space="preserve">. A fennmaradó </w:t>
            </w:r>
            <w:r w:rsidRPr="008942F7">
              <w:rPr>
                <w:b/>
                <w:i/>
              </w:rPr>
              <w:t>társfinanszírozási összeget</w:t>
            </w:r>
            <w:r w:rsidRPr="008942F7">
              <w:t xml:space="preserve"> Litvániának </w:t>
            </w:r>
            <w:r w:rsidRPr="008942F7">
              <w:rPr>
                <w:b/>
                <w:i/>
              </w:rPr>
              <w:t>vagy</w:t>
            </w:r>
            <w:r w:rsidRPr="008942F7">
              <w:t xml:space="preserve"> az Uniós költségvetéstől eltérő más forrásoknak </w:t>
            </w:r>
            <w:r w:rsidRPr="008942F7">
              <w:rPr>
                <w:b/>
                <w:i/>
              </w:rPr>
              <w:t>–</w:t>
            </w:r>
            <w:r w:rsidRPr="008942F7">
              <w:t xml:space="preserve"> nevezetesen nemzetközi pénzügyi </w:t>
            </w:r>
            <w:r w:rsidRPr="008942F7">
              <w:rPr>
                <w:b/>
                <w:i/>
              </w:rPr>
              <w:t>szervezetnek</w:t>
            </w:r>
            <w:r w:rsidRPr="008942F7">
              <w:t xml:space="preserve"> és más </w:t>
            </w:r>
            <w:r w:rsidRPr="008942F7">
              <w:rPr>
                <w:b/>
                <w:i/>
              </w:rPr>
              <w:t>adományozóknak – kell biztosítania</w:t>
            </w:r>
            <w:r w:rsidRPr="008942F7">
              <w:t>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t>(16)</w:t>
            </w:r>
            <w:r w:rsidRPr="008942F7">
              <w:tab/>
              <w:t xml:space="preserve">A programot az Európai Unió és Litvánia közös pénzügyi hozzájárulásával kell lefolytatni. </w:t>
            </w:r>
            <w:r w:rsidRPr="008942F7">
              <w:rPr>
                <w:b/>
                <w:i/>
              </w:rPr>
              <w:t xml:space="preserve">A 2003. évi csatlakozási okmány 4. jegyzőkönyve rögzíti, hogy az </w:t>
            </w:r>
            <w:proofErr w:type="spellStart"/>
            <w:r w:rsidRPr="008942F7">
              <w:rPr>
                <w:b/>
                <w:i/>
              </w:rPr>
              <w:t>Ignalina</w:t>
            </w:r>
            <w:proofErr w:type="spellEnd"/>
            <w:r w:rsidRPr="008942F7">
              <w:rPr>
                <w:b/>
                <w:i/>
              </w:rPr>
              <w:t xml:space="preserve">-program keretében nyújtott uniós hozzájárulás mértéke egyes intézkedések esetében az összes kiadás 100%-át is elérheti. </w:t>
            </w:r>
            <w:r w:rsidRPr="008942F7">
              <w:t>A korábbi programok során kialakított társfinanszírozási gyakorlatoknak megfelelően meg kell határozni</w:t>
            </w:r>
            <w:r w:rsidRPr="008942F7">
              <w:rPr>
                <w:b/>
                <w:i/>
              </w:rPr>
              <w:t xml:space="preserve"> az Európai Unió által biztosított társfinanszírozás küszöbértékét</w:t>
            </w:r>
            <w:r w:rsidRPr="008942F7">
              <w:t xml:space="preserve">. </w:t>
            </w:r>
            <w:r w:rsidRPr="008942F7">
              <w:rPr>
                <w:b/>
                <w:i/>
              </w:rPr>
              <w:t xml:space="preserve">Figyelembe véve </w:t>
            </w:r>
            <w:r w:rsidRPr="008942F7">
              <w:t xml:space="preserve">a </w:t>
            </w:r>
            <w:r w:rsidRPr="008942F7">
              <w:rPr>
                <w:b/>
                <w:i/>
              </w:rPr>
              <w:t>bulgáriai, szlovákiai és litvániai atomerőművek leszerelését segítő</w:t>
            </w:r>
            <w:r w:rsidRPr="008942F7">
              <w:t xml:space="preserve"> uniós </w:t>
            </w:r>
            <w:r w:rsidRPr="008942F7">
              <w:rPr>
                <w:b/>
                <w:i/>
              </w:rPr>
              <w:t>támogatási programok értékeléséről</w:t>
            </w:r>
            <w:r w:rsidRPr="008942F7">
              <w:t xml:space="preserve"> és </w:t>
            </w:r>
            <w:r w:rsidRPr="008942F7">
              <w:rPr>
                <w:b/>
                <w:i/>
              </w:rPr>
              <w:t>végrehajtásáról szóló 2018. évi bizottsági jelentés eredményeit és Litvánia azon politikai kötelezettségvállalását, hogy 14%-</w:t>
            </w:r>
            <w:proofErr w:type="spellStart"/>
            <w:r w:rsidRPr="008942F7">
              <w:rPr>
                <w:b/>
                <w:i/>
              </w:rPr>
              <w:t>kal</w:t>
            </w:r>
            <w:proofErr w:type="spellEnd"/>
            <w:r w:rsidRPr="008942F7">
              <w:rPr>
                <w:b/>
                <w:i/>
              </w:rPr>
              <w:t xml:space="preserve"> járul hozzá a leszerelés teljes költségéhez,</w:t>
            </w:r>
            <w:r w:rsidRPr="008942F7">
              <w:t xml:space="preserve"> az uniós társfinanszírozási arány </w:t>
            </w:r>
            <w:r w:rsidRPr="008942F7">
              <w:rPr>
                <w:b/>
                <w:i/>
              </w:rPr>
              <w:t xml:space="preserve">az </w:t>
            </w:r>
            <w:proofErr w:type="spellStart"/>
            <w:r w:rsidRPr="008942F7">
              <w:rPr>
                <w:b/>
                <w:i/>
              </w:rPr>
              <w:t>Ignalina</w:t>
            </w:r>
            <w:proofErr w:type="spellEnd"/>
            <w:r w:rsidRPr="008942F7">
              <w:rPr>
                <w:b/>
                <w:i/>
              </w:rPr>
              <w:t xml:space="preserve"> leszerelési program kezdetétől az e rendelet keretében finanszírozott tevékenységek megvalósításának végéig</w:t>
            </w:r>
            <w:r w:rsidRPr="008942F7">
              <w:t xml:space="preserve"> a támogatható költségek </w:t>
            </w:r>
            <w:r w:rsidRPr="008942F7">
              <w:rPr>
                <w:b/>
                <w:i/>
              </w:rPr>
              <w:t xml:space="preserve">86%-a </w:t>
            </w:r>
            <w:proofErr w:type="gramStart"/>
            <w:r w:rsidRPr="008942F7">
              <w:rPr>
                <w:b/>
                <w:i/>
              </w:rPr>
              <w:t>kell</w:t>
            </w:r>
            <w:proofErr w:type="gramEnd"/>
            <w:r w:rsidRPr="008942F7">
              <w:rPr>
                <w:b/>
                <w:i/>
              </w:rPr>
              <w:t xml:space="preserve"> hogy legyen</w:t>
            </w:r>
            <w:r w:rsidRPr="008942F7">
              <w:t xml:space="preserve">. A fennmaradó </w:t>
            </w:r>
            <w:r w:rsidRPr="008942F7">
              <w:rPr>
                <w:b/>
                <w:i/>
              </w:rPr>
              <w:t>társfinanszírozást</w:t>
            </w:r>
            <w:r w:rsidRPr="008942F7">
              <w:t xml:space="preserve"> Litvániának </w:t>
            </w:r>
            <w:r w:rsidRPr="008942F7">
              <w:rPr>
                <w:b/>
                <w:i/>
              </w:rPr>
              <w:t>és</w:t>
            </w:r>
            <w:r w:rsidRPr="008942F7">
              <w:t xml:space="preserve"> az Uniós költségvetéstől eltérő más forrásoknak </w:t>
            </w:r>
            <w:r w:rsidRPr="008942F7">
              <w:rPr>
                <w:b/>
                <w:i/>
              </w:rPr>
              <w:t xml:space="preserve">kell biztosítania. Törekedni kell más </w:t>
            </w:r>
            <w:proofErr w:type="gramStart"/>
            <w:r w:rsidRPr="008942F7">
              <w:rPr>
                <w:b/>
                <w:i/>
              </w:rPr>
              <w:t>finanszírozási</w:t>
            </w:r>
            <w:proofErr w:type="gramEnd"/>
            <w:r w:rsidRPr="008942F7">
              <w:rPr>
                <w:b/>
                <w:i/>
              </w:rPr>
              <w:t xml:space="preserve"> források bevonására,</w:t>
            </w:r>
            <w:r w:rsidRPr="008942F7">
              <w:t xml:space="preserve"> nevezetesen nemzetközi pénzügyi </w:t>
            </w:r>
            <w:r w:rsidRPr="008942F7">
              <w:rPr>
                <w:b/>
                <w:i/>
              </w:rPr>
              <w:t>intézményektől</w:t>
            </w:r>
            <w:r w:rsidRPr="008942F7">
              <w:t xml:space="preserve"> és más </w:t>
            </w:r>
            <w:r w:rsidRPr="008942F7">
              <w:rPr>
                <w:b/>
                <w:i/>
              </w:rPr>
              <w:t>adományozóktól</w:t>
            </w:r>
            <w:r w:rsidRPr="008942F7"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9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  <w:keepNext/>
      </w:pPr>
      <w:r w:rsidRPr="008942F7">
        <w:t>16 a preambulumbekezdés (új)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lang w:eastAsia="en-US"/>
              </w:rPr>
            </w:pP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b/>
                <w:i/>
                <w:szCs w:val="24"/>
              </w:rPr>
              <w:t>(16a)</w:t>
            </w:r>
            <w:r w:rsidRPr="008942F7">
              <w:tab/>
            </w:r>
            <w:r w:rsidRPr="008942F7">
              <w:rPr>
                <w:b/>
                <w:i/>
                <w:snapToGrid w:val="0"/>
              </w:rPr>
              <w:t xml:space="preserve">Az </w:t>
            </w:r>
            <w:proofErr w:type="spellStart"/>
            <w:r w:rsidRPr="008942F7">
              <w:rPr>
                <w:b/>
                <w:i/>
                <w:snapToGrid w:val="0"/>
              </w:rPr>
              <w:t>Ignalina</w:t>
            </w:r>
            <w:proofErr w:type="spellEnd"/>
            <w:r w:rsidRPr="008942F7">
              <w:rPr>
                <w:b/>
                <w:i/>
                <w:snapToGrid w:val="0"/>
              </w:rPr>
              <w:t xml:space="preserve">-programon kívül továbbra is Litvániáé a végső felelősség az </w:t>
            </w:r>
            <w:proofErr w:type="spellStart"/>
            <w:r w:rsidRPr="008942F7">
              <w:rPr>
                <w:b/>
                <w:i/>
                <w:snapToGrid w:val="0"/>
              </w:rPr>
              <w:lastRenderedPageBreak/>
              <w:t>Ignalina</w:t>
            </w:r>
            <w:proofErr w:type="spellEnd"/>
            <w:r w:rsidRPr="008942F7">
              <w:rPr>
                <w:b/>
                <w:i/>
                <w:snapToGrid w:val="0"/>
              </w:rPr>
              <w:t xml:space="preserve"> régióban folytatott fejlesztésekért és beruházásokért, amely régióban alacsonyak a jövedelmek és az országban a legmagasabb a munkanélküliségi ráta, és ennek oka főként az </w:t>
            </w:r>
            <w:proofErr w:type="spellStart"/>
            <w:r w:rsidRPr="008942F7">
              <w:rPr>
                <w:b/>
                <w:i/>
                <w:snapToGrid w:val="0"/>
              </w:rPr>
              <w:t>Ignalina</w:t>
            </w:r>
            <w:proofErr w:type="spellEnd"/>
            <w:r w:rsidRPr="008942F7">
              <w:rPr>
                <w:b/>
                <w:i/>
                <w:snapToGrid w:val="0"/>
              </w:rPr>
              <w:t xml:space="preserve"> atomerőmű leállítása, amely a régió legnagyobb munkaadója volt.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10</w:t>
      </w:r>
    </w:p>
    <w:p w:rsidR="000B6D65" w:rsidRPr="008942F7" w:rsidRDefault="000B6D65" w:rsidP="000B6D65">
      <w:pPr>
        <w:pStyle w:val="NormalBold12b"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19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/>
        </w:tc>
      </w:tr>
      <w:tr w:rsidR="000B6D65" w:rsidRPr="008942F7" w:rsidTr="006661EE">
        <w:trPr>
          <w:trHeight w:val="240"/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(19)</w:t>
            </w:r>
            <w:r w:rsidRPr="008942F7">
              <w:tab/>
              <w:t xml:space="preserve">A program a 2011/70/Euratom tanácsi irányelv szerint </w:t>
            </w:r>
            <w:r w:rsidRPr="008942F7">
              <w:rPr>
                <w:b/>
                <w:i/>
              </w:rPr>
              <w:t>folyó</w:t>
            </w:r>
            <w:r w:rsidRPr="008942F7">
              <w:t xml:space="preserve"> litván nemzeti program hatálya alá tartozik.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t>(19)</w:t>
            </w:r>
            <w:r w:rsidRPr="008942F7">
              <w:tab/>
              <w:t xml:space="preserve">A program a 2011/70/Euratom tanácsi irányelv szerint </w:t>
            </w:r>
            <w:r w:rsidRPr="008942F7">
              <w:rPr>
                <w:b/>
                <w:i/>
              </w:rPr>
              <w:t>zajló</w:t>
            </w:r>
            <w:r w:rsidRPr="008942F7">
              <w:t xml:space="preserve"> litván nemzeti program hatálya alá tartozik</w:t>
            </w:r>
            <w:r w:rsidRPr="008942F7">
              <w:rPr>
                <w:b/>
                <w:i/>
              </w:rPr>
              <w:t>, és ezen irányelv sérelme nélkül hozzájárulhat annak végrehajtásához</w:t>
            </w:r>
            <w:r w:rsidRPr="008942F7"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11</w:t>
      </w:r>
    </w:p>
    <w:p w:rsidR="000B6D65" w:rsidRPr="008942F7" w:rsidRDefault="000B6D65" w:rsidP="000B6D65">
      <w:pPr>
        <w:pStyle w:val="NormalBold12b"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23 a preambulumbekezdés (új)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/>
        </w:tc>
      </w:tr>
      <w:tr w:rsidR="000B6D65" w:rsidRPr="008942F7" w:rsidTr="006661EE">
        <w:trPr>
          <w:trHeight w:val="240"/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rPr>
                <w:b/>
                <w:bCs/>
                <w:i/>
                <w:iCs/>
              </w:rPr>
              <w:t>(23a)</w:t>
            </w:r>
            <w:r w:rsidRPr="008942F7">
              <w:tab/>
            </w:r>
            <w:r w:rsidRPr="008942F7">
              <w:rPr>
                <w:b/>
                <w:bCs/>
                <w:i/>
                <w:iCs/>
              </w:rPr>
              <w:t xml:space="preserve">Az </w:t>
            </w:r>
            <w:proofErr w:type="spellStart"/>
            <w:r w:rsidRPr="008942F7">
              <w:rPr>
                <w:b/>
                <w:bCs/>
                <w:i/>
                <w:iCs/>
              </w:rPr>
              <w:t>Ignalina</w:t>
            </w:r>
            <w:proofErr w:type="spellEnd"/>
            <w:r w:rsidRPr="008942F7">
              <w:rPr>
                <w:b/>
                <w:bCs/>
                <w:i/>
                <w:iCs/>
              </w:rPr>
              <w:t xml:space="preserve"> atomreaktor leszerelésének Unió általi pénzügyi támogatása történelmi okokból teljes mértékben indokolt, azonban a programnak nem szabad precedenst teremtenie az uniós források más atomreaktorok leszerelésének </w:t>
            </w:r>
            <w:proofErr w:type="gramStart"/>
            <w:r w:rsidRPr="008942F7">
              <w:rPr>
                <w:b/>
                <w:bCs/>
                <w:i/>
                <w:iCs/>
              </w:rPr>
              <w:t>finanszírozására</w:t>
            </w:r>
            <w:proofErr w:type="gramEnd"/>
            <w:r w:rsidRPr="008942F7">
              <w:rPr>
                <w:b/>
                <w:bCs/>
                <w:i/>
                <w:iCs/>
              </w:rPr>
              <w:t xml:space="preserve"> való felhasználásához.</w:t>
            </w:r>
            <w:r w:rsidRPr="008942F7">
              <w:t xml:space="preserve"> </w:t>
            </w:r>
            <w:r w:rsidRPr="008942F7">
              <w:rPr>
                <w:b/>
                <w:bCs/>
                <w:i/>
                <w:iCs/>
              </w:rPr>
              <w:t xml:space="preserve">Minden tagállam erkölcsi kötelessége </w:t>
            </w:r>
            <w:proofErr w:type="gramStart"/>
            <w:r w:rsidRPr="008942F7">
              <w:rPr>
                <w:b/>
                <w:bCs/>
                <w:i/>
                <w:iCs/>
              </w:rPr>
              <w:t>kell</w:t>
            </w:r>
            <w:proofErr w:type="gramEnd"/>
            <w:r w:rsidRPr="008942F7">
              <w:rPr>
                <w:b/>
                <w:bCs/>
                <w:i/>
                <w:iCs/>
              </w:rPr>
              <w:t xml:space="preserve"> hogy legyen, hogy a kiégett fűtőelemekkel és radioaktív hulladékokkal, ezen belül a meglévő nukleáris létesítmények leszerelésével összefüggésben várhatóan keletkező radioaktív hulladékokkal kapcsolatban ne hárítson indokolatlan terheket a jövő nemzedékeire.</w:t>
            </w:r>
            <w:r w:rsidRPr="008942F7">
              <w:t xml:space="preserve"> </w:t>
            </w:r>
            <w:r w:rsidRPr="008942F7">
              <w:rPr>
                <w:b/>
                <w:bCs/>
                <w:i/>
                <w:iCs/>
              </w:rPr>
              <w:t>A nemzeti szakpolitikáknak „a szennyező fizet” elven kell alapulniuk.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lastRenderedPageBreak/>
        <w:t>Módosítás</w:t>
      </w:r>
      <w:r w:rsidRPr="008942F7">
        <w:tab/>
      </w:r>
      <w:r w:rsidRPr="008942F7">
        <w:tab/>
        <w:t>12</w:t>
      </w:r>
    </w:p>
    <w:p w:rsidR="000B6D65" w:rsidRPr="008942F7" w:rsidRDefault="000B6D65" w:rsidP="000B6D65">
      <w:pPr>
        <w:pStyle w:val="NormalBold12b"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23 b preambulumbekezdés (új)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/>
        </w:tc>
      </w:tr>
      <w:tr w:rsidR="000B6D65" w:rsidRPr="008942F7" w:rsidTr="006661EE">
        <w:trPr>
          <w:trHeight w:val="240"/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</w:p>
        </w:tc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  <w:r w:rsidRPr="008942F7">
              <w:rPr>
                <w:b/>
                <w:bCs/>
                <w:i/>
                <w:iCs/>
              </w:rPr>
              <w:t>(23b)</w:t>
            </w:r>
            <w:r w:rsidRPr="008942F7">
              <w:tab/>
            </w:r>
            <w:r w:rsidRPr="008942F7">
              <w:rPr>
                <w:b/>
                <w:bCs/>
                <w:i/>
                <w:iCs/>
              </w:rPr>
              <w:t xml:space="preserve">A 2006/851/Euratom bizottsági ajánlás szerint „a szennyező fizet” elvet követve a nukleáris létesítmények üzemeltetőinek a létesítmény </w:t>
            </w:r>
            <w:proofErr w:type="gramStart"/>
            <w:r w:rsidRPr="008942F7">
              <w:rPr>
                <w:b/>
                <w:bCs/>
                <w:i/>
                <w:iCs/>
              </w:rPr>
              <w:t>aktív</w:t>
            </w:r>
            <w:proofErr w:type="gramEnd"/>
            <w:r w:rsidRPr="008942F7">
              <w:rPr>
                <w:b/>
                <w:bCs/>
                <w:i/>
                <w:iCs/>
              </w:rPr>
              <w:t xml:space="preserve"> élettartama alatt megfelelő pénzügyi forrásokat kell elkülöníteniük a jövőbeli leszerelés költségeinek fedezésére.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  <w:keepNext/>
      </w:pPr>
      <w:r w:rsidRPr="008942F7">
        <w:t>Módosítás</w:t>
      </w:r>
      <w:r w:rsidRPr="008942F7">
        <w:tab/>
      </w:r>
      <w:r w:rsidRPr="008942F7">
        <w:tab/>
        <w:t>13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3 cikk – 1 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(1)</w:t>
            </w:r>
            <w:r w:rsidRPr="008942F7">
              <w:tab/>
              <w:t xml:space="preserve">A program általános célkitűzése, hogy Litvánia támogatást kapjon az </w:t>
            </w:r>
            <w:proofErr w:type="spellStart"/>
            <w:r w:rsidRPr="008942F7">
              <w:t>Ignalina</w:t>
            </w:r>
            <w:proofErr w:type="spellEnd"/>
            <w:r w:rsidRPr="008942F7">
              <w:t xml:space="preserve"> atomerőmű leszerelésének végrehajtásához, különös </w:t>
            </w:r>
            <w:r w:rsidRPr="008942F7">
              <w:rPr>
                <w:b/>
                <w:i/>
              </w:rPr>
              <w:t>hangsúllyal</w:t>
            </w:r>
            <w:r w:rsidRPr="008942F7">
              <w:t xml:space="preserve"> az </w:t>
            </w:r>
            <w:proofErr w:type="spellStart"/>
            <w:r w:rsidRPr="008942F7">
              <w:t>Ignalina</w:t>
            </w:r>
            <w:proofErr w:type="spellEnd"/>
            <w:r w:rsidRPr="008942F7">
              <w:t xml:space="preserve"> atomerőmű leszereléséhez kapcsolódó sugárbiztonsági kihívások </w:t>
            </w:r>
            <w:r w:rsidRPr="008942F7">
              <w:rPr>
                <w:b/>
                <w:i/>
              </w:rPr>
              <w:t>leküzdésén</w:t>
            </w:r>
            <w:r w:rsidRPr="008942F7">
              <w:t xml:space="preserve">, </w:t>
            </w:r>
            <w:r w:rsidRPr="008942F7">
              <w:rPr>
                <w:b/>
                <w:i/>
              </w:rPr>
              <w:t>és hogy</w:t>
            </w:r>
            <w:r w:rsidRPr="008942F7">
              <w:t xml:space="preserve"> a </w:t>
            </w:r>
            <w:r w:rsidRPr="008942F7">
              <w:rPr>
                <w:b/>
                <w:i/>
              </w:rPr>
              <w:t>nukleáris leszerelésről szerzett ismeretek széles körben elterjedjenek az EU tagállamaiban</w:t>
            </w:r>
            <w:r w:rsidRPr="008942F7">
              <w:t>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t>(1)</w:t>
            </w:r>
            <w:r w:rsidRPr="008942F7">
              <w:tab/>
              <w:t xml:space="preserve">A program általános célkitűzése, hogy Litvánia </w:t>
            </w:r>
            <w:r w:rsidRPr="008942F7">
              <w:rPr>
                <w:b/>
                <w:i/>
              </w:rPr>
              <w:t xml:space="preserve">megfelelő </w:t>
            </w:r>
            <w:r w:rsidRPr="008942F7">
              <w:t xml:space="preserve">támogatást kapjon az </w:t>
            </w:r>
            <w:proofErr w:type="spellStart"/>
            <w:r w:rsidRPr="008942F7">
              <w:t>Ignalina</w:t>
            </w:r>
            <w:proofErr w:type="spellEnd"/>
            <w:r w:rsidRPr="008942F7">
              <w:t xml:space="preserve"> atomerőmű leszerelésének </w:t>
            </w:r>
            <w:r w:rsidRPr="008942F7">
              <w:rPr>
                <w:b/>
                <w:i/>
              </w:rPr>
              <w:t xml:space="preserve">biztonságos </w:t>
            </w:r>
            <w:r w:rsidRPr="008942F7">
              <w:t xml:space="preserve">végrehajtásához, különös </w:t>
            </w:r>
            <w:r w:rsidRPr="008942F7">
              <w:rPr>
                <w:b/>
                <w:i/>
              </w:rPr>
              <w:t>hangsúlyt fektetve</w:t>
            </w:r>
            <w:r w:rsidRPr="008942F7">
              <w:t xml:space="preserve"> az </w:t>
            </w:r>
            <w:proofErr w:type="spellStart"/>
            <w:r w:rsidRPr="008942F7">
              <w:t>Ignalina</w:t>
            </w:r>
            <w:proofErr w:type="spellEnd"/>
            <w:r w:rsidRPr="008942F7">
              <w:t xml:space="preserve"> atomerőmű leszereléséhez kapcsolódó sugárbiztonsági kihívások </w:t>
            </w:r>
            <w:r w:rsidRPr="008942F7">
              <w:rPr>
                <w:b/>
                <w:i/>
              </w:rPr>
              <w:t>leküzdésére</w:t>
            </w:r>
            <w:r w:rsidRPr="008942F7">
              <w:t xml:space="preserve">, </w:t>
            </w:r>
            <w:r w:rsidRPr="008942F7">
              <w:rPr>
                <w:b/>
                <w:i/>
              </w:rPr>
              <w:t>beleértve</w:t>
            </w:r>
            <w:r w:rsidRPr="008942F7">
              <w:t xml:space="preserve"> a </w:t>
            </w:r>
            <w:r w:rsidRPr="008942F7">
              <w:rPr>
                <w:b/>
                <w:i/>
              </w:rPr>
              <w:t>kiégett fűtőelemek átmeneti tárolására szolgáló létesítmények biztonságossá tételét</w:t>
            </w:r>
            <w:r w:rsidRPr="008942F7"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  <w:keepNext/>
      </w:pPr>
      <w:r w:rsidRPr="008942F7">
        <w:t>Módosítás</w:t>
      </w:r>
      <w:r w:rsidRPr="008942F7">
        <w:tab/>
      </w:r>
      <w:r w:rsidRPr="008942F7">
        <w:tab/>
        <w:t>14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3 cikk – 2 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(2)</w:t>
            </w:r>
            <w:r w:rsidRPr="008942F7">
              <w:tab/>
              <w:t xml:space="preserve">A program </w:t>
            </w:r>
            <w:proofErr w:type="gramStart"/>
            <w:r w:rsidRPr="008942F7">
              <w:rPr>
                <w:b/>
                <w:i/>
              </w:rPr>
              <w:t>konkrét</w:t>
            </w:r>
            <w:proofErr w:type="gramEnd"/>
            <w:r w:rsidRPr="008942F7">
              <w:t xml:space="preserve"> célja az </w:t>
            </w:r>
            <w:proofErr w:type="spellStart"/>
            <w:r w:rsidRPr="008942F7">
              <w:t>ignalinai</w:t>
            </w:r>
            <w:proofErr w:type="spellEnd"/>
            <w:r w:rsidRPr="008942F7">
              <w:t xml:space="preserve"> berendezések és reaktorok leszerelése és sugármentesítése a leszerelési tervvel összhangban, a múltban és a leszerelés során keletkezett hulladék biztonságos kezelése</w:t>
            </w:r>
            <w:r w:rsidRPr="008942F7">
              <w:rPr>
                <w:b/>
                <w:i/>
              </w:rPr>
              <w:t>, valamint az ennek során létrejött ismeretek elterjesztése az uniós érdekelt felek között</w:t>
            </w:r>
            <w:r w:rsidRPr="008942F7">
              <w:t>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t>(2)</w:t>
            </w:r>
            <w:r w:rsidRPr="008942F7">
              <w:tab/>
              <w:t xml:space="preserve">A program </w:t>
            </w:r>
            <w:r w:rsidRPr="008942F7">
              <w:rPr>
                <w:b/>
                <w:i/>
              </w:rPr>
              <w:t>fő</w:t>
            </w:r>
            <w:r w:rsidRPr="008942F7">
              <w:t xml:space="preserve"> célja az </w:t>
            </w:r>
            <w:proofErr w:type="spellStart"/>
            <w:r w:rsidRPr="008942F7">
              <w:t>ignalinai</w:t>
            </w:r>
            <w:proofErr w:type="spellEnd"/>
            <w:r w:rsidRPr="008942F7">
              <w:t xml:space="preserve"> berendezések és reaktorok leszerelése és sugármentesítése a leszerelési tervvel összhangban, </w:t>
            </w:r>
            <w:r w:rsidRPr="008942F7">
              <w:rPr>
                <w:b/>
                <w:i/>
              </w:rPr>
              <w:t xml:space="preserve">valamint </w:t>
            </w:r>
            <w:r w:rsidRPr="008942F7">
              <w:t xml:space="preserve">a múltban és a leszerelés során keletkezett hulladék </w:t>
            </w:r>
            <w:r w:rsidRPr="008942F7">
              <w:rPr>
                <w:b/>
                <w:i/>
              </w:rPr>
              <w:t xml:space="preserve">további </w:t>
            </w:r>
            <w:r w:rsidRPr="008942F7">
              <w:t>biztonságos kezelése.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  <w:keepNext/>
      </w:pPr>
      <w:r w:rsidRPr="008942F7">
        <w:t>Módosítás</w:t>
      </w:r>
      <w:r w:rsidRPr="008942F7">
        <w:tab/>
      </w:r>
      <w:r w:rsidRPr="008942F7">
        <w:tab/>
        <w:t>15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3 cikk – 2 a bekezdés (új)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</w:tcPr>
          <w:p w:rsidR="000B6D65" w:rsidRPr="008942F7" w:rsidRDefault="000B6D65" w:rsidP="006661EE">
            <w:pPr>
              <w:pStyle w:val="Normal6"/>
            </w:pP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b/>
                <w:i/>
              </w:rPr>
              <w:t>(2a)</w:t>
            </w:r>
            <w:r w:rsidRPr="008942F7">
              <w:rPr>
                <w:b/>
                <w:i/>
              </w:rPr>
              <w:tab/>
            </w:r>
            <w:proofErr w:type="gramStart"/>
            <w:r w:rsidRPr="008942F7">
              <w:rPr>
                <w:b/>
                <w:i/>
              </w:rPr>
              <w:t>A</w:t>
            </w:r>
            <w:proofErr w:type="gramEnd"/>
            <w:r w:rsidRPr="008942F7">
              <w:rPr>
                <w:b/>
                <w:i/>
              </w:rPr>
              <w:t xml:space="preserve"> program további kiegészítő célkitűzése annak biztosítása, hogy a nukleáris leszerelésről szerzett ismeretek széles körben elterjedjenek az EU összes tagállamában. A kiegészítő célkitűzést a nukleáris létesítmények leszerelésére és a radioaktív hulladékok kezelésére irányuló pénzügyi támogatási program </w:t>
            </w:r>
            <w:proofErr w:type="gramStart"/>
            <w:r w:rsidRPr="008942F7">
              <w:rPr>
                <w:b/>
                <w:i/>
              </w:rPr>
              <w:t>finanszírozza</w:t>
            </w:r>
            <w:proofErr w:type="gramEnd"/>
            <w:r w:rsidRPr="008942F7">
              <w:rPr>
                <w:b/>
                <w:i/>
              </w:rPr>
              <w:t xml:space="preserve"> (COM(2018)0467).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16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  <w:keepNext/>
      </w:pPr>
      <w:r w:rsidRPr="008942F7">
        <w:t>3 cikk – 3 bekezdés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(3)</w:t>
            </w:r>
            <w:r w:rsidRPr="008942F7">
              <w:rPr>
                <w:b/>
                <w:i/>
              </w:rPr>
              <w:tab/>
            </w:r>
            <w:r w:rsidRPr="008942F7">
              <w:rPr>
                <w:snapToGrid w:val="0"/>
              </w:rPr>
              <w:t xml:space="preserve">A </w:t>
            </w:r>
            <w:proofErr w:type="gramStart"/>
            <w:r w:rsidRPr="008942F7">
              <w:rPr>
                <w:b/>
                <w:i/>
                <w:snapToGrid w:val="0"/>
              </w:rPr>
              <w:t>konkrét</w:t>
            </w:r>
            <w:proofErr w:type="gramEnd"/>
            <w:r w:rsidRPr="008942F7">
              <w:rPr>
                <w:snapToGrid w:val="0"/>
              </w:rPr>
              <w:t xml:space="preserve"> célkitűzés részletes leírását az I. melléklet tartalmazza. </w:t>
            </w:r>
            <w:r w:rsidRPr="008942F7">
              <w:rPr>
                <w:b/>
                <w:i/>
                <w:snapToGrid w:val="0"/>
              </w:rPr>
              <w:t xml:space="preserve">A 12. cikk (2) bekezdésében lefektetett vizsgálóbizottsági eljárásnak megfelelően az Európai Bizottság végrehajtási </w:t>
            </w:r>
            <w:proofErr w:type="gramStart"/>
            <w:r w:rsidRPr="008942F7">
              <w:rPr>
                <w:b/>
                <w:i/>
                <w:snapToGrid w:val="0"/>
              </w:rPr>
              <w:t>aktusok</w:t>
            </w:r>
            <w:proofErr w:type="gramEnd"/>
            <w:r w:rsidRPr="008942F7">
              <w:rPr>
                <w:b/>
                <w:i/>
                <w:snapToGrid w:val="0"/>
              </w:rPr>
              <w:t xml:space="preserve"> révén módosíthatja az I. mellékletet.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(3)</w:t>
            </w:r>
            <w:r w:rsidRPr="008942F7">
              <w:rPr>
                <w:b/>
                <w:i/>
              </w:rPr>
              <w:tab/>
            </w:r>
            <w:r w:rsidRPr="008942F7">
              <w:rPr>
                <w:snapToGrid w:val="0"/>
              </w:rPr>
              <w:t xml:space="preserve">A </w:t>
            </w:r>
            <w:r w:rsidRPr="008942F7">
              <w:rPr>
                <w:b/>
                <w:i/>
                <w:snapToGrid w:val="0"/>
              </w:rPr>
              <w:t>fő</w:t>
            </w:r>
            <w:r w:rsidRPr="008942F7">
              <w:rPr>
                <w:snapToGrid w:val="0"/>
              </w:rPr>
              <w:t xml:space="preserve"> célkitűzés részletes leírását az I. melléklet tartalmazza.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  <w:keepNext/>
      </w:pPr>
      <w:r w:rsidRPr="008942F7">
        <w:t>Módosítás</w:t>
      </w:r>
      <w:r w:rsidRPr="008942F7">
        <w:tab/>
      </w:r>
      <w:r w:rsidRPr="008942F7">
        <w:tab/>
        <w:t>17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4 cikk – 1 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(1)</w:t>
            </w:r>
            <w:r w:rsidRPr="008942F7">
              <w:tab/>
              <w:t xml:space="preserve">A programnak a 2021–2027 közötti időszakban történő végrehajtására szánt pénzügyi keretösszeg folyó áron </w:t>
            </w:r>
            <w:r w:rsidRPr="008942F7">
              <w:rPr>
                <w:b/>
                <w:i/>
              </w:rPr>
              <w:t>552 </w:t>
            </w:r>
            <w:r w:rsidRPr="008942F7">
              <w:t>000</w:t>
            </w:r>
            <w:r w:rsidRPr="008942F7">
              <w:rPr>
                <w:b/>
                <w:i/>
              </w:rPr>
              <w:t> </w:t>
            </w:r>
            <w:r w:rsidRPr="008942F7">
              <w:t>000 EUR.</w:t>
            </w:r>
          </w:p>
        </w:tc>
        <w:tc>
          <w:tcPr>
            <w:tcW w:w="4876" w:type="dxa"/>
            <w:hideMark/>
          </w:tcPr>
          <w:p w:rsidR="000B6D65" w:rsidRPr="008942F7" w:rsidRDefault="000B6D65" w:rsidP="00F36F53">
            <w:pPr>
              <w:pStyle w:val="Normal6"/>
              <w:rPr>
                <w:szCs w:val="24"/>
              </w:rPr>
            </w:pPr>
            <w:r w:rsidRPr="008942F7">
              <w:t>(1)</w:t>
            </w:r>
            <w:r w:rsidRPr="008942F7">
              <w:tab/>
              <w:t xml:space="preserve">A programnak a 2021–2027 közötti időszakban történő végrehajtására szánt pénzügyi keretösszeg folyó áron </w:t>
            </w:r>
            <w:r w:rsidRPr="008942F7">
              <w:rPr>
                <w:b/>
                <w:i/>
              </w:rPr>
              <w:t>780</w:t>
            </w:r>
            <w:r w:rsidR="00F36F53" w:rsidRPr="008942F7">
              <w:rPr>
                <w:b/>
                <w:i/>
              </w:rPr>
              <w:t> </w:t>
            </w:r>
            <w:r w:rsidRPr="008942F7">
              <w:t>000</w:t>
            </w:r>
            <w:r w:rsidR="00F36F53" w:rsidRPr="008942F7">
              <w:t> </w:t>
            </w:r>
            <w:r w:rsidRPr="008942F7">
              <w:t>000 EUR</w:t>
            </w:r>
            <w:r w:rsidRPr="008942F7">
              <w:rPr>
                <w:b/>
                <w:i/>
              </w:rPr>
              <w:t>, amely a program fő célkitűzésének (leszerelési tevékenységek) végrehajtására használható fel</w:t>
            </w:r>
            <w:r w:rsidRPr="008942F7"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  <w:keepNext/>
      </w:pPr>
      <w:r w:rsidRPr="008942F7">
        <w:lastRenderedPageBreak/>
        <w:t>Módosítás</w:t>
      </w:r>
      <w:r w:rsidRPr="008942F7">
        <w:tab/>
      </w:r>
      <w:r w:rsidRPr="008942F7">
        <w:tab/>
        <w:t>18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</w:pPr>
      <w:r w:rsidRPr="008942F7">
        <w:t>7 cikk – 1 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  <w:keepNext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 xml:space="preserve">A programban </w:t>
            </w:r>
            <w:r w:rsidRPr="008942F7">
              <w:rPr>
                <w:b/>
                <w:i/>
              </w:rPr>
              <w:t>80%-</w:t>
            </w:r>
            <w:proofErr w:type="spellStart"/>
            <w:r w:rsidRPr="008942F7">
              <w:rPr>
                <w:b/>
                <w:i/>
              </w:rPr>
              <w:t>nál</w:t>
            </w:r>
            <w:proofErr w:type="spellEnd"/>
            <w:r w:rsidRPr="008942F7">
              <w:rPr>
                <w:b/>
                <w:i/>
              </w:rPr>
              <w:t xml:space="preserve"> magasabb</w:t>
            </w:r>
            <w:r w:rsidRPr="008942F7">
              <w:t xml:space="preserve"> összesített uniós társfinanszírozási arány</w:t>
            </w:r>
            <w:r w:rsidRPr="008942F7">
              <w:rPr>
                <w:b/>
                <w:i/>
              </w:rPr>
              <w:t xml:space="preserve"> nem</w:t>
            </w:r>
            <w:r w:rsidRPr="008942F7">
              <w:t xml:space="preserve"> alkalmazható. A fennmaradó </w:t>
            </w:r>
            <w:proofErr w:type="gramStart"/>
            <w:r w:rsidRPr="008942F7">
              <w:t>finanszírozást</w:t>
            </w:r>
            <w:proofErr w:type="gramEnd"/>
            <w:r w:rsidRPr="008942F7">
              <w:t xml:space="preserve"> Litvániának és az Uniós költségvetéstől eltérő más forrásoknak kell biztosítania.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t xml:space="preserve">A programban </w:t>
            </w:r>
            <w:r w:rsidRPr="008942F7">
              <w:rPr>
                <w:b/>
                <w:i/>
              </w:rPr>
              <w:t>86%-</w:t>
            </w:r>
            <w:proofErr w:type="spellStart"/>
            <w:r w:rsidRPr="008942F7">
              <w:rPr>
                <w:b/>
                <w:i/>
              </w:rPr>
              <w:t>os</w:t>
            </w:r>
            <w:proofErr w:type="spellEnd"/>
            <w:r w:rsidRPr="008942F7">
              <w:t xml:space="preserve"> összesített uniós társfinanszírozási arány alkalmazható. A fennmaradó </w:t>
            </w:r>
            <w:proofErr w:type="gramStart"/>
            <w:r w:rsidRPr="008942F7">
              <w:t>finanszírozást</w:t>
            </w:r>
            <w:proofErr w:type="gramEnd"/>
            <w:r w:rsidRPr="008942F7">
              <w:t xml:space="preserve"> Litvániának és az uniós költségvetéstől eltérő más forrásoknak kell biztosítania.</w:t>
            </w:r>
          </w:p>
        </w:tc>
      </w:tr>
    </w:tbl>
    <w:p w:rsidR="000B6D65" w:rsidRPr="008942F7" w:rsidRDefault="000B6D65" w:rsidP="000B6D65">
      <w:pPr>
        <w:rPr>
          <w:szCs w:val="24"/>
        </w:rPr>
      </w:pPr>
    </w:p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19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  <w:keepNext/>
      </w:pPr>
      <w:r w:rsidRPr="008942F7">
        <w:rPr>
          <w:szCs w:val="24"/>
        </w:rPr>
        <w:t>1 cikk – 4 bekezdés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rPr>
                <w:szCs w:val="24"/>
              </w:rPr>
              <w:t>(4)</w:t>
            </w:r>
            <w:r w:rsidRPr="008942F7">
              <w:tab/>
            </w:r>
            <w:r w:rsidRPr="008942F7">
              <w:rPr>
                <w:snapToGrid w:val="0"/>
              </w:rPr>
              <w:t xml:space="preserve">A 2021 és 2027 közötti </w:t>
            </w:r>
            <w:proofErr w:type="gramStart"/>
            <w:r w:rsidRPr="008942F7">
              <w:rPr>
                <w:snapToGrid w:val="0"/>
              </w:rPr>
              <w:t>finanszírozási</w:t>
            </w:r>
            <w:proofErr w:type="gramEnd"/>
            <w:r w:rsidRPr="008942F7">
              <w:rPr>
                <w:snapToGrid w:val="0"/>
              </w:rPr>
              <w:t xml:space="preserve"> időszakban felmerülő főbb sugárbiztonsági kihívásokat a P.1, P.2 és P.4 jelű tételekhez tartozó intézkedések hivatottak megoldani.</w:t>
            </w:r>
            <w:r w:rsidRPr="008942F7">
              <w:t xml:space="preserve"> </w:t>
            </w:r>
            <w:r w:rsidRPr="008942F7">
              <w:rPr>
                <w:snapToGrid w:val="0"/>
              </w:rPr>
              <w:t>A reaktormagok leszerelése a P.2 jelű tétel alá tartozik.</w:t>
            </w:r>
            <w:r w:rsidRPr="008942F7">
              <w:rPr>
                <w:b/>
                <w:i/>
                <w:snapToGrid w:val="0"/>
              </w:rPr>
              <w:t xml:space="preserve"> A P.3 jelű tétel kisebb kihívásokkal foglalkozik, míg</w:t>
            </w:r>
            <w:r w:rsidRPr="008942F7">
              <w:rPr>
                <w:snapToGrid w:val="0"/>
              </w:rPr>
              <w:t xml:space="preserve"> a P.0 és a P.5 jelű tétel leszerelést támogató tevékenységeket tartalmaz.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zCs w:val="24"/>
              </w:rPr>
              <w:t>(4)</w:t>
            </w:r>
            <w:r w:rsidRPr="008942F7">
              <w:tab/>
            </w:r>
            <w:r w:rsidRPr="008942F7">
              <w:rPr>
                <w:snapToGrid w:val="0"/>
              </w:rPr>
              <w:t xml:space="preserve">A 2021 és 2027 közötti </w:t>
            </w:r>
            <w:proofErr w:type="gramStart"/>
            <w:r w:rsidRPr="008942F7">
              <w:rPr>
                <w:snapToGrid w:val="0"/>
              </w:rPr>
              <w:t>finanszírozási</w:t>
            </w:r>
            <w:proofErr w:type="gramEnd"/>
            <w:r w:rsidRPr="008942F7">
              <w:rPr>
                <w:snapToGrid w:val="0"/>
              </w:rPr>
              <w:t xml:space="preserve"> időszakban felmerülő főbb sugárbiztonsági kihívásokat a P.1, P.2</w:t>
            </w:r>
            <w:r w:rsidRPr="008942F7">
              <w:rPr>
                <w:b/>
                <w:i/>
                <w:snapToGrid w:val="0"/>
              </w:rPr>
              <w:t>, P.3</w:t>
            </w:r>
            <w:r w:rsidRPr="008942F7">
              <w:rPr>
                <w:snapToGrid w:val="0"/>
              </w:rPr>
              <w:t xml:space="preserve"> és P.4 jelű tételekhez tartozó intézkedések hivatottak megoldani.</w:t>
            </w:r>
            <w:r w:rsidRPr="008942F7">
              <w:t xml:space="preserve"> </w:t>
            </w:r>
            <w:r w:rsidRPr="008942F7">
              <w:rPr>
                <w:snapToGrid w:val="0"/>
              </w:rPr>
              <w:t>A reaktormagok leszerelése a P.2 jelű tétel alá tartozik. A P.0 és a P.5 jelű tétel leszerelést támogató tevékenységeket tartalmaz.</w:t>
            </w:r>
          </w:p>
        </w:tc>
      </w:tr>
    </w:tbl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20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  <w:keepNext/>
      </w:pPr>
      <w:r w:rsidRPr="008942F7">
        <w:rPr>
          <w:szCs w:val="24"/>
        </w:rPr>
        <w:t xml:space="preserve">1 melléklet – 5 bekezdés – </w:t>
      </w:r>
      <w:r w:rsidR="00192240">
        <w:rPr>
          <w:szCs w:val="24"/>
        </w:rPr>
        <w:t>I</w:t>
      </w:r>
      <w:r w:rsidRPr="008942F7">
        <w:rPr>
          <w:szCs w:val="24"/>
        </w:rPr>
        <w:t xml:space="preserve"> táblázat – P.3. </w:t>
      </w:r>
      <w:proofErr w:type="gramStart"/>
      <w:r w:rsidRPr="008942F7">
        <w:rPr>
          <w:szCs w:val="24"/>
        </w:rPr>
        <w:t>tétel</w:t>
      </w:r>
      <w:proofErr w:type="gramEnd"/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3969"/>
      </w:tblGrid>
      <w:tr w:rsidR="000B6D65" w:rsidRPr="008942F7" w:rsidTr="006661EE">
        <w:trPr>
          <w:jc w:val="center"/>
        </w:trPr>
        <w:tc>
          <w:tcPr>
            <w:tcW w:w="9639" w:type="dxa"/>
            <w:gridSpan w:val="3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9639" w:type="dxa"/>
            <w:gridSpan w:val="3"/>
            <w:hideMark/>
          </w:tcPr>
          <w:p w:rsidR="000B6D65" w:rsidRPr="008942F7" w:rsidRDefault="000B6D65" w:rsidP="00F36F53">
            <w:pPr>
              <w:pStyle w:val="ColumnHeading"/>
            </w:pPr>
            <w:r w:rsidRPr="008942F7">
              <w:t>A Bizottság által javasolt szöveg</w:t>
            </w:r>
          </w:p>
        </w:tc>
      </w:tr>
      <w:tr w:rsidR="000B6D65" w:rsidRPr="008942F7" w:rsidTr="006661EE">
        <w:trPr>
          <w:jc w:val="center"/>
        </w:trPr>
        <w:tc>
          <w:tcPr>
            <w:tcW w:w="9639" w:type="dxa"/>
            <w:gridSpan w:val="3"/>
            <w:hideMark/>
          </w:tcPr>
          <w:p w:rsidR="000B6D65" w:rsidRPr="008942F7" w:rsidRDefault="00192240" w:rsidP="006661EE">
            <w:pPr>
              <w:pStyle w:val="Normal6"/>
              <w:rPr>
                <w:szCs w:val="24"/>
              </w:rPr>
            </w:pPr>
            <w:r>
              <w:t>I</w:t>
            </w:r>
            <w:r w:rsidR="000B6D65" w:rsidRPr="008942F7">
              <w:t>. táblázat</w:t>
            </w:r>
          </w:p>
        </w:tc>
      </w:tr>
      <w:tr w:rsidR="000B6D65" w:rsidRPr="008942F7" w:rsidTr="006661EE">
        <w:trPr>
          <w:jc w:val="center"/>
        </w:trPr>
        <w:tc>
          <w:tcPr>
            <w:tcW w:w="3828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#</w:t>
            </w:r>
          </w:p>
        </w:tc>
        <w:tc>
          <w:tcPr>
            <w:tcW w:w="1842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t>Tétel</w:t>
            </w:r>
          </w:p>
        </w:tc>
        <w:tc>
          <w:tcPr>
            <w:tcW w:w="3969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Prioritás</w:t>
            </w:r>
          </w:p>
        </w:tc>
      </w:tr>
      <w:tr w:rsidR="000B6D65" w:rsidRPr="008942F7" w:rsidTr="006661EE">
        <w:trPr>
          <w:jc w:val="center"/>
        </w:trPr>
        <w:tc>
          <w:tcPr>
            <w:tcW w:w="3828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P.3.</w:t>
            </w:r>
          </w:p>
        </w:tc>
        <w:tc>
          <w:tcPr>
            <w:tcW w:w="1842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t>A kiégett nukleáris fűtőelemek kezelése</w:t>
            </w:r>
          </w:p>
        </w:tc>
        <w:tc>
          <w:tcPr>
            <w:tcW w:w="3969" w:type="dxa"/>
            <w:hideMark/>
          </w:tcPr>
          <w:p w:rsidR="000B6D65" w:rsidRPr="008942F7" w:rsidRDefault="000B6D65" w:rsidP="006661EE">
            <w:pPr>
              <w:pStyle w:val="Normal6"/>
              <w:rPr>
                <w:b/>
                <w:i/>
              </w:rPr>
            </w:pPr>
            <w:r w:rsidRPr="008942F7">
              <w:rPr>
                <w:b/>
                <w:i/>
              </w:rPr>
              <w:t>II.</w:t>
            </w:r>
          </w:p>
        </w:tc>
      </w:tr>
      <w:tr w:rsidR="000B6D65" w:rsidRPr="008942F7" w:rsidTr="006661EE">
        <w:trPr>
          <w:jc w:val="center"/>
        </w:trPr>
        <w:tc>
          <w:tcPr>
            <w:tcW w:w="9639" w:type="dxa"/>
            <w:gridSpan w:val="3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9639" w:type="dxa"/>
            <w:gridSpan w:val="3"/>
            <w:hideMark/>
          </w:tcPr>
          <w:p w:rsidR="000B6D65" w:rsidRPr="008942F7" w:rsidRDefault="000B6D65" w:rsidP="00F36F53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9639" w:type="dxa"/>
            <w:gridSpan w:val="3"/>
            <w:hideMark/>
          </w:tcPr>
          <w:p w:rsidR="000B6D65" w:rsidRPr="008942F7" w:rsidRDefault="00192240" w:rsidP="006661EE">
            <w:pPr>
              <w:pStyle w:val="Normal6"/>
              <w:rPr>
                <w:szCs w:val="24"/>
              </w:rPr>
            </w:pPr>
            <w:r>
              <w:t>I</w:t>
            </w:r>
            <w:r w:rsidR="000B6D65" w:rsidRPr="008942F7">
              <w:t>. táblázat</w:t>
            </w:r>
          </w:p>
        </w:tc>
      </w:tr>
      <w:tr w:rsidR="000B6D65" w:rsidRPr="008942F7" w:rsidTr="006661EE">
        <w:trPr>
          <w:jc w:val="center"/>
        </w:trPr>
        <w:tc>
          <w:tcPr>
            <w:tcW w:w="3828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#</w:t>
            </w:r>
          </w:p>
        </w:tc>
        <w:tc>
          <w:tcPr>
            <w:tcW w:w="1842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t>Tétel</w:t>
            </w:r>
          </w:p>
        </w:tc>
        <w:tc>
          <w:tcPr>
            <w:tcW w:w="3969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Prioritás</w:t>
            </w:r>
          </w:p>
        </w:tc>
      </w:tr>
      <w:tr w:rsidR="000B6D65" w:rsidRPr="008942F7" w:rsidTr="006661EE">
        <w:trPr>
          <w:jc w:val="center"/>
        </w:trPr>
        <w:tc>
          <w:tcPr>
            <w:tcW w:w="3828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t>P.3.</w:t>
            </w:r>
          </w:p>
        </w:tc>
        <w:tc>
          <w:tcPr>
            <w:tcW w:w="1842" w:type="dxa"/>
          </w:tcPr>
          <w:p w:rsidR="000B6D65" w:rsidRPr="008942F7" w:rsidRDefault="000B6D65" w:rsidP="006661EE">
            <w:pPr>
              <w:pStyle w:val="Normal6"/>
              <w:rPr>
                <w:b/>
                <w:i/>
                <w:szCs w:val="24"/>
              </w:rPr>
            </w:pPr>
            <w:r w:rsidRPr="008942F7">
              <w:t>A kiégett nukleáris fűtőelemek kezelése</w:t>
            </w:r>
          </w:p>
        </w:tc>
        <w:tc>
          <w:tcPr>
            <w:tcW w:w="3969" w:type="dxa"/>
          </w:tcPr>
          <w:p w:rsidR="000B6D65" w:rsidRPr="008942F7" w:rsidRDefault="000B6D65" w:rsidP="006661EE">
            <w:pPr>
              <w:pStyle w:val="Normal6"/>
              <w:rPr>
                <w:b/>
                <w:i/>
              </w:rPr>
            </w:pPr>
            <w:r w:rsidRPr="008942F7">
              <w:rPr>
                <w:b/>
                <w:i/>
              </w:rPr>
              <w:t>I.</w:t>
            </w:r>
          </w:p>
        </w:tc>
      </w:tr>
    </w:tbl>
    <w:p w:rsidR="000B6D65" w:rsidRPr="008942F7" w:rsidRDefault="000B6D65" w:rsidP="000B6D65">
      <w:pPr>
        <w:pStyle w:val="NormalBold"/>
        <w:keepNext/>
      </w:pPr>
    </w:p>
    <w:p w:rsidR="000B6D65" w:rsidRPr="008942F7" w:rsidRDefault="000B6D65" w:rsidP="000B6D65"/>
    <w:p w:rsidR="000B6D65" w:rsidRPr="008942F7" w:rsidRDefault="000B6D65" w:rsidP="000B6D65">
      <w:pPr>
        <w:pStyle w:val="AMNumberTabs"/>
      </w:pPr>
      <w:r w:rsidRPr="008942F7">
        <w:t>Módosítás</w:t>
      </w:r>
      <w:r w:rsidRPr="008942F7">
        <w:tab/>
      </w:r>
      <w:r w:rsidRPr="008942F7">
        <w:tab/>
        <w:t>21</w:t>
      </w:r>
    </w:p>
    <w:p w:rsidR="000B6D65" w:rsidRPr="008942F7" w:rsidRDefault="000B6D65" w:rsidP="000B6D65">
      <w:pPr>
        <w:pStyle w:val="NormalBold12b"/>
        <w:keepNext/>
      </w:pPr>
      <w:r w:rsidRPr="008942F7">
        <w:t>Rendeletre irányuló javaslat</w:t>
      </w:r>
    </w:p>
    <w:p w:rsidR="000B6D65" w:rsidRPr="008942F7" w:rsidRDefault="000B6D65" w:rsidP="000B6D65">
      <w:pPr>
        <w:pStyle w:val="NormalBold"/>
        <w:keepNext/>
      </w:pPr>
      <w:r w:rsidRPr="008942F7">
        <w:t>1 melléklet – 7 bekezdés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B6D65" w:rsidRPr="008942F7" w:rsidTr="006661EE">
        <w:trPr>
          <w:jc w:val="center"/>
        </w:trPr>
        <w:tc>
          <w:tcPr>
            <w:tcW w:w="9752" w:type="dxa"/>
            <w:gridSpan w:val="2"/>
          </w:tcPr>
          <w:p w:rsidR="000B6D65" w:rsidRPr="008942F7" w:rsidRDefault="000B6D65" w:rsidP="006661EE">
            <w:pPr>
              <w:keepNext/>
            </w:pP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A Bizottság által javasolt szöveg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ColumnHeading"/>
            </w:pPr>
            <w:r w:rsidRPr="008942F7">
              <w:t>Módosítás</w:t>
            </w:r>
          </w:p>
        </w:tc>
      </w:tr>
      <w:tr w:rsidR="000B6D65" w:rsidRPr="008942F7" w:rsidTr="006661EE">
        <w:trPr>
          <w:jc w:val="center"/>
        </w:trPr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</w:pPr>
            <w:r w:rsidRPr="008942F7">
              <w:rPr>
                <w:szCs w:val="24"/>
              </w:rPr>
              <w:t>7.</w:t>
            </w:r>
            <w:r w:rsidRPr="008942F7">
              <w:tab/>
            </w:r>
            <w:r w:rsidRPr="008942F7">
              <w:rPr>
                <w:b/>
                <w:i/>
              </w:rPr>
              <w:t>A</w:t>
            </w:r>
            <w:r w:rsidRPr="008942F7">
              <w:t xml:space="preserve"> program nem terjed ki a kiégett fűtőelemek és a radioaktív hulladékok mélységi geológiai tárolókban történő elhelyezésére, </w:t>
            </w:r>
            <w:r w:rsidRPr="008942F7">
              <w:rPr>
                <w:b/>
                <w:i/>
              </w:rPr>
              <w:t>ezeket a feladatokat a 2011/70/Euratom tanácsi irányelv értelmében Litvániának</w:t>
            </w:r>
            <w:r w:rsidRPr="008942F7">
              <w:t xml:space="preserve"> a </w:t>
            </w:r>
            <w:r w:rsidRPr="008942F7">
              <w:rPr>
                <w:b/>
                <w:i/>
              </w:rPr>
              <w:t>kiégett fűtőelemek és a radioaktív hulladékok kezelésére létrehozott saját nemzeti programja keretében kell megoldania</w:t>
            </w:r>
            <w:r w:rsidRPr="008942F7">
              <w:t>.</w:t>
            </w:r>
          </w:p>
        </w:tc>
        <w:tc>
          <w:tcPr>
            <w:tcW w:w="4876" w:type="dxa"/>
            <w:hideMark/>
          </w:tcPr>
          <w:p w:rsidR="000B6D65" w:rsidRPr="008942F7" w:rsidRDefault="000B6D65" w:rsidP="006661EE">
            <w:pPr>
              <w:pStyle w:val="Normal6"/>
              <w:rPr>
                <w:szCs w:val="24"/>
              </w:rPr>
            </w:pPr>
            <w:r w:rsidRPr="008942F7">
              <w:rPr>
                <w:szCs w:val="24"/>
              </w:rPr>
              <w:t>7.</w:t>
            </w:r>
            <w:r w:rsidRPr="008942F7">
              <w:tab/>
            </w:r>
            <w:r w:rsidRPr="008942F7">
              <w:rPr>
                <w:b/>
                <w:i/>
                <w:snapToGrid w:val="0"/>
              </w:rPr>
              <w:t>Míg a</w:t>
            </w:r>
            <w:r w:rsidRPr="008942F7">
              <w:rPr>
                <w:snapToGrid w:val="0"/>
              </w:rPr>
              <w:t xml:space="preserve"> program</w:t>
            </w:r>
            <w:r w:rsidRPr="008942F7">
              <w:rPr>
                <w:b/>
                <w:i/>
                <w:snapToGrid w:val="0"/>
              </w:rPr>
              <w:t xml:space="preserve"> a 2021 és 2027 közötti időszakban</w:t>
            </w:r>
            <w:r w:rsidRPr="008942F7">
              <w:rPr>
                <w:snapToGrid w:val="0"/>
              </w:rPr>
              <w:t xml:space="preserve"> nem terjed ki a kiégett fűtőelemek és a radioaktív hulladékok mélységi geológiai tárolókban történő </w:t>
            </w:r>
            <w:r w:rsidRPr="008942F7">
              <w:rPr>
                <w:b/>
                <w:i/>
                <w:snapToGrid w:val="0"/>
              </w:rPr>
              <w:t xml:space="preserve">végleges </w:t>
            </w:r>
            <w:r w:rsidRPr="008942F7">
              <w:rPr>
                <w:snapToGrid w:val="0"/>
              </w:rPr>
              <w:t xml:space="preserve">elhelyezésére, </w:t>
            </w:r>
            <w:r w:rsidRPr="008942F7">
              <w:rPr>
                <w:b/>
                <w:i/>
                <w:snapToGrid w:val="0"/>
              </w:rPr>
              <w:t>Litvánia és az Unió kellő időben egyeztetéseket kezd</w:t>
            </w:r>
            <w:r w:rsidRPr="008942F7">
              <w:rPr>
                <w:snapToGrid w:val="0"/>
              </w:rPr>
              <w:t xml:space="preserve"> a </w:t>
            </w:r>
            <w:r w:rsidRPr="008942F7">
              <w:rPr>
                <w:b/>
                <w:i/>
                <w:snapToGrid w:val="0"/>
              </w:rPr>
              <w:t>program e tevékenységekre való esetleges kiterjesztéséről a következő többéves pénzügyi kereten belül</w:t>
            </w:r>
            <w:r w:rsidRPr="008942F7">
              <w:rPr>
                <w:snapToGrid w:val="0"/>
              </w:rPr>
              <w:t>.</w:t>
            </w:r>
          </w:p>
        </w:tc>
      </w:tr>
    </w:tbl>
    <w:p w:rsidR="000B6D65" w:rsidRPr="008942F7" w:rsidRDefault="000B6D65" w:rsidP="000B6D65"/>
    <w:p w:rsidR="000B6D65" w:rsidRPr="008942F7" w:rsidRDefault="000B6D65" w:rsidP="000B6D65"/>
    <w:p w:rsidR="00E365E1" w:rsidRPr="008942F7" w:rsidRDefault="00E365E1" w:rsidP="000B6D65">
      <w:bookmarkStart w:id="10" w:name="TextBodyEnd"/>
      <w:bookmarkEnd w:id="10"/>
    </w:p>
    <w:sectPr w:rsidR="00E365E1" w:rsidRPr="008942F7" w:rsidSect="001B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DF" w:rsidRPr="001B00BF" w:rsidRDefault="00F323DF">
      <w:r w:rsidRPr="001B00BF">
        <w:separator/>
      </w:r>
    </w:p>
  </w:endnote>
  <w:endnote w:type="continuationSeparator" w:id="0">
    <w:p w:rsidR="00F323DF" w:rsidRPr="001B00BF" w:rsidRDefault="00F323DF">
      <w:r w:rsidRPr="001B00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F" w:rsidRPr="001B00BF" w:rsidRDefault="001B00BF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F" w:rsidRPr="001B00BF" w:rsidRDefault="001B00BF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F" w:rsidRPr="001B00BF" w:rsidRDefault="001B00BF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DF" w:rsidRPr="001B00BF" w:rsidRDefault="00F323DF">
      <w:r w:rsidRPr="001B00BF">
        <w:separator/>
      </w:r>
    </w:p>
  </w:footnote>
  <w:footnote w:type="continuationSeparator" w:id="0">
    <w:p w:rsidR="00F323DF" w:rsidRPr="001B00BF" w:rsidRDefault="00F323DF">
      <w:r w:rsidRPr="001B00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F" w:rsidRPr="001B00BF" w:rsidRDefault="001B00BF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F" w:rsidRPr="001B00BF" w:rsidRDefault="001B00BF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F" w:rsidRPr="001B00BF" w:rsidRDefault="001B00BF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413/2018"/>
    <w:docVar w:name="dvlangue" w:val="HU"/>
    <w:docVar w:name="dvnumam" w:val="21"/>
    <w:docVar w:name="dvpe" w:val="627.763"/>
    <w:docVar w:name="dvrapporteur" w:val="Előadó: "/>
    <w:docVar w:name="dvtitre" w:val="Az Európai Parlament 2019. január ...-i jogalkotási állásfoglalása a litvániai Ignalina atomerőmű leszerelését segítő támogatási program létrehozásáról (Ignalina-program), valamint az 1369/2013/EU tanácsi rendelet hatályon kívül helyezéséről szóló tanácsi rendeletre irányuló javaslatról(COM(2018)0466 – C8-0394/2018 – 2018/0251(NLE))"/>
  </w:docVars>
  <w:rsids>
    <w:rsidRoot w:val="00F323DF"/>
    <w:rsid w:val="00002272"/>
    <w:rsid w:val="000677B9"/>
    <w:rsid w:val="000A01F0"/>
    <w:rsid w:val="000B6D65"/>
    <w:rsid w:val="000E7DD9"/>
    <w:rsid w:val="0010095E"/>
    <w:rsid w:val="00125B37"/>
    <w:rsid w:val="00134B03"/>
    <w:rsid w:val="00192240"/>
    <w:rsid w:val="001B00BF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C4294"/>
    <w:rsid w:val="007D1690"/>
    <w:rsid w:val="00824F98"/>
    <w:rsid w:val="00865F67"/>
    <w:rsid w:val="00881A7B"/>
    <w:rsid w:val="008840E5"/>
    <w:rsid w:val="008942F7"/>
    <w:rsid w:val="008C2AC6"/>
    <w:rsid w:val="009509D8"/>
    <w:rsid w:val="00981893"/>
    <w:rsid w:val="00A4678D"/>
    <w:rsid w:val="00AC77B6"/>
    <w:rsid w:val="00AF3B82"/>
    <w:rsid w:val="00B558F0"/>
    <w:rsid w:val="00BD7BD8"/>
    <w:rsid w:val="00C05BFE"/>
    <w:rsid w:val="00C119E2"/>
    <w:rsid w:val="00C23CD4"/>
    <w:rsid w:val="00C941CB"/>
    <w:rsid w:val="00CC2357"/>
    <w:rsid w:val="00CF5057"/>
    <w:rsid w:val="00D058B8"/>
    <w:rsid w:val="00D834A0"/>
    <w:rsid w:val="00D91E21"/>
    <w:rsid w:val="00E365E1"/>
    <w:rsid w:val="00ED4235"/>
    <w:rsid w:val="00F04346"/>
    <w:rsid w:val="00F075DC"/>
    <w:rsid w:val="00F323DF"/>
    <w:rsid w:val="00F36F53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4CEC-FDD4-4716-ADFB-8F8CBED9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0B6D65"/>
    <w:rPr>
      <w:sz w:val="24"/>
      <w:lang w:val="hu-HU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0B6D65"/>
    <w:rPr>
      <w:b/>
      <w:sz w:val="24"/>
      <w:lang w:val="hu-HU"/>
    </w:rPr>
  </w:style>
  <w:style w:type="paragraph" w:customStyle="1" w:styleId="Normal12Italic">
    <w:name w:val="Normal12Italic"/>
    <w:basedOn w:val="Normal"/>
    <w:rsid w:val="000B6D65"/>
    <w:pPr>
      <w:spacing w:before="240"/>
    </w:pPr>
    <w:rPr>
      <w:i/>
    </w:rPr>
  </w:style>
  <w:style w:type="paragraph" w:customStyle="1" w:styleId="JustificationTitle">
    <w:name w:val="JustificationTitle"/>
    <w:basedOn w:val="Normal"/>
    <w:next w:val="Normal12"/>
    <w:rsid w:val="000B6D65"/>
    <w:pPr>
      <w:keepNext/>
      <w:spacing w:before="240"/>
      <w:jc w:val="center"/>
    </w:pPr>
    <w:rPr>
      <w:i/>
    </w:rPr>
  </w:style>
  <w:style w:type="paragraph" w:customStyle="1" w:styleId="ColumnHeading">
    <w:name w:val="ColumnHeading"/>
    <w:basedOn w:val="Normal"/>
    <w:rsid w:val="000B6D6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B6D6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0B6D65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AC7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77B6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2446</Words>
  <Characters>17404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ILLY_D</dc:creator>
  <cp:keywords/>
  <cp:lastModifiedBy>ILLY_D</cp:lastModifiedBy>
  <cp:revision>2</cp:revision>
  <cp:lastPrinted>2004-11-19T15:42:00Z</cp:lastPrinted>
  <dcterms:created xsi:type="dcterms:W3CDTF">2019-10-02T15:26:00Z</dcterms:created>
  <dcterms:modified xsi:type="dcterms:W3CDTF">2019-10-02T15:26:00Z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A8-0413/2018</vt:lpwstr>
  </property>
  <property fmtid="{D5CDD505-2E9C-101B-9397-08002B2CF9AE}" pid="4" name="&lt;Type&gt;">
    <vt:lpwstr>RR</vt:lpwstr>
  </property>
</Properties>
</file>