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B5C5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B5C54" w:rsidRDefault="00DE6267" w:rsidP="0010095E">
            <w:pPr>
              <w:pStyle w:val="EPName"/>
              <w:rPr>
                <w:lang w:val="ga-IE"/>
              </w:rPr>
            </w:pPr>
            <w:r w:rsidRPr="006B5C54">
              <w:rPr>
                <w:lang w:val="ga-IE"/>
              </w:rPr>
              <w:t>Parlaimint na hEorpa</w:t>
            </w:r>
          </w:p>
          <w:p w:rsidR="00751A4A" w:rsidRPr="006B5C5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ga-IE"/>
              </w:rPr>
            </w:pPr>
            <w:r w:rsidRPr="006B5C54">
              <w:rPr>
                <w:lang w:val="ga-IE"/>
              </w:rPr>
              <w:t>2014</w:t>
            </w:r>
            <w:r w:rsidR="00C941CB" w:rsidRPr="006B5C54">
              <w:rPr>
                <w:lang w:val="ga-I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6B5C54" w:rsidRDefault="00E0328D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6B5C54" w:rsidRDefault="00D058B8" w:rsidP="00D058B8">
      <w:pPr>
        <w:pStyle w:val="LineTop"/>
        <w:rPr>
          <w:lang w:val="ga-IE"/>
        </w:rPr>
      </w:pPr>
    </w:p>
    <w:p w:rsidR="00680577" w:rsidRPr="006B5C54" w:rsidRDefault="00DE6267" w:rsidP="00680577">
      <w:pPr>
        <w:pStyle w:val="ZSessionDoc"/>
        <w:rPr>
          <w:b/>
          <w:i w:val="0"/>
        </w:rPr>
      </w:pPr>
      <w:r w:rsidRPr="006B5C54">
        <w:rPr>
          <w:b/>
          <w:i w:val="0"/>
        </w:rPr>
        <w:t xml:space="preserve">TÉACSANNA ARNA </w:t>
      </w:r>
      <w:proofErr w:type="spellStart"/>
      <w:r w:rsidRPr="006B5C54">
        <w:rPr>
          <w:b/>
          <w:i w:val="0"/>
        </w:rPr>
        <w:t>nGLACADH</w:t>
      </w:r>
      <w:proofErr w:type="spellEnd"/>
    </w:p>
    <w:p w:rsidR="00D058B8" w:rsidRPr="006B5C54" w:rsidRDefault="00D058B8" w:rsidP="00D058B8">
      <w:pPr>
        <w:pStyle w:val="LineBottom"/>
      </w:pPr>
    </w:p>
    <w:p w:rsidR="00DE6267" w:rsidRPr="006B5C54" w:rsidRDefault="0035515D" w:rsidP="00DE6267">
      <w:pPr>
        <w:pStyle w:val="ATHeading1"/>
        <w:rPr>
          <w:noProof w:val="0"/>
          <w:lang w:val="ga-IE"/>
        </w:rPr>
      </w:pPr>
      <w:bookmarkStart w:id="0" w:name="TANumber"/>
      <w:r>
        <w:rPr>
          <w:noProof w:val="0"/>
          <w:lang w:val="ga-IE"/>
        </w:rPr>
        <w:t>P8_TA</w:t>
      </w:r>
      <w:r w:rsidR="00DE6267" w:rsidRPr="006B5C54">
        <w:rPr>
          <w:noProof w:val="0"/>
          <w:lang w:val="ga-IE"/>
        </w:rPr>
        <w:t>(2019)0</w:t>
      </w:r>
      <w:r w:rsidR="0050120F">
        <w:rPr>
          <w:noProof w:val="0"/>
          <w:lang w:val="ga-IE"/>
        </w:rPr>
        <w:t>107</w:t>
      </w:r>
      <w:bookmarkEnd w:id="0"/>
    </w:p>
    <w:p w:rsidR="00DE6267" w:rsidRPr="006B5C54" w:rsidRDefault="005B7035" w:rsidP="00DE6267">
      <w:pPr>
        <w:pStyle w:val="ATHeading2"/>
        <w:rPr>
          <w:noProof w:val="0"/>
          <w:lang w:val="ga-IE"/>
        </w:rPr>
      </w:pPr>
      <w:bookmarkStart w:id="1" w:name="title"/>
      <w:r w:rsidRPr="006B5C54">
        <w:rPr>
          <w:noProof w:val="0"/>
          <w:lang w:val="ga-IE"/>
        </w:rPr>
        <w:t>An ts</w:t>
      </w:r>
      <w:r w:rsidR="006D104A" w:rsidRPr="006B5C54">
        <w:rPr>
          <w:noProof w:val="0"/>
          <w:lang w:val="ga-IE"/>
        </w:rPr>
        <w:t xml:space="preserve">ábháilteacht </w:t>
      </w:r>
      <w:proofErr w:type="spellStart"/>
      <w:r w:rsidR="006D104A" w:rsidRPr="006B5C54">
        <w:rPr>
          <w:noProof w:val="0"/>
          <w:lang w:val="ga-IE"/>
        </w:rPr>
        <w:t>eitlíochta</w:t>
      </w:r>
      <w:proofErr w:type="spellEnd"/>
      <w:r w:rsidR="006D104A" w:rsidRPr="006B5C54">
        <w:rPr>
          <w:noProof w:val="0"/>
          <w:lang w:val="ga-IE"/>
        </w:rPr>
        <w:t xml:space="preserve"> maidir le tarraingt siar Ríocht Aontaithe na Breataine Móire agus Thuaisceart Éireann as an Aontas</w:t>
      </w:r>
      <w:bookmarkEnd w:id="1"/>
      <w:r w:rsidR="00DE6267" w:rsidRPr="006B5C54">
        <w:rPr>
          <w:noProof w:val="0"/>
          <w:lang w:val="ga-IE"/>
        </w:rPr>
        <w:t xml:space="preserve"> </w:t>
      </w:r>
      <w:bookmarkStart w:id="2" w:name="Etoiles"/>
      <w:r w:rsidR="00DE6267" w:rsidRPr="006B5C54">
        <w:rPr>
          <w:noProof w:val="0"/>
          <w:lang w:val="ga-IE"/>
        </w:rPr>
        <w:t>***I</w:t>
      </w:r>
      <w:bookmarkEnd w:id="2"/>
    </w:p>
    <w:p w:rsidR="00DE6267" w:rsidRPr="006B5C54" w:rsidRDefault="00DE6267" w:rsidP="00DE6267">
      <w:pPr>
        <w:rPr>
          <w:i/>
          <w:vanish/>
        </w:rPr>
      </w:pPr>
      <w:r w:rsidRPr="006B5C54">
        <w:rPr>
          <w:i/>
        </w:rPr>
        <w:fldChar w:fldCharType="begin"/>
      </w:r>
      <w:r w:rsidRPr="006B5C54">
        <w:rPr>
          <w:i/>
        </w:rPr>
        <w:instrText xml:space="preserve"> TC"(</w:instrText>
      </w:r>
      <w:bookmarkStart w:id="3" w:name="DocNumber"/>
      <w:r w:rsidRPr="006B5C54">
        <w:rPr>
          <w:i/>
        </w:rPr>
        <w:instrText>A8-0061/2019</w:instrText>
      </w:r>
      <w:bookmarkEnd w:id="3"/>
      <w:r w:rsidRPr="006B5C54">
        <w:rPr>
          <w:i/>
        </w:rPr>
        <w:instrText xml:space="preserve"> -  Rapóirtéir:Kosma Złotowski)"\l3 \n&gt; \* MERGEFORMAT </w:instrText>
      </w:r>
      <w:r w:rsidRPr="006B5C54">
        <w:rPr>
          <w:i/>
        </w:rPr>
        <w:fldChar w:fldCharType="end"/>
      </w:r>
    </w:p>
    <w:p w:rsidR="00DE6267" w:rsidRPr="006B5C54" w:rsidRDefault="00DE6267" w:rsidP="00DE6267">
      <w:pPr>
        <w:rPr>
          <w:vanish/>
        </w:rPr>
      </w:pPr>
      <w:bookmarkStart w:id="4" w:name="Commission"/>
      <w:r w:rsidRPr="006B5C54">
        <w:rPr>
          <w:vanish/>
        </w:rPr>
        <w:t>An Coiste um Iompar agus um Thurasóireacht</w:t>
      </w:r>
      <w:bookmarkEnd w:id="4"/>
    </w:p>
    <w:p w:rsidR="00DE6267" w:rsidRPr="006B5C54" w:rsidRDefault="00DE6267" w:rsidP="00DE6267">
      <w:pPr>
        <w:rPr>
          <w:vanish/>
        </w:rPr>
      </w:pPr>
      <w:bookmarkStart w:id="5" w:name="PE"/>
      <w:r w:rsidRPr="006B5C54">
        <w:rPr>
          <w:vanish/>
        </w:rPr>
        <w:t>PE634.467</w:t>
      </w:r>
      <w:bookmarkEnd w:id="5"/>
    </w:p>
    <w:p w:rsidR="00DE6267" w:rsidRPr="00007C96" w:rsidRDefault="0006565C" w:rsidP="00DE6267">
      <w:pPr>
        <w:pStyle w:val="ATHeading3"/>
        <w:rPr>
          <w:noProof w:val="0"/>
          <w:lang w:val="ga-IE"/>
        </w:rPr>
      </w:pPr>
      <w:bookmarkStart w:id="6" w:name="Sujet"/>
      <w:r w:rsidRPr="0006565C">
        <w:rPr>
          <w:noProof w:val="0"/>
          <w:lang w:val="ga-IE"/>
        </w:rPr>
        <w:t xml:space="preserve">Leasuithe a ghlac </w:t>
      </w:r>
      <w:bookmarkStart w:id="7" w:name="_GoBack"/>
      <w:bookmarkEnd w:id="7"/>
      <w:r w:rsidR="00DE6267" w:rsidRPr="006B5C54">
        <w:rPr>
          <w:noProof w:val="0"/>
          <w:lang w:val="ga-IE"/>
        </w:rPr>
        <w:t xml:space="preserve">Parlaimint na hEorpa an </w:t>
      </w:r>
      <w:r w:rsidR="006D104A" w:rsidRPr="006B5C54">
        <w:rPr>
          <w:noProof w:val="0"/>
          <w:lang w:val="ga-IE"/>
        </w:rPr>
        <w:t>13</w:t>
      </w:r>
      <w:r w:rsidR="00DE6267" w:rsidRPr="006B5C54">
        <w:rPr>
          <w:noProof w:val="0"/>
          <w:lang w:val="ga-IE"/>
        </w:rPr>
        <w:t xml:space="preserve"> </w:t>
      </w:r>
      <w:r w:rsidR="00FC3B56" w:rsidRPr="006B5C54">
        <w:rPr>
          <w:noProof w:val="0"/>
          <w:lang w:val="ga-IE"/>
        </w:rPr>
        <w:t>Feabhra</w:t>
      </w:r>
      <w:r w:rsidR="00DE6267" w:rsidRPr="006B5C54">
        <w:rPr>
          <w:noProof w:val="0"/>
          <w:lang w:val="ga-IE"/>
        </w:rPr>
        <w:t xml:space="preserve"> 2019 ar an togra le haghaidh rialachán ó Pharlaimint na hEorpa agus ón gComhairle </w:t>
      </w:r>
      <w:r w:rsidR="00AA0BFC" w:rsidRPr="006B5C54">
        <w:rPr>
          <w:noProof w:val="0"/>
          <w:lang w:val="ga-IE"/>
        </w:rPr>
        <w:t xml:space="preserve">maidir </w:t>
      </w:r>
      <w:r w:rsidR="00DE6267" w:rsidRPr="006B5C54">
        <w:rPr>
          <w:noProof w:val="0"/>
          <w:lang w:val="ga-IE"/>
        </w:rPr>
        <w:t>le gnéithe áirithe de</w:t>
      </w:r>
      <w:r w:rsidR="00AA0BFC" w:rsidRPr="006B5C54">
        <w:rPr>
          <w:noProof w:val="0"/>
          <w:lang w:val="ga-IE"/>
        </w:rPr>
        <w:t>n</w:t>
      </w:r>
      <w:r w:rsidR="00DE6267" w:rsidRPr="006B5C54">
        <w:rPr>
          <w:noProof w:val="0"/>
          <w:lang w:val="ga-IE"/>
        </w:rPr>
        <w:t xml:space="preserve"> </w:t>
      </w:r>
      <w:r w:rsidR="00AA0BFC" w:rsidRPr="006B5C54">
        <w:rPr>
          <w:noProof w:val="0"/>
          <w:lang w:val="ga-IE"/>
        </w:rPr>
        <w:t>t</w:t>
      </w:r>
      <w:r w:rsidR="00DE6267" w:rsidRPr="006B5C54">
        <w:rPr>
          <w:noProof w:val="0"/>
          <w:lang w:val="ga-IE"/>
        </w:rPr>
        <w:t xml:space="preserve">sábháilteacht </w:t>
      </w:r>
      <w:proofErr w:type="spellStart"/>
      <w:r w:rsidR="00DE6267" w:rsidRPr="006B5C54">
        <w:rPr>
          <w:noProof w:val="0"/>
          <w:lang w:val="ga-IE"/>
        </w:rPr>
        <w:t>eitlíochta</w:t>
      </w:r>
      <w:proofErr w:type="spellEnd"/>
      <w:r w:rsidR="00DE6267" w:rsidRPr="006B5C54">
        <w:rPr>
          <w:noProof w:val="0"/>
          <w:lang w:val="ga-IE"/>
        </w:rPr>
        <w:t xml:space="preserve"> </w:t>
      </w:r>
      <w:r w:rsidR="00AA0BFC" w:rsidRPr="006B5C54">
        <w:rPr>
          <w:noProof w:val="0"/>
          <w:lang w:val="ga-IE"/>
        </w:rPr>
        <w:t xml:space="preserve">ó thaobh </w:t>
      </w:r>
      <w:r w:rsidR="00DE6267" w:rsidRPr="006B5C54">
        <w:rPr>
          <w:noProof w:val="0"/>
          <w:lang w:val="ga-IE"/>
        </w:rPr>
        <w:t>t</w:t>
      </w:r>
      <w:r w:rsidR="00AA0BFC" w:rsidRPr="006B5C54">
        <w:rPr>
          <w:noProof w:val="0"/>
          <w:lang w:val="ga-IE"/>
        </w:rPr>
        <w:t>h</w:t>
      </w:r>
      <w:r w:rsidR="00DE6267" w:rsidRPr="006B5C54">
        <w:rPr>
          <w:noProof w:val="0"/>
          <w:lang w:val="ga-IE"/>
        </w:rPr>
        <w:t xml:space="preserve">arraingt siar Ríocht Aontaithe na Breataine Móire agus Thuaisceart Éireann </w:t>
      </w:r>
      <w:r w:rsidR="00AA0BFC" w:rsidRPr="006B5C54">
        <w:rPr>
          <w:noProof w:val="0"/>
          <w:lang w:val="ga-IE"/>
        </w:rPr>
        <w:t xml:space="preserve">as an </w:t>
      </w:r>
      <w:r w:rsidR="00DE6267" w:rsidRPr="006B5C54">
        <w:rPr>
          <w:noProof w:val="0"/>
          <w:lang w:val="ga-IE"/>
        </w:rPr>
        <w:t>Aontas</w:t>
      </w:r>
      <w:bookmarkEnd w:id="6"/>
      <w:r w:rsidR="00DE6267" w:rsidRPr="006B5C54">
        <w:rPr>
          <w:noProof w:val="0"/>
          <w:lang w:val="ga-IE"/>
        </w:rPr>
        <w:t xml:space="preserve"> </w:t>
      </w:r>
      <w:bookmarkStart w:id="8" w:name="References"/>
      <w:r w:rsidR="00DE6267" w:rsidRPr="006B5C54">
        <w:rPr>
          <w:noProof w:val="0"/>
          <w:lang w:val="ga-IE"/>
        </w:rPr>
        <w:t>(COM(2018)0894 – C8-0514/2018 – 2018/0434(COD))</w:t>
      </w:r>
      <w:bookmarkEnd w:id="8"/>
      <w:r>
        <w:rPr>
          <w:rStyle w:val="FootnoteReference"/>
          <w:noProof w:val="0"/>
          <w:lang w:val="en-GB"/>
        </w:rPr>
        <w:footnoteReference w:id="1"/>
      </w:r>
    </w:p>
    <w:p w:rsidR="00DE6267" w:rsidRPr="006B5C54" w:rsidRDefault="00DE6267" w:rsidP="00DE6267"/>
    <w:p w:rsidR="00F14D23" w:rsidRPr="006B5C54" w:rsidRDefault="00F14D23" w:rsidP="00F14D23">
      <w:pPr>
        <w:pStyle w:val="Normal12Bold"/>
      </w:pPr>
      <w:bookmarkStart w:id="9" w:name="TextBodyBegin"/>
      <w:bookmarkEnd w:id="9"/>
      <w:r w:rsidRPr="006B5C54">
        <w:t>(</w:t>
      </w:r>
      <w:r w:rsidR="00AF1F41" w:rsidRPr="006B5C54">
        <w:t>An g</w:t>
      </w:r>
      <w:r w:rsidRPr="006B5C54">
        <w:t>náthnós imeachta reachtach: an chéad léamh)</w:t>
      </w:r>
    </w:p>
    <w:p w:rsidR="00F14D23" w:rsidRPr="006B5C54" w:rsidRDefault="00F14D23" w:rsidP="006B5C54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1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1 – mír 3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3.</w:t>
            </w:r>
            <w:r w:rsidRPr="006B5C54">
              <w:tab/>
              <w:t>Le cois na ndeimhnithe a liostaítear i mír 2, beidh feidhm ag an Rialachán seo maidir leis na modúil oiliúna</w:t>
            </w:r>
            <w:r w:rsidRPr="006B5C54">
              <w:rPr>
                <w:b/>
                <w:i/>
              </w:rPr>
              <w:t xml:space="preserve"> theoiriciúla</w:t>
            </w:r>
            <w:r w:rsidRPr="006B5C54">
              <w:t xml:space="preserve"> dá dtagraítear in Airteagal 5.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3.</w:t>
            </w:r>
            <w:r w:rsidRPr="006B5C54">
              <w:tab/>
              <w:t>Le cois na ndeimhnithe a liostaítear i mír 2, beidh feidhm ag an Rialachán seo maidir leis na modúil oiliúna dá dtagraítear in Airteagal 5.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lastRenderedPageBreak/>
        <w:t>Leasú</w:t>
      </w:r>
      <w:r w:rsidRPr="006B5C54">
        <w:tab/>
      </w:r>
      <w:r w:rsidRPr="006B5C54">
        <w:tab/>
        <w:t>2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4 – mír 1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 xml:space="preserve">Na deimhnithe dá dtagraítear in Airteagal 1(2)(b) maidir le húsáid táirgí, comhpháirteanna agus fearas, beidh siad bailí fós </w:t>
            </w:r>
            <w:r w:rsidRPr="006B5C54">
              <w:rPr>
                <w:b/>
                <w:i/>
              </w:rPr>
              <w:t>chun gur féidir leanúint dá n-úsáid mar aerárthaí nó in aerárthaí</w:t>
            </w:r>
            <w:r w:rsidRPr="006B5C54">
              <w:t>.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Na deimhnithe dá dtagraítear in Airteagal 1(2)(b) maidir le húsáid táirgí, comhpháirteanna agus fearas, beidh siad bailí fós.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3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5 – teideal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Modúil oiliúna theoiriciúla a aistriú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Modúil oiliúna a aistriú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4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5 – mír 1</w:t>
      </w:r>
    </w:p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340"/>
        <w:gridCol w:w="4536"/>
        <w:gridCol w:w="340"/>
        <w:gridCol w:w="4536"/>
        <w:gridCol w:w="340"/>
      </w:tblGrid>
      <w:tr w:rsidR="00F14D23" w:rsidRPr="006B5C54" w:rsidTr="00B459F0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gridAfter w:val="1"/>
          <w:wAfter w:w="340" w:type="dxa"/>
          <w:jc w:val="center"/>
        </w:trPr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</w:pPr>
            <w:r w:rsidRPr="006B5C54">
              <w:t>De mhaolú ar Rialachán (AE) Uimh. 1178/2011</w:t>
            </w:r>
            <w:r w:rsidRPr="006B5C54">
              <w:rPr>
                <w:vertAlign w:val="superscript"/>
              </w:rPr>
              <w:t>1</w:t>
            </w:r>
            <w:r w:rsidRPr="006B5C54">
              <w:t xml:space="preserve"> ón gCoimisiún agus Rialachán (AE) Uimh. 1321/2014</w:t>
            </w:r>
            <w:r w:rsidRPr="006B5C54">
              <w:rPr>
                <w:vertAlign w:val="superscript"/>
              </w:rPr>
              <w:t>2</w:t>
            </w:r>
            <w:r w:rsidRPr="006B5C54">
              <w:t xml:space="preserve"> ón gCoimisiún, cuirfidh údaráis inniúla na mBallstát nó an Ghníomhaireacht, de réir an cháis, san áireamh na scrúduithe a rinneadh in eagraíochtaí oiliúna faoi mhaoirseacht údarás inniúil na Ríochta Aontaithe roimh an dáta cur i bhfeidhm dá dtagraítear sa dara fomhír d'Airteagal 10(2) an Rialacháin seo, mar a dhéanfaí iad le heagraíocht oiliúna faoi mhaoirseacht údarás inniúil Ballstáit.</w:t>
            </w:r>
            <w:r w:rsidRPr="006B5C54">
              <w:rPr>
                <w:szCs w:val="24"/>
              </w:rPr>
              <w:t xml:space="preserve"> </w:t>
            </w:r>
          </w:p>
        </w:tc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De mhaolú ar Rialachán (AE) Uimh. 1178/2011</w:t>
            </w:r>
            <w:r w:rsidRPr="006B5C54">
              <w:rPr>
                <w:vertAlign w:val="superscript"/>
              </w:rPr>
              <w:t>1</w:t>
            </w:r>
            <w:r w:rsidRPr="006B5C54">
              <w:t xml:space="preserve"> ón gCoimisiún agus Rialachán (AE) Uimh. 1321/2014</w:t>
            </w:r>
            <w:r w:rsidRPr="006B5C54">
              <w:rPr>
                <w:szCs w:val="24"/>
              </w:rPr>
              <w:t>2</w:t>
            </w:r>
            <w:r w:rsidRPr="006B5C54">
              <w:t xml:space="preserve"> ón gCoimisiún, cuirfidh údaráis inniúla na mBallstát nó an Ghníomhaireacht, de réir an cháis, san áireamh na scrúduithe a rinneadh in eagraíochtaí oiliúna faoi mhaoirseacht údarás inniúil na Ríochta Aontaithe </w:t>
            </w:r>
            <w:r w:rsidRPr="006B5C54">
              <w:rPr>
                <w:b/>
                <w:i/>
              </w:rPr>
              <w:t>ach nach raibh eisiúint an cheadúnais mar thoradh air fós</w:t>
            </w:r>
            <w:r w:rsidRPr="006B5C54">
              <w:t xml:space="preserve"> roimh an dáta cur i bhfeidhm dá dtagraítear sa dara fomhír d'Airteagal 10(2) an Rialacháin seo, mar a dhéanfaí iad le heagraíocht oiliúna faoi mhaoirseacht údarás inniúil Ballstáit.</w:t>
            </w:r>
            <w:r w:rsidRPr="006B5C54">
              <w:rPr>
                <w:szCs w:val="24"/>
              </w:rPr>
              <w:t xml:space="preserve"> </w:t>
            </w:r>
          </w:p>
        </w:tc>
      </w:tr>
      <w:tr w:rsidR="00F14D23" w:rsidRPr="006B5C54" w:rsidTr="00B459F0"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__________________</w:t>
            </w:r>
          </w:p>
        </w:tc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__________________</w:t>
            </w:r>
          </w:p>
        </w:tc>
      </w:tr>
      <w:tr w:rsidR="00F14D23" w:rsidRPr="006B5C54" w:rsidTr="00B459F0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</w:pPr>
            <w:r w:rsidRPr="006B5C54">
              <w:rPr>
                <w:vertAlign w:val="superscript"/>
              </w:rPr>
              <w:t>1</w:t>
            </w:r>
            <w:r w:rsidRPr="006B5C54">
              <w:t xml:space="preserve"> Rialachán (AE) Uimh. 1178/2011 ón gCoimisiún an 3 Samhain 2011 lena leagtar síos ceanglais theicniúla agus nósanna imeachta riaracháin a bhaineann le </w:t>
            </w:r>
            <w:r w:rsidRPr="006B5C54">
              <w:lastRenderedPageBreak/>
              <w:t xml:space="preserve">foirne </w:t>
            </w:r>
            <w:proofErr w:type="spellStart"/>
            <w:r w:rsidRPr="006B5C54">
              <w:t>eitlíochta</w:t>
            </w:r>
            <w:proofErr w:type="spellEnd"/>
            <w:r w:rsidRPr="006B5C54">
              <w:t xml:space="preserve"> sibhialta de bhun Rialachán </w:t>
            </w:r>
            <w:r w:rsidR="0035515D" w:rsidRPr="0035515D">
              <w:t xml:space="preserve">(CE) Uimh. </w:t>
            </w:r>
            <w:r w:rsidRPr="006B5C54">
              <w:t>216/2008 ó Pharlaimint na hEorpa agus ón gComhairle. IO L 311, 25.11.2011, lch. 1.</w:t>
            </w:r>
          </w:p>
        </w:tc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</w:pPr>
            <w:r w:rsidRPr="006B5C54">
              <w:rPr>
                <w:vertAlign w:val="superscript"/>
              </w:rPr>
              <w:lastRenderedPageBreak/>
              <w:t>1</w:t>
            </w:r>
            <w:r w:rsidRPr="006B5C54">
              <w:t xml:space="preserve"> Rialachán (AE) Uimh. 1178/2011 ón gCoimisiún an 3 Samhain 2011 lena leagtar síos ceanglais theicniúla agus nósanna imeachta riaracháin a bhaineann le </w:t>
            </w:r>
            <w:r w:rsidRPr="006B5C54">
              <w:lastRenderedPageBreak/>
              <w:t xml:space="preserve">foirne </w:t>
            </w:r>
            <w:proofErr w:type="spellStart"/>
            <w:r w:rsidRPr="006B5C54">
              <w:t>eitlíochta</w:t>
            </w:r>
            <w:proofErr w:type="spellEnd"/>
            <w:r w:rsidRPr="006B5C54">
              <w:t xml:space="preserve"> sibhialta de bhun Rialachán</w:t>
            </w:r>
            <w:r w:rsidR="0035515D" w:rsidRPr="0035515D">
              <w:t xml:space="preserve"> (CE) Uimh.</w:t>
            </w:r>
            <w:r w:rsidRPr="006B5C54">
              <w:t xml:space="preserve"> 216/2008 ó Pharlaimint na hEorpa agus ón gComhairle. IO L 311, 25.11.2011, lch. 1.</w:t>
            </w:r>
          </w:p>
        </w:tc>
      </w:tr>
      <w:tr w:rsidR="00F14D23" w:rsidRPr="006B5C54" w:rsidTr="00B459F0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</w:pPr>
            <w:r w:rsidRPr="006B5C54">
              <w:rPr>
                <w:vertAlign w:val="superscript"/>
              </w:rPr>
              <w:lastRenderedPageBreak/>
              <w:t xml:space="preserve">2 </w:t>
            </w:r>
            <w:r w:rsidRPr="006B5C54">
              <w:t xml:space="preserve">Rialachán (AE) Uimh. 1321/2014 ón gCoimisiún an 26 Samhain 2014 maidir le </w:t>
            </w:r>
            <w:proofErr w:type="spellStart"/>
            <w:r w:rsidRPr="006B5C54">
              <w:t>haeracmhainneacht</w:t>
            </w:r>
            <w:proofErr w:type="spellEnd"/>
            <w:r w:rsidRPr="006B5C54">
              <w:t xml:space="preserve"> leanúnach aerárthaí agus táirgí, comhpháirteanna agus fearais aerloingseoireachta, agus maidir le formheas na n‑eagraíochtaí agus an phearsanra a bhfuil baint acu leis na cúraimí sin. IO L 362, 17.12.2014, lch. 1.</w:t>
            </w:r>
          </w:p>
        </w:tc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</w:pPr>
            <w:r w:rsidRPr="006B5C54">
              <w:rPr>
                <w:vertAlign w:val="superscript"/>
              </w:rPr>
              <w:t xml:space="preserve">2 </w:t>
            </w:r>
            <w:r w:rsidRPr="006B5C54">
              <w:t xml:space="preserve">Rialachán (AE) Uimh. 1321/2014 ón gCoimisiún an 26 Samhain 2014 maidir le </w:t>
            </w:r>
            <w:proofErr w:type="spellStart"/>
            <w:r w:rsidRPr="006B5C54">
              <w:t>haeracmhainneacht</w:t>
            </w:r>
            <w:proofErr w:type="spellEnd"/>
            <w:r w:rsidRPr="006B5C54">
              <w:t xml:space="preserve"> leanúnach aerárthaí agus táirgí, comhpháirteanna agus fearais aerloingseoireachta, agus maidir le formheas na n‑eagraíochtaí agus an phearsanra a bhfuil baint acu leis na cúraimí sin. IO L 362, 17.12.2014, lch. 1.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5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6 – mír 2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2.</w:t>
            </w:r>
            <w:r w:rsidRPr="006B5C54">
              <w:tab/>
              <w:t xml:space="preserve">Ar iarraidh ón nGníomhaireacht, tabharfaidh sealbhóirí na ndeimhnithe dá dtagraítear in </w:t>
            </w:r>
            <w:r w:rsidRPr="006B5C54">
              <w:rPr>
                <w:b/>
                <w:i/>
              </w:rPr>
              <w:t>Airteagal</w:t>
            </w:r>
            <w:r w:rsidRPr="006B5C54">
              <w:t xml:space="preserve"> 3 agus </w:t>
            </w:r>
            <w:r w:rsidRPr="006B5C54">
              <w:rPr>
                <w:b/>
                <w:i/>
              </w:rPr>
              <w:t>Airteagal</w:t>
            </w:r>
            <w:r w:rsidRPr="006B5C54">
              <w:t> 4, tabharfaidh siad di cóipeanna de na tuarascálacha iniúchóireachta uile, de na torthaí iniúchóireachta uile agus de na pleananna beart ceartaitheach uile a bhaineann leis an deimhniú agus a eisíodh le trí bliana roimh an iarraidh. I gcás nár seachadadh na doiciméid sin roimh na sprioc-amanna a leag an Ghníomhaireacht síos ina hiarraidh, féadfaidh an Ghníomhaireacht an sochar a fuarthas de bhun Airteagal 3 nó Airteagal 4 a aistarraingt, de réir an cháis.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2.</w:t>
            </w:r>
            <w:r w:rsidRPr="006B5C54">
              <w:tab/>
              <w:t xml:space="preserve">Ar iarraidh ón nGníomhaireacht, tabharfaidh sealbhóirí na ndeimhnithe dá dtagraítear in </w:t>
            </w:r>
            <w:r w:rsidRPr="006B5C54">
              <w:rPr>
                <w:b/>
                <w:i/>
              </w:rPr>
              <w:t>Airteagal</w:t>
            </w:r>
            <w:r w:rsidRPr="006B5C54">
              <w:t xml:space="preserve"> 3 agus </w:t>
            </w:r>
            <w:proofErr w:type="spellStart"/>
            <w:r w:rsidRPr="006B5C54">
              <w:rPr>
                <w:b/>
                <w:i/>
              </w:rPr>
              <w:t>eisitheoirí</w:t>
            </w:r>
            <w:proofErr w:type="spellEnd"/>
            <w:r w:rsidRPr="006B5C54">
              <w:rPr>
                <w:b/>
                <w:i/>
              </w:rPr>
              <w:t xml:space="preserve"> na ndeimhnithe dá dtagraítear in Airteagal</w:t>
            </w:r>
            <w:r w:rsidRPr="006B5C54">
              <w:rPr>
                <w:i/>
              </w:rPr>
              <w:t> </w:t>
            </w:r>
            <w:r w:rsidRPr="006B5C54">
              <w:t>4, tabharfaidh siad di cóipeanna de na tuarascálacha iniúchóireachta uile, de na torthaí iniúchóireachta uile agus de na pleananna beart ceartaitheach uile a bhaineann leis an deimhniú agus a eisíodh le trí bliana roimh an iarraidh. I gcás nár seachadadh na doiciméid sin roimh na sprioc-amanna a leag an Ghníomhaireacht síos ina hiarraidh, féadfaidh an Ghníomhaireacht an sochar a fuarthas de bhun Airteagal 3 nó Airteagal 4 a aistarraingt, de réir an cháis.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6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6 – mír 3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3.</w:t>
            </w:r>
            <w:r w:rsidRPr="006B5C54">
              <w:tab/>
              <w:t xml:space="preserve">Cuirfidh sealbhóirí na ndeimhnithe dá dtagraítear in </w:t>
            </w:r>
            <w:r w:rsidRPr="006B5C54">
              <w:rPr>
                <w:b/>
                <w:i/>
              </w:rPr>
              <w:t>Airteagal</w:t>
            </w:r>
            <w:r w:rsidRPr="006B5C54">
              <w:t xml:space="preserve"> 3 nó </w:t>
            </w:r>
            <w:r w:rsidRPr="006B5C54">
              <w:rPr>
                <w:b/>
                <w:i/>
              </w:rPr>
              <w:t>Airteagal</w:t>
            </w:r>
            <w:r w:rsidRPr="006B5C54">
              <w:t xml:space="preserve"> 4 den Rialachán seo an Ghníomhaireacht ar an eolas gan mhoill faoi aon bheart a rinne </w:t>
            </w:r>
            <w:r w:rsidRPr="006B5C54">
              <w:lastRenderedPageBreak/>
              <w:t>údaráis na Ríochta Aontaithe ar féidir go mbeidh siad ag teacht salach ar a n-oibleagáidí faoin Rialachán seo nó faoi Rialachán (AE) 2018/1139.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lastRenderedPageBreak/>
              <w:t>3.</w:t>
            </w:r>
            <w:r w:rsidRPr="006B5C54">
              <w:tab/>
              <w:t xml:space="preserve">Cuirfidh sealbhóirí na ndeimhnithe dá dtagraítear in </w:t>
            </w:r>
            <w:r w:rsidRPr="006B5C54">
              <w:rPr>
                <w:b/>
                <w:i/>
              </w:rPr>
              <w:t>Airteagal</w:t>
            </w:r>
            <w:r w:rsidRPr="006B5C54">
              <w:t xml:space="preserve"> 3 nó </w:t>
            </w:r>
            <w:proofErr w:type="spellStart"/>
            <w:r w:rsidRPr="006B5C54">
              <w:rPr>
                <w:b/>
                <w:i/>
              </w:rPr>
              <w:t>eisitheoirí</w:t>
            </w:r>
            <w:proofErr w:type="spellEnd"/>
            <w:r w:rsidRPr="006B5C54">
              <w:rPr>
                <w:b/>
                <w:i/>
              </w:rPr>
              <w:t xml:space="preserve"> na ndeimhnithe dá dtagraítear in</w:t>
            </w:r>
            <w:r w:rsidRPr="006B5C54">
              <w:rPr>
                <w:b/>
              </w:rPr>
              <w:t xml:space="preserve"> </w:t>
            </w:r>
            <w:r w:rsidRPr="006B5C54">
              <w:rPr>
                <w:b/>
                <w:i/>
              </w:rPr>
              <w:t>Airteagal</w:t>
            </w:r>
            <w:r w:rsidRPr="006B5C54">
              <w:t xml:space="preserve"> 4 den Rialachán seo an </w:t>
            </w:r>
            <w:r w:rsidRPr="006B5C54">
              <w:lastRenderedPageBreak/>
              <w:t>Ghníomhaireacht ar an eolas gan mhoill faoi aon bheart a rinne údaráis na Ríochta Aontaithe ar féidir go mbeidh siad ag teacht salach ar a n-oibleagáidí faoin Rialachán seo nó faoi Rialachán (AE) 2018/1139.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7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7 – mír 1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35515D">
            <w:pPr>
              <w:pStyle w:val="Normal6"/>
            </w:pPr>
            <w:r w:rsidRPr="006B5C54">
              <w:t>Chun críocha an Rialacháin seo agus chun maoirseacht a dhéanamh ar na sealbhóirí deimhnithe dá dtagraítear in Airteagal 1(2) den Rialachán seo, gníomhóidh an Ghníomhaireacht i gcáil an údaráis inniúil dá bhforáiltear le haghaidh eintitis tríú tír faoi Rialachán (AE) 2018/1139 agus faoi na gníomhartha cur chun feidhme agus na gníomhartha tarmligthe arna nglacadh dá bhua nó de bhua Rialachán (</w:t>
            </w:r>
            <w:r w:rsidR="0035515D" w:rsidRPr="0035515D">
              <w:t>C</w:t>
            </w:r>
            <w:r w:rsidRPr="006B5C54">
              <w:t>E) Uimh. 216/2008.</w:t>
            </w:r>
          </w:p>
        </w:tc>
        <w:tc>
          <w:tcPr>
            <w:tcW w:w="4876" w:type="dxa"/>
            <w:hideMark/>
          </w:tcPr>
          <w:p w:rsidR="00F14D23" w:rsidRPr="006B5C54" w:rsidRDefault="00F14D23" w:rsidP="0035515D">
            <w:pPr>
              <w:pStyle w:val="Normal6"/>
              <w:rPr>
                <w:szCs w:val="24"/>
              </w:rPr>
            </w:pPr>
            <w:r w:rsidRPr="006B5C54">
              <w:t xml:space="preserve">Chun críocha an Rialacháin seo agus chun maoirseacht a dhéanamh ar na sealbhóirí </w:t>
            </w:r>
            <w:r w:rsidRPr="006B5C54">
              <w:rPr>
                <w:b/>
                <w:i/>
              </w:rPr>
              <w:t xml:space="preserve">nó </w:t>
            </w:r>
            <w:proofErr w:type="spellStart"/>
            <w:r w:rsidRPr="006B5C54">
              <w:rPr>
                <w:b/>
                <w:i/>
              </w:rPr>
              <w:t>eisitheoirí</w:t>
            </w:r>
            <w:proofErr w:type="spellEnd"/>
            <w:r w:rsidRPr="006B5C54">
              <w:t xml:space="preserve"> deimhnithe dá dtagraítear in Airteagal 1(2) den Rialachán seo, gníomhóidh an Ghníomhaireacht i gcáil an údaráis inniúil dá bhforáiltear le haghaidh eintitis tríú tír faoi Rialachán (AE) 2018/1139 agus faoi na gníomhartha cur chun feidhme agus na gníomhartha tarmligthe arna nglacadh dá bhua nó de bhua Rialachán (</w:t>
            </w:r>
            <w:r w:rsidR="0035515D" w:rsidRPr="0035515D">
              <w:t>C</w:t>
            </w:r>
            <w:r w:rsidRPr="006B5C54">
              <w:t>E) Uimh. 216/2008.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</w:pPr>
      <w:r w:rsidRPr="006B5C54">
        <w:t>Leasú</w:t>
      </w:r>
      <w:r w:rsidRPr="006B5C54">
        <w:tab/>
      </w:r>
      <w:r w:rsidRPr="006B5C54">
        <w:tab/>
        <w:t>8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Airteagal 8 – mír 1</w:t>
      </w:r>
    </w:p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340"/>
        <w:gridCol w:w="4536"/>
        <w:gridCol w:w="340"/>
        <w:gridCol w:w="4536"/>
        <w:gridCol w:w="340"/>
      </w:tblGrid>
      <w:tr w:rsidR="00F14D23" w:rsidRPr="006B5C54" w:rsidTr="00B459F0">
        <w:trPr>
          <w:gridBefore w:val="1"/>
          <w:wBefore w:w="340" w:type="dxa"/>
          <w:jc w:val="center"/>
        </w:trPr>
        <w:tc>
          <w:tcPr>
            <w:tcW w:w="9752" w:type="dxa"/>
            <w:gridSpan w:val="4"/>
          </w:tcPr>
          <w:p w:rsidR="00F14D23" w:rsidRPr="006B5C54" w:rsidRDefault="00F14D23" w:rsidP="00B459F0">
            <w:pPr>
              <w:keepNext/>
            </w:pPr>
          </w:p>
        </w:tc>
      </w:tr>
      <w:tr w:rsidR="00F14D23" w:rsidRPr="006B5C54" w:rsidTr="00B459F0"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gridBefore w:val="1"/>
          <w:wBefore w:w="340" w:type="dxa"/>
          <w:jc w:val="center"/>
        </w:trPr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</w:pPr>
            <w:r w:rsidRPr="006B5C54">
              <w:t>Rialachán (AE) Uimh. 319/2014</w:t>
            </w:r>
            <w:r w:rsidRPr="006B5C54">
              <w:rPr>
                <w:vertAlign w:val="superscript"/>
              </w:rPr>
              <w:t>1</w:t>
            </w:r>
            <w:r w:rsidRPr="006B5C54">
              <w:t xml:space="preserve"> maidir le táillí agus muirir a </w:t>
            </w:r>
            <w:proofErr w:type="spellStart"/>
            <w:r w:rsidRPr="006B5C54">
              <w:t>thoibhíonn</w:t>
            </w:r>
            <w:proofErr w:type="spellEnd"/>
            <w:r w:rsidRPr="006B5C54">
              <w:t xml:space="preserve"> an Ghníomhaireacht Eorpach um Shábháilteacht Eitlíochta, beidh feidhm aige maidir le daoine nádúrtha nó dlítheanacha a mbeidh deimhnithe ina seilbh acu dá dtagraítear in Airteagal 1(2) den Rialachán seo faoi na coinníollacha céanna a bhaineann le sealbhóirí deimhnithe comhfhreagracha arna n-eisiúint do dhaoine dlítheanacha agus daoine nádúrtha as tríú tír.</w:t>
            </w:r>
            <w:r w:rsidRPr="006B5C54">
              <w:rPr>
                <w:szCs w:val="24"/>
              </w:rPr>
              <w:t xml:space="preserve"> </w:t>
            </w:r>
          </w:p>
        </w:tc>
        <w:tc>
          <w:tcPr>
            <w:tcW w:w="4876" w:type="dxa"/>
            <w:gridSpan w:val="2"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Rialachán (AE) Uimh. 319/2014</w:t>
            </w:r>
            <w:r w:rsidRPr="006B5C54">
              <w:rPr>
                <w:vertAlign w:val="superscript"/>
              </w:rPr>
              <w:t>1</w:t>
            </w:r>
            <w:r w:rsidRPr="006B5C54">
              <w:t xml:space="preserve"> maidir le táillí agus muirir a </w:t>
            </w:r>
            <w:proofErr w:type="spellStart"/>
            <w:r w:rsidRPr="006B5C54">
              <w:t>thoibhíonn</w:t>
            </w:r>
            <w:proofErr w:type="spellEnd"/>
            <w:r w:rsidRPr="006B5C54">
              <w:t xml:space="preserve"> an Ghníomhaireacht Eorpach um Shábháilteacht Eitlíochta, beidh feidhm aige maidir le daoine nádúrtha nó dlítheanacha a mbeidh deimhnithe ina seilbh nó </w:t>
            </w:r>
            <w:r w:rsidRPr="006B5C54">
              <w:rPr>
                <w:b/>
                <w:i/>
              </w:rPr>
              <w:t>á eisiúint</w:t>
            </w:r>
            <w:r w:rsidRPr="006B5C54">
              <w:t xml:space="preserve"> acu dá dtagraítear in Airteagal 1(2) den Rialachán seo faoi na coinníollacha céanna a bhaineann le sealbhóirí deimhnithe comhfhreagracha arna n-eisiúint do dhaoine dlítheanacha agus daoine nádúrtha as tríú tír.</w:t>
            </w:r>
            <w:r w:rsidRPr="006B5C54">
              <w:rPr>
                <w:szCs w:val="24"/>
              </w:rPr>
              <w:t xml:space="preserve"> </w:t>
            </w:r>
          </w:p>
        </w:tc>
      </w:tr>
      <w:tr w:rsidR="00F14D23" w:rsidRPr="006B5C54" w:rsidTr="00B459F0">
        <w:trPr>
          <w:gridAfter w:val="1"/>
          <w:wAfter w:w="340" w:type="dxa"/>
          <w:jc w:val="center"/>
        </w:trPr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Normal6"/>
            </w:pPr>
            <w:r w:rsidRPr="006B5C54">
              <w:t>__________________</w:t>
            </w:r>
          </w:p>
        </w:tc>
        <w:tc>
          <w:tcPr>
            <w:tcW w:w="4876" w:type="dxa"/>
            <w:gridSpan w:val="2"/>
            <w:hideMark/>
          </w:tcPr>
          <w:p w:rsidR="00F14D23" w:rsidRPr="006B5C54" w:rsidRDefault="00F14D23" w:rsidP="00B459F0">
            <w:pPr>
              <w:pStyle w:val="Normal6"/>
              <w:rPr>
                <w:szCs w:val="24"/>
              </w:rPr>
            </w:pPr>
            <w:r w:rsidRPr="006B5C54">
              <w:t>__________________</w:t>
            </w:r>
          </w:p>
        </w:tc>
      </w:tr>
      <w:tr w:rsidR="00F14D23" w:rsidRPr="006B5C54" w:rsidTr="00B459F0">
        <w:trPr>
          <w:gridBefore w:val="1"/>
          <w:wBefore w:w="340" w:type="dxa"/>
          <w:jc w:val="center"/>
        </w:trPr>
        <w:tc>
          <w:tcPr>
            <w:tcW w:w="4876" w:type="dxa"/>
            <w:gridSpan w:val="2"/>
          </w:tcPr>
          <w:p w:rsidR="00F14D23" w:rsidRPr="006B5C54" w:rsidRDefault="00F14D23" w:rsidP="0035515D">
            <w:pPr>
              <w:pStyle w:val="Normal6"/>
            </w:pPr>
            <w:r w:rsidRPr="006B5C54">
              <w:rPr>
                <w:vertAlign w:val="superscript"/>
              </w:rPr>
              <w:t xml:space="preserve">1 </w:t>
            </w:r>
            <w:r w:rsidRPr="006B5C54">
              <w:t xml:space="preserve">Rialachán (AE) Uimh. 319/2014 an </w:t>
            </w:r>
            <w:r w:rsidRPr="006B5C54">
              <w:lastRenderedPageBreak/>
              <w:t xml:space="preserve">27 Márta 2014 maidir le táillí agus muirir a </w:t>
            </w:r>
            <w:proofErr w:type="spellStart"/>
            <w:r w:rsidRPr="006B5C54">
              <w:t>thoibhíonn</w:t>
            </w:r>
            <w:proofErr w:type="spellEnd"/>
            <w:r w:rsidRPr="006B5C54">
              <w:t xml:space="preserve"> an Ghníomhaireacht Eorpach um Shábháilteacht Eitlíochta agus lena leasaítear Rialachán (</w:t>
            </w:r>
            <w:r w:rsidR="0035515D" w:rsidRPr="0035515D">
              <w:t>C</w:t>
            </w:r>
            <w:r w:rsidRPr="006B5C54">
              <w:t>E) Uimh. 593/2007. IO L</w:t>
            </w:r>
            <w:r w:rsidR="0035515D" w:rsidRPr="0035515D">
              <w:t xml:space="preserve"> </w:t>
            </w:r>
            <w:r w:rsidRPr="006B5C54">
              <w:t>95, 28.3.2014, lch. 58</w:t>
            </w:r>
          </w:p>
        </w:tc>
        <w:tc>
          <w:tcPr>
            <w:tcW w:w="4876" w:type="dxa"/>
            <w:gridSpan w:val="2"/>
          </w:tcPr>
          <w:p w:rsidR="00F14D23" w:rsidRPr="006B5C54" w:rsidRDefault="00F14D23" w:rsidP="0035515D">
            <w:pPr>
              <w:pStyle w:val="Normal6"/>
            </w:pPr>
            <w:r w:rsidRPr="006B5C54">
              <w:rPr>
                <w:vertAlign w:val="superscript"/>
              </w:rPr>
              <w:lastRenderedPageBreak/>
              <w:t xml:space="preserve">1 </w:t>
            </w:r>
            <w:r w:rsidRPr="006B5C54">
              <w:t xml:space="preserve">Rialachán (AE) Uimh. 319/2014 an </w:t>
            </w:r>
            <w:r w:rsidRPr="006B5C54">
              <w:lastRenderedPageBreak/>
              <w:t xml:space="preserve">27 Márta 2014 maidir le táillí agus muirir a </w:t>
            </w:r>
            <w:proofErr w:type="spellStart"/>
            <w:r w:rsidRPr="006B5C54">
              <w:t>thoibhíonn</w:t>
            </w:r>
            <w:proofErr w:type="spellEnd"/>
            <w:r w:rsidRPr="006B5C54">
              <w:t xml:space="preserve"> an Ghníomhaireacht Eorpach um Shábháilteacht Eitlíochta agus lena leasaítear Rialachán (</w:t>
            </w:r>
            <w:r w:rsidR="0035515D" w:rsidRPr="0035515D">
              <w:t>C</w:t>
            </w:r>
            <w:r w:rsidRPr="006B5C54">
              <w:t>E) Uimh. 593/2007. IO L</w:t>
            </w:r>
            <w:r w:rsidR="0035515D" w:rsidRPr="0035515D">
              <w:t xml:space="preserve"> </w:t>
            </w:r>
            <w:r w:rsidRPr="006B5C54">
              <w:t>95, 28.3.2014, lch. 58</w:t>
            </w:r>
          </w:p>
        </w:tc>
      </w:tr>
    </w:tbl>
    <w:p w:rsidR="00F14D23" w:rsidRPr="006B5C54" w:rsidRDefault="00F14D23" w:rsidP="00F14D23"/>
    <w:p w:rsidR="00F14D23" w:rsidRPr="006B5C54" w:rsidRDefault="00F14D23" w:rsidP="00F14D23">
      <w:pPr>
        <w:pStyle w:val="AMNumberTabs"/>
        <w:keepNext/>
        <w:rPr>
          <w:b w:val="0"/>
        </w:rPr>
      </w:pPr>
      <w:r w:rsidRPr="006B5C54">
        <w:t>Leasú</w:t>
      </w:r>
      <w:r w:rsidRPr="006B5C54">
        <w:tab/>
      </w:r>
      <w:r w:rsidRPr="006B5C54">
        <w:tab/>
        <w:t>9</w:t>
      </w:r>
    </w:p>
    <w:p w:rsidR="00F14D23" w:rsidRPr="006B5C54" w:rsidRDefault="00F14D23" w:rsidP="00F14D23">
      <w:pPr>
        <w:pStyle w:val="NormalBold12b"/>
        <w:keepNext/>
      </w:pPr>
      <w:r w:rsidRPr="006B5C54">
        <w:t>Togra le haghaidh rialacháin</w:t>
      </w:r>
    </w:p>
    <w:p w:rsidR="00F14D23" w:rsidRPr="006B5C54" w:rsidRDefault="00F14D23" w:rsidP="00F14D23">
      <w:pPr>
        <w:pStyle w:val="NormalBold"/>
        <w:keepNext/>
      </w:pPr>
      <w:r w:rsidRPr="006B5C54">
        <w:t>Iarscríbhinn – Roinn 2 – pointe 2.6 a (nua)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14D23" w:rsidRPr="006B5C54" w:rsidTr="00B459F0">
        <w:trPr>
          <w:jc w:val="center"/>
        </w:trPr>
        <w:tc>
          <w:tcPr>
            <w:tcW w:w="9752" w:type="dxa"/>
            <w:gridSpan w:val="2"/>
          </w:tcPr>
          <w:p w:rsidR="00F14D23" w:rsidRPr="006B5C54" w:rsidRDefault="00F14D23" w:rsidP="00B459F0"/>
        </w:tc>
      </w:tr>
      <w:tr w:rsidR="00F14D23" w:rsidRPr="006B5C54" w:rsidTr="00B459F0">
        <w:trPr>
          <w:jc w:val="center"/>
        </w:trPr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Téacs arna mholadh ag an gCoimisiún</w:t>
            </w:r>
          </w:p>
        </w:tc>
        <w:tc>
          <w:tcPr>
            <w:tcW w:w="4876" w:type="dxa"/>
            <w:hideMark/>
          </w:tcPr>
          <w:p w:rsidR="00F14D23" w:rsidRPr="006B5C54" w:rsidRDefault="00F14D23" w:rsidP="00B459F0">
            <w:pPr>
              <w:pStyle w:val="ColumnHeading"/>
              <w:keepNext/>
            </w:pPr>
            <w:r w:rsidRPr="006B5C54">
              <w:t>Leasú</w:t>
            </w:r>
          </w:p>
        </w:tc>
      </w:tr>
      <w:tr w:rsidR="00F14D23" w:rsidRPr="006B5C54" w:rsidTr="00B459F0">
        <w:trPr>
          <w:jc w:val="center"/>
        </w:trPr>
        <w:tc>
          <w:tcPr>
            <w:tcW w:w="4876" w:type="dxa"/>
          </w:tcPr>
          <w:p w:rsidR="00F14D23" w:rsidRPr="006B5C54" w:rsidRDefault="00F14D23" w:rsidP="00B459F0">
            <w:pPr>
              <w:pStyle w:val="Normal6"/>
              <w:rPr>
                <w:b/>
                <w:bCs/>
                <w:i/>
                <w:iCs/>
              </w:rPr>
            </w:pPr>
          </w:p>
        </w:tc>
        <w:tc>
          <w:tcPr>
            <w:tcW w:w="4876" w:type="dxa"/>
            <w:hideMark/>
          </w:tcPr>
          <w:p w:rsidR="00F14D23" w:rsidRPr="006B5C54" w:rsidRDefault="007F6801" w:rsidP="00B459F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6B5C54">
              <w:rPr>
                <w:b/>
                <w:bCs/>
                <w:i/>
                <w:iCs/>
              </w:rPr>
              <w:t>2.6</w:t>
            </w:r>
            <w:r w:rsidR="00F14D23" w:rsidRPr="006B5C54">
              <w:rPr>
                <w:b/>
                <w:bCs/>
                <w:i/>
                <w:iCs/>
              </w:rPr>
              <w:t>a</w:t>
            </w:r>
            <w:r w:rsidR="00F14D23" w:rsidRPr="006B5C54">
              <w:rPr>
                <w:b/>
                <w:bCs/>
                <w:i/>
                <w:iCs/>
              </w:rPr>
              <w:tab/>
              <w:t xml:space="preserve">Rialachán (AE) Uimh. 1321/2014, Cuid-M, </w:t>
            </w:r>
            <w:proofErr w:type="spellStart"/>
            <w:r w:rsidR="00F14D23" w:rsidRPr="006B5C54">
              <w:rPr>
                <w:b/>
                <w:bCs/>
                <w:i/>
                <w:iCs/>
              </w:rPr>
              <w:t>Fochuid</w:t>
            </w:r>
            <w:proofErr w:type="spellEnd"/>
            <w:r w:rsidR="00F14D23" w:rsidRPr="006B5C54">
              <w:rPr>
                <w:b/>
                <w:bCs/>
                <w:i/>
                <w:iCs/>
              </w:rPr>
              <w:t xml:space="preserve"> H, Pointí M.A.801(b) 2, 3 agus (c) (Deimhnithe um scaoileadh chun seirbhíse maidir le críochnú cothabhála).</w:t>
            </w:r>
          </w:p>
        </w:tc>
      </w:tr>
    </w:tbl>
    <w:p w:rsidR="00F14D23" w:rsidRPr="006B5C54" w:rsidRDefault="00F14D23" w:rsidP="00F14D23"/>
    <w:p w:rsidR="00F14D23" w:rsidRPr="006B5C54" w:rsidRDefault="00F14D23" w:rsidP="00F14D23"/>
    <w:p w:rsidR="00F14D23" w:rsidRPr="006B5C54" w:rsidRDefault="00F14D23" w:rsidP="00F14D23"/>
    <w:p w:rsidR="00E365E1" w:rsidRPr="006B5C54" w:rsidRDefault="00E365E1" w:rsidP="00F14D23">
      <w:bookmarkStart w:id="10" w:name="TextBodyEnd"/>
      <w:bookmarkEnd w:id="10"/>
    </w:p>
    <w:sectPr w:rsidR="00E365E1" w:rsidRPr="006B5C54" w:rsidSect="006E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67" w:rsidRPr="006E6518" w:rsidRDefault="00DE6267">
      <w:r w:rsidRPr="006E6518">
        <w:separator/>
      </w:r>
    </w:p>
  </w:endnote>
  <w:endnote w:type="continuationSeparator" w:id="0">
    <w:p w:rsidR="00DE6267" w:rsidRPr="006E6518" w:rsidRDefault="00DE6267">
      <w:r w:rsidRPr="006E65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8" w:rsidRPr="006E6518" w:rsidRDefault="006E6518">
    <w:pPr>
      <w:pStyle w:val="Footer"/>
      <w:rPr>
        <w:lang w:val="ga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8" w:rsidRPr="004B5302" w:rsidRDefault="006E6518" w:rsidP="004B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8" w:rsidRPr="006E6518" w:rsidRDefault="006E6518">
    <w:pPr>
      <w:pStyle w:val="Footer"/>
      <w:rPr>
        <w:lang w:val="ga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67" w:rsidRPr="006E6518" w:rsidRDefault="00DE6267">
      <w:r w:rsidRPr="006E6518">
        <w:separator/>
      </w:r>
    </w:p>
  </w:footnote>
  <w:footnote w:type="continuationSeparator" w:id="0">
    <w:p w:rsidR="00DE6267" w:rsidRPr="006E6518" w:rsidRDefault="00DE6267">
      <w:r w:rsidRPr="006E6518">
        <w:continuationSeparator/>
      </w:r>
    </w:p>
  </w:footnote>
  <w:footnote w:id="1">
    <w:p w:rsidR="0006565C" w:rsidRPr="004001E3" w:rsidRDefault="0006565C" w:rsidP="00007C96">
      <w:pPr>
        <w:pStyle w:val="FootnoteText"/>
        <w:ind w:left="567" w:hanging="567"/>
        <w:rPr>
          <w:lang w:val="en-GB"/>
        </w:rPr>
      </w:pPr>
      <w:r>
        <w:rPr>
          <w:rStyle w:val="FootnoteReference"/>
        </w:rPr>
        <w:footnoteRef/>
      </w:r>
      <w:r w:rsidRPr="004001E3"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 w:rsidR="004B5302" w:rsidRPr="004B5302">
        <w:rPr>
          <w:lang w:val="en-GB"/>
        </w:rPr>
        <w:t>Tarchuireadh</w:t>
      </w:r>
      <w:proofErr w:type="spellEnd"/>
      <w:r w:rsidR="004B5302" w:rsidRPr="004B5302">
        <w:rPr>
          <w:lang w:val="en-GB"/>
        </w:rPr>
        <w:t xml:space="preserve"> </w:t>
      </w:r>
      <w:proofErr w:type="gramStart"/>
      <w:r w:rsidR="004B5302" w:rsidRPr="004B5302">
        <w:rPr>
          <w:lang w:val="en-GB"/>
        </w:rPr>
        <w:t>an</w:t>
      </w:r>
      <w:proofErr w:type="gram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ní</w:t>
      </w:r>
      <w:proofErr w:type="spell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ar</w:t>
      </w:r>
      <w:proofErr w:type="spell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ais</w:t>
      </w:r>
      <w:proofErr w:type="spell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chuig</w:t>
      </w:r>
      <w:proofErr w:type="spellEnd"/>
      <w:r w:rsidR="004B5302" w:rsidRPr="004B5302">
        <w:rPr>
          <w:lang w:val="en-GB"/>
        </w:rPr>
        <w:t xml:space="preserve"> an </w:t>
      </w:r>
      <w:proofErr w:type="spellStart"/>
      <w:r w:rsidR="004B5302" w:rsidRPr="004B5302">
        <w:rPr>
          <w:lang w:val="en-GB"/>
        </w:rPr>
        <w:t>gcoiste</w:t>
      </w:r>
      <w:proofErr w:type="spell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freagrach</w:t>
      </w:r>
      <w:proofErr w:type="spellEnd"/>
      <w:r w:rsidR="004B5302" w:rsidRPr="004B5302">
        <w:rPr>
          <w:lang w:val="en-GB"/>
        </w:rPr>
        <w:t xml:space="preserve"> le </w:t>
      </w:r>
      <w:proofErr w:type="spellStart"/>
      <w:r w:rsidR="004B5302" w:rsidRPr="004B5302">
        <w:rPr>
          <w:lang w:val="en-GB"/>
        </w:rPr>
        <w:t>haghaidh</w:t>
      </w:r>
      <w:proofErr w:type="spell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idirbheartaíocht</w:t>
      </w:r>
      <w:proofErr w:type="spellEnd"/>
      <w:r w:rsidR="004B5302" w:rsidRPr="004B5302">
        <w:rPr>
          <w:lang w:val="en-GB"/>
        </w:rPr>
        <w:t xml:space="preserve"> </w:t>
      </w:r>
      <w:proofErr w:type="spellStart"/>
      <w:r w:rsidR="004B5302" w:rsidRPr="004B5302">
        <w:rPr>
          <w:lang w:val="en-GB"/>
        </w:rPr>
        <w:t>idirins</w:t>
      </w:r>
      <w:r w:rsidR="004B5302">
        <w:rPr>
          <w:lang w:val="en-GB"/>
        </w:rPr>
        <w:t>titiúideach</w:t>
      </w:r>
      <w:proofErr w:type="spellEnd"/>
      <w:r w:rsidR="004B5302">
        <w:rPr>
          <w:lang w:val="en-GB"/>
        </w:rPr>
        <w:t xml:space="preserve"> de </w:t>
      </w:r>
      <w:proofErr w:type="spellStart"/>
      <w:r w:rsidR="004B5302">
        <w:rPr>
          <w:lang w:val="en-GB"/>
        </w:rPr>
        <w:t>bhun</w:t>
      </w:r>
      <w:proofErr w:type="spellEnd"/>
      <w:r w:rsidR="004B5302">
        <w:rPr>
          <w:lang w:val="en-GB"/>
        </w:rPr>
        <w:t xml:space="preserve"> </w:t>
      </w:r>
      <w:proofErr w:type="spellStart"/>
      <w:r w:rsidR="004B5302">
        <w:rPr>
          <w:lang w:val="en-GB"/>
        </w:rPr>
        <w:t>Riail</w:t>
      </w:r>
      <w:proofErr w:type="spellEnd"/>
      <w:r w:rsidR="004B5302">
        <w:rPr>
          <w:lang w:val="en-GB"/>
        </w:rPr>
        <w:t xml:space="preserve"> 59(4)</w:t>
      </w:r>
      <w:r w:rsidRPr="0006565C">
        <w:rPr>
          <w:lang w:val="en-GB"/>
        </w:rPr>
        <w:t xml:space="preserve">, </w:t>
      </w:r>
      <w:proofErr w:type="spellStart"/>
      <w:r w:rsidRPr="0006565C">
        <w:rPr>
          <w:lang w:val="en-GB"/>
        </w:rPr>
        <w:t>ceathrú</w:t>
      </w:r>
      <w:proofErr w:type="spellEnd"/>
      <w:r w:rsidRPr="0006565C">
        <w:rPr>
          <w:lang w:val="en-GB"/>
        </w:rPr>
        <w:t xml:space="preserve"> </w:t>
      </w:r>
      <w:proofErr w:type="spellStart"/>
      <w:r w:rsidRPr="0006565C">
        <w:rPr>
          <w:lang w:val="en-GB"/>
        </w:rPr>
        <w:t>fomhír</w:t>
      </w:r>
      <w:proofErr w:type="spellEnd"/>
      <w:r w:rsidRPr="0006565C">
        <w:rPr>
          <w:lang w:val="en-GB"/>
        </w:rPr>
        <w:t xml:space="preserve"> </w:t>
      </w:r>
      <w:r w:rsidRPr="00687EBA">
        <w:rPr>
          <w:color w:val="000000"/>
          <w:sz w:val="24"/>
          <w:szCs w:val="24"/>
          <w:lang w:val="en-GB" w:eastAsia="en-GB"/>
        </w:rPr>
        <w:t>(A8-006</w:t>
      </w:r>
      <w:r>
        <w:rPr>
          <w:color w:val="000000"/>
          <w:sz w:val="24"/>
          <w:szCs w:val="24"/>
          <w:lang w:val="en-GB" w:eastAsia="en-GB"/>
        </w:rPr>
        <w:t>1</w:t>
      </w:r>
      <w:r w:rsidRPr="00687EBA">
        <w:rPr>
          <w:color w:val="000000"/>
          <w:sz w:val="24"/>
          <w:szCs w:val="24"/>
          <w:lang w:val="en-GB" w:eastAsia="en-GB"/>
        </w:rPr>
        <w:t>/2019</w:t>
      </w:r>
      <w:r w:rsidRPr="00912549">
        <w:rPr>
          <w:color w:val="000000"/>
          <w:sz w:val="24"/>
          <w:szCs w:val="24"/>
          <w:lang w:val="en-GB" w:eastAsia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8" w:rsidRPr="006E6518" w:rsidRDefault="006E6518">
    <w:pPr>
      <w:pStyle w:val="Header"/>
      <w:rPr>
        <w:lang w:val="ga-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8" w:rsidRPr="004B5302" w:rsidRDefault="006E6518" w:rsidP="004B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8" w:rsidRPr="006E6518" w:rsidRDefault="006E6518">
    <w:pPr>
      <w:pStyle w:val="Header"/>
      <w:rPr>
        <w:lang w:val="ga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61/2019"/>
    <w:docVar w:name="dvlangue" w:val="GA"/>
    <w:docVar w:name="dvnumam" w:val="9"/>
    <w:docVar w:name="dvpe" w:val="634.467"/>
    <w:docVar w:name="dvrapporteur" w:val=" Rapóirtéir:"/>
    <w:docVar w:name="dvtitre" w:val="Rún reachtach ó Pharlaimint na hEorpa an xx Xxxx 2019 ar an togra le haghaidh rialachán ó Pharlaimint na hEorpa agus ón gComhairle i ndáil le gnéithe áirithe de shábháilteacht eitlíochta maidir le tarraingt siar Ríocht Aontaithe na Breataine Móire agus Thuaisceart Éireann ón Aontas(COM(2018)0894 – C8-0514/2018 – 2018/0434(COD))"/>
  </w:docVars>
  <w:rsids>
    <w:rsidRoot w:val="00DE6267"/>
    <w:rsid w:val="00002272"/>
    <w:rsid w:val="00007C96"/>
    <w:rsid w:val="0006565C"/>
    <w:rsid w:val="000677B9"/>
    <w:rsid w:val="000E7DD9"/>
    <w:rsid w:val="0010095E"/>
    <w:rsid w:val="00125B37"/>
    <w:rsid w:val="002767FF"/>
    <w:rsid w:val="002B5493"/>
    <w:rsid w:val="0035515D"/>
    <w:rsid w:val="00361C00"/>
    <w:rsid w:val="00395FA1"/>
    <w:rsid w:val="003B293A"/>
    <w:rsid w:val="003E15D4"/>
    <w:rsid w:val="00411CCE"/>
    <w:rsid w:val="0041666E"/>
    <w:rsid w:val="00421060"/>
    <w:rsid w:val="00494A28"/>
    <w:rsid w:val="004B5302"/>
    <w:rsid w:val="0050120F"/>
    <w:rsid w:val="0050519A"/>
    <w:rsid w:val="005072A1"/>
    <w:rsid w:val="00514517"/>
    <w:rsid w:val="005B7035"/>
    <w:rsid w:val="006037C0"/>
    <w:rsid w:val="00680577"/>
    <w:rsid w:val="006B5C54"/>
    <w:rsid w:val="006D104A"/>
    <w:rsid w:val="006E6518"/>
    <w:rsid w:val="006F74FA"/>
    <w:rsid w:val="00731ADD"/>
    <w:rsid w:val="00734777"/>
    <w:rsid w:val="00751A4A"/>
    <w:rsid w:val="00756632"/>
    <w:rsid w:val="007D1690"/>
    <w:rsid w:val="007F6801"/>
    <w:rsid w:val="00865F67"/>
    <w:rsid w:val="00881A7B"/>
    <w:rsid w:val="008840E5"/>
    <w:rsid w:val="008C2AC6"/>
    <w:rsid w:val="009509D8"/>
    <w:rsid w:val="00981893"/>
    <w:rsid w:val="00A4678D"/>
    <w:rsid w:val="00AA0BFC"/>
    <w:rsid w:val="00AF1F41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DE6267"/>
    <w:rsid w:val="00E0328D"/>
    <w:rsid w:val="00E365E1"/>
    <w:rsid w:val="00ED4235"/>
    <w:rsid w:val="00F04346"/>
    <w:rsid w:val="00F075DC"/>
    <w:rsid w:val="00F14D23"/>
    <w:rsid w:val="00F5134D"/>
    <w:rsid w:val="00FC3B56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8031A1-8348-494B-8896-2781BF55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ga-I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F14D23"/>
    <w:rPr>
      <w:sz w:val="24"/>
      <w:lang w:val="ga-IE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F14D23"/>
    <w:rPr>
      <w:b/>
      <w:sz w:val="24"/>
      <w:lang w:val="ga-IE"/>
    </w:rPr>
  </w:style>
  <w:style w:type="paragraph" w:customStyle="1" w:styleId="ColumnHeading">
    <w:name w:val="ColumnHeading"/>
    <w:basedOn w:val="Normal"/>
    <w:rsid w:val="00F14D23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F14D2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F14D23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AF1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F41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CARROLL Annette</dc:creator>
  <cp:keywords/>
  <cp:lastModifiedBy>SMITH Lyndsey</cp:lastModifiedBy>
  <cp:revision>2</cp:revision>
  <cp:lastPrinted>2019-02-13T16:58:00Z</cp:lastPrinted>
  <dcterms:created xsi:type="dcterms:W3CDTF">2020-01-09T13:28:00Z</dcterms:created>
  <dcterms:modified xsi:type="dcterms:W3CDTF">2020-01-09T13:28:00Z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GA</vt:lpwstr>
  </property>
  <property fmtid="{D5CDD505-2E9C-101B-9397-08002B2CF9AE}" pid="3" name="&lt;FdR&gt;">
    <vt:lpwstr>A8-0061/2019</vt:lpwstr>
  </property>
  <property fmtid="{D5CDD505-2E9C-101B-9397-08002B2CF9AE}" pid="4" name="&lt;Type&gt;">
    <vt:lpwstr>RR</vt:lpwstr>
  </property>
</Properties>
</file>