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6539D" w:rsidRPr="007335F2" w:rsidTr="009104DB">
        <w:trPr>
          <w:trHeight w:hRule="exact" w:val="1418"/>
        </w:trPr>
        <w:tc>
          <w:tcPr>
            <w:tcW w:w="6804" w:type="dxa"/>
            <w:shd w:val="clear" w:color="auto" w:fill="auto"/>
            <w:vAlign w:val="center"/>
          </w:tcPr>
          <w:p w:rsidR="0046539D" w:rsidRPr="007335F2" w:rsidRDefault="0046539D" w:rsidP="009104DB">
            <w:pPr>
              <w:pStyle w:val="EPName"/>
              <w:rPr>
                <w:lang w:val="cs-CZ"/>
              </w:rPr>
            </w:pPr>
            <w:r w:rsidRPr="007335F2">
              <w:rPr>
                <w:lang w:val="cs-CZ"/>
              </w:rPr>
              <w:t>Evropský parlament</w:t>
            </w:r>
          </w:p>
          <w:p w:rsidR="0046539D" w:rsidRPr="007335F2" w:rsidRDefault="0046539D" w:rsidP="009104DB">
            <w:pPr>
              <w:pStyle w:val="EPTerm"/>
              <w:rPr>
                <w:rStyle w:val="HideTWBExt"/>
                <w:vanish w:val="0"/>
                <w:lang w:val="cs-CZ"/>
              </w:rPr>
            </w:pPr>
            <w:r w:rsidRPr="007335F2">
              <w:rPr>
                <w:lang w:val="cs-CZ"/>
              </w:rPr>
              <w:t>2014-2019</w:t>
            </w:r>
          </w:p>
        </w:tc>
        <w:tc>
          <w:tcPr>
            <w:tcW w:w="2268" w:type="dxa"/>
            <w:shd w:val="clear" w:color="auto" w:fill="auto"/>
          </w:tcPr>
          <w:p w:rsidR="0046539D" w:rsidRPr="007335F2" w:rsidRDefault="0046539D" w:rsidP="009104DB">
            <w:pPr>
              <w:pStyle w:val="EPLogo"/>
            </w:pPr>
            <w:r w:rsidRPr="007335F2">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46539D" w:rsidRPr="007335F2" w:rsidRDefault="0046539D" w:rsidP="009104DB">
      <w:pPr>
        <w:pStyle w:val="LineTop"/>
        <w:rPr>
          <w:lang w:val="cs-CZ"/>
        </w:rPr>
      </w:pPr>
    </w:p>
    <w:p w:rsidR="0046539D" w:rsidRPr="007335F2" w:rsidRDefault="0046539D" w:rsidP="009104DB">
      <w:pPr>
        <w:pStyle w:val="ZSessionDoc"/>
        <w:rPr>
          <w:b/>
          <w:i w:val="0"/>
        </w:rPr>
      </w:pPr>
      <w:r w:rsidRPr="007335F2">
        <w:rPr>
          <w:b/>
          <w:i w:val="0"/>
        </w:rPr>
        <w:t>PŘIJATÉ TEXTY</w:t>
      </w:r>
    </w:p>
    <w:p w:rsidR="0046539D" w:rsidRPr="007335F2" w:rsidRDefault="0046539D" w:rsidP="009104DB">
      <w:pPr>
        <w:pStyle w:val="LineBottom"/>
      </w:pPr>
    </w:p>
    <w:p w:rsidR="0046539D" w:rsidRPr="007335F2" w:rsidRDefault="0046539D" w:rsidP="009104DB">
      <w:pPr>
        <w:pStyle w:val="ATHeading1"/>
        <w:rPr>
          <w:noProof w:val="0"/>
          <w:lang w:val="cs-CZ"/>
        </w:rPr>
      </w:pPr>
      <w:bookmarkStart w:id="0" w:name="TANumber"/>
      <w:r w:rsidRPr="007335F2">
        <w:rPr>
          <w:noProof w:val="0"/>
          <w:lang w:val="cs-CZ"/>
        </w:rPr>
        <w:t>P8_TA(2019)0</w:t>
      </w:r>
      <w:bookmarkEnd w:id="0"/>
      <w:r w:rsidRPr="007335F2">
        <w:rPr>
          <w:noProof w:val="0"/>
          <w:lang w:val="cs-CZ"/>
        </w:rPr>
        <w:t>139</w:t>
      </w:r>
    </w:p>
    <w:p w:rsidR="0046539D" w:rsidRPr="007335F2" w:rsidRDefault="0046539D" w:rsidP="009104DB">
      <w:pPr>
        <w:pStyle w:val="ATHeading2"/>
        <w:rPr>
          <w:noProof w:val="0"/>
          <w:lang w:val="cs-CZ"/>
        </w:rPr>
      </w:pPr>
      <w:bookmarkStart w:id="1" w:name="title"/>
      <w:r w:rsidRPr="007335F2">
        <w:rPr>
          <w:noProof w:val="0"/>
          <w:lang w:val="cs-CZ"/>
        </w:rPr>
        <w:t>Elektronické informace o nákladní dopravě</w:t>
      </w:r>
      <w:bookmarkEnd w:id="1"/>
      <w:r w:rsidRPr="007335F2">
        <w:rPr>
          <w:noProof w:val="0"/>
          <w:lang w:val="cs-CZ"/>
        </w:rPr>
        <w:t xml:space="preserve"> </w:t>
      </w:r>
      <w:bookmarkStart w:id="2" w:name="Etoiles"/>
      <w:r w:rsidRPr="007335F2">
        <w:rPr>
          <w:noProof w:val="0"/>
          <w:lang w:val="cs-CZ"/>
        </w:rPr>
        <w:t>***I</w:t>
      </w:r>
      <w:bookmarkEnd w:id="2"/>
    </w:p>
    <w:p w:rsidR="0046539D" w:rsidRPr="007335F2" w:rsidRDefault="0046539D" w:rsidP="0046539D">
      <w:pPr>
        <w:spacing w:before="0" w:after="0"/>
        <w:rPr>
          <w:i/>
          <w:vanish/>
        </w:rPr>
      </w:pPr>
      <w:r w:rsidRPr="007335F2">
        <w:rPr>
          <w:i/>
        </w:rPr>
        <w:fldChar w:fldCharType="begin"/>
      </w:r>
      <w:r w:rsidRPr="007335F2">
        <w:rPr>
          <w:i/>
        </w:rPr>
        <w:instrText xml:space="preserve"> TC"(</w:instrText>
      </w:r>
      <w:bookmarkStart w:id="3" w:name="DocNumber"/>
      <w:r w:rsidRPr="007335F2">
        <w:rPr>
          <w:i/>
        </w:rPr>
        <w:instrText>A8-0060/2019</w:instrText>
      </w:r>
      <w:bookmarkEnd w:id="3"/>
      <w:r w:rsidRPr="007335F2">
        <w:rPr>
          <w:i/>
        </w:rPr>
        <w:instrText xml:space="preserve"> - Zpravodajka: Claudia Schmidt)"\l3 \n&gt; \* MERGEFORMAT </w:instrText>
      </w:r>
      <w:r w:rsidRPr="007335F2">
        <w:rPr>
          <w:i/>
        </w:rPr>
        <w:fldChar w:fldCharType="end"/>
      </w:r>
    </w:p>
    <w:p w:rsidR="0046539D" w:rsidRPr="007335F2" w:rsidRDefault="0046539D" w:rsidP="0046539D">
      <w:pPr>
        <w:spacing w:before="0" w:after="0"/>
        <w:rPr>
          <w:vanish/>
        </w:rPr>
      </w:pPr>
      <w:bookmarkStart w:id="4" w:name="Commission"/>
      <w:r w:rsidRPr="007335F2">
        <w:rPr>
          <w:vanish/>
        </w:rPr>
        <w:t>Výbor pro dopravu a cestovní ruch</w:t>
      </w:r>
      <w:bookmarkEnd w:id="4"/>
    </w:p>
    <w:p w:rsidR="0046539D" w:rsidRPr="007335F2" w:rsidRDefault="0046539D" w:rsidP="0046539D">
      <w:pPr>
        <w:spacing w:before="0" w:after="0"/>
        <w:rPr>
          <w:vanish/>
        </w:rPr>
      </w:pPr>
      <w:bookmarkStart w:id="5" w:name="PE"/>
      <w:r w:rsidRPr="007335F2">
        <w:rPr>
          <w:vanish/>
        </w:rPr>
        <w:t>PE629.586</w:t>
      </w:r>
      <w:bookmarkEnd w:id="5"/>
    </w:p>
    <w:p w:rsidR="0046539D" w:rsidRPr="007335F2" w:rsidRDefault="0046539D" w:rsidP="009104DB">
      <w:pPr>
        <w:pStyle w:val="ATHeading3"/>
        <w:rPr>
          <w:noProof w:val="0"/>
          <w:lang w:val="cs-CZ"/>
        </w:rPr>
      </w:pPr>
      <w:bookmarkStart w:id="6" w:name="Sujet"/>
      <w:r w:rsidRPr="007335F2">
        <w:rPr>
          <w:noProof w:val="0"/>
          <w:lang w:val="cs-CZ"/>
        </w:rPr>
        <w:t>Legislativní usnesení Evropského parlamentu ze dne 12. března 2019 o návrhu nařízení Evropského parlamentu a Rady o elektronických informacích o nákladní dopravě</w:t>
      </w:r>
      <w:bookmarkEnd w:id="6"/>
      <w:r w:rsidRPr="007335F2">
        <w:rPr>
          <w:noProof w:val="0"/>
          <w:lang w:val="cs-CZ"/>
        </w:rPr>
        <w:t xml:space="preserve"> </w:t>
      </w:r>
      <w:bookmarkStart w:id="7" w:name="References"/>
      <w:r w:rsidRPr="007335F2">
        <w:rPr>
          <w:noProof w:val="0"/>
          <w:lang w:val="cs-CZ"/>
        </w:rPr>
        <w:t>(</w:t>
      </w:r>
      <w:proofErr w:type="gramStart"/>
      <w:r w:rsidRPr="007335F2">
        <w:rPr>
          <w:noProof w:val="0"/>
          <w:lang w:val="cs-CZ"/>
        </w:rPr>
        <w:t>COM(2018</w:t>
      </w:r>
      <w:proofErr w:type="gramEnd"/>
      <w:r w:rsidRPr="007335F2">
        <w:rPr>
          <w:noProof w:val="0"/>
          <w:lang w:val="cs-CZ"/>
        </w:rPr>
        <w:t>)0279 – C8-0191/2018 – 2018/0140(COD))</w:t>
      </w:r>
      <w:bookmarkEnd w:id="7"/>
    </w:p>
    <w:p w:rsidR="0046539D" w:rsidRPr="007335F2" w:rsidRDefault="0046539D" w:rsidP="009104DB"/>
    <w:p w:rsidR="0046539D" w:rsidRPr="007335F2" w:rsidRDefault="0046539D" w:rsidP="009104DB">
      <w:pPr>
        <w:pStyle w:val="Normal12Bold"/>
      </w:pPr>
      <w:bookmarkStart w:id="8" w:name="TextBodyBegin"/>
      <w:bookmarkEnd w:id="8"/>
      <w:r w:rsidRPr="007335F2">
        <w:t>(Řádný legislativní postup: první čtení)</w:t>
      </w:r>
    </w:p>
    <w:p w:rsidR="0046539D" w:rsidRPr="007335F2" w:rsidRDefault="0046539D" w:rsidP="009104DB">
      <w:pPr>
        <w:pStyle w:val="Normal12"/>
      </w:pPr>
      <w:r w:rsidRPr="007335F2">
        <w:rPr>
          <w:i/>
        </w:rPr>
        <w:t>Evropský parlament</w:t>
      </w:r>
      <w:r w:rsidRPr="007335F2">
        <w:t>,</w:t>
      </w:r>
    </w:p>
    <w:p w:rsidR="0046539D" w:rsidRPr="007335F2" w:rsidRDefault="0046539D" w:rsidP="0046539D">
      <w:pPr>
        <w:pStyle w:val="Normal12Hanging"/>
        <w:spacing w:before="120"/>
      </w:pPr>
      <w:r w:rsidRPr="007335F2">
        <w:t>–</w:t>
      </w:r>
      <w:r w:rsidRPr="007335F2">
        <w:tab/>
        <w:t>s ohledem na návrh Komise předložený Evropskému parlamentu a Radě (</w:t>
      </w:r>
      <w:proofErr w:type="gramStart"/>
      <w:r w:rsidRPr="007335F2">
        <w:t>COM(2018</w:t>
      </w:r>
      <w:proofErr w:type="gramEnd"/>
      <w:r w:rsidRPr="007335F2">
        <w:t>)0279),</w:t>
      </w:r>
    </w:p>
    <w:p w:rsidR="0046539D" w:rsidRPr="007335F2" w:rsidRDefault="0046539D" w:rsidP="0046539D">
      <w:pPr>
        <w:pStyle w:val="Normal12Hanging"/>
        <w:spacing w:before="120"/>
      </w:pPr>
      <w:r w:rsidRPr="007335F2">
        <w:t>–</w:t>
      </w:r>
      <w:r w:rsidRPr="007335F2">
        <w:tab/>
        <w:t>s ohledem na čl. 294 odst. 2 a článek 91, čl. 100 odst. 2 a čl. 192 odst. 1 Smlouvy o fungování Evropské unie, v souladu se kterými Komise předložila svůj návrh Parlamentu (C8-0191/2018),</w:t>
      </w:r>
    </w:p>
    <w:p w:rsidR="0046539D" w:rsidRPr="007335F2" w:rsidRDefault="0046539D" w:rsidP="0046539D">
      <w:pPr>
        <w:pStyle w:val="Normal12Hanging"/>
        <w:spacing w:before="120"/>
      </w:pPr>
      <w:r w:rsidRPr="007335F2">
        <w:t>–</w:t>
      </w:r>
      <w:r w:rsidRPr="007335F2">
        <w:tab/>
        <w:t>s ohledem na čl. 294 odst. 3 Smlouvy o fungování Evropské unie,</w:t>
      </w:r>
    </w:p>
    <w:p w:rsidR="0046539D" w:rsidRPr="007335F2" w:rsidRDefault="0046539D" w:rsidP="0046539D">
      <w:pPr>
        <w:pStyle w:val="Normal12Hanging"/>
        <w:spacing w:before="120"/>
      </w:pPr>
      <w:r w:rsidRPr="007335F2">
        <w:t>–</w:t>
      </w:r>
      <w:r w:rsidRPr="007335F2">
        <w:tab/>
        <w:t>s ohledem na stanovisko Evropského hospodářského a sociálního výboru ze dne 17. října 2018</w:t>
      </w:r>
      <w:r w:rsidRPr="007335F2">
        <w:rPr>
          <w:rStyle w:val="FootnoteReference"/>
        </w:rPr>
        <w:footnoteReference w:id="1"/>
      </w:r>
      <w:r w:rsidRPr="007335F2">
        <w:t>,</w:t>
      </w:r>
    </w:p>
    <w:p w:rsidR="0046539D" w:rsidRPr="007335F2" w:rsidRDefault="0046539D" w:rsidP="0046539D">
      <w:pPr>
        <w:pStyle w:val="Normal12Hanging"/>
        <w:spacing w:before="120"/>
      </w:pPr>
      <w:r w:rsidRPr="007335F2">
        <w:t>–</w:t>
      </w:r>
      <w:r w:rsidRPr="007335F2">
        <w:tab/>
        <w:t>po konzultaci s Výborem regionů,</w:t>
      </w:r>
    </w:p>
    <w:p w:rsidR="0046539D" w:rsidRPr="007335F2" w:rsidRDefault="0046539D" w:rsidP="0046539D">
      <w:pPr>
        <w:pStyle w:val="Normal12Hanging"/>
        <w:spacing w:before="120"/>
      </w:pPr>
      <w:r w:rsidRPr="007335F2">
        <w:t>–</w:t>
      </w:r>
      <w:r w:rsidRPr="007335F2">
        <w:tab/>
        <w:t>s ohledem na článek 59 jednacího řádu,</w:t>
      </w:r>
    </w:p>
    <w:p w:rsidR="0046539D" w:rsidRPr="007335F2" w:rsidRDefault="0046539D" w:rsidP="0046539D">
      <w:pPr>
        <w:pStyle w:val="Normal12Hanging"/>
        <w:spacing w:before="120"/>
      </w:pPr>
      <w:r w:rsidRPr="007335F2">
        <w:t>–</w:t>
      </w:r>
      <w:r w:rsidRPr="007335F2">
        <w:tab/>
        <w:t>s ohledem na zprávu Výboru pro dopravu a cestovní ruch (A8-0060/2019),</w:t>
      </w:r>
    </w:p>
    <w:p w:rsidR="0046539D" w:rsidRPr="007335F2" w:rsidRDefault="0046539D" w:rsidP="0046539D">
      <w:pPr>
        <w:pStyle w:val="Normal12Hanging"/>
        <w:spacing w:before="120"/>
      </w:pPr>
      <w:r w:rsidRPr="007335F2">
        <w:t>1.</w:t>
      </w:r>
      <w:r w:rsidRPr="007335F2">
        <w:tab/>
        <w:t>přijímá níže uvedený postoj v prvním čtení;</w:t>
      </w:r>
    </w:p>
    <w:p w:rsidR="0046539D" w:rsidRPr="007335F2" w:rsidRDefault="0046539D" w:rsidP="0046539D">
      <w:pPr>
        <w:pStyle w:val="Normal12Hanging"/>
        <w:spacing w:before="120"/>
      </w:pPr>
      <w:r w:rsidRPr="007335F2">
        <w:t>2.</w:t>
      </w:r>
      <w:r w:rsidRPr="007335F2">
        <w:tab/>
        <w:t>vyzývá Komisi, aby věc znovu postoupila Parlamentu, jestliže svůj návrh nahradí jiným textem, podstatně jej změní nebo má v úmyslu jej podstatně změnit;</w:t>
      </w:r>
    </w:p>
    <w:p w:rsidR="0046539D" w:rsidRPr="007335F2" w:rsidRDefault="0046539D" w:rsidP="00334B17">
      <w:pPr>
        <w:pStyle w:val="Normal12Hanging"/>
        <w:spacing w:before="120"/>
      </w:pPr>
      <w:r w:rsidRPr="007335F2">
        <w:t>3.</w:t>
      </w:r>
      <w:r w:rsidRPr="007335F2">
        <w:tab/>
        <w:t>pověřuje svého předsedu, aby předal postoj Parlamentu Radě, Komisi, jakož i vnitrostátním parlamentům.</w:t>
      </w:r>
      <w:bookmarkStart w:id="9" w:name="TextBodyEnd"/>
      <w:bookmarkEnd w:id="9"/>
      <w:r w:rsidRPr="007335F2">
        <w:rPr>
          <w:noProof/>
        </w:rPr>
        <w:br w:type="page"/>
      </w:r>
    </w:p>
    <w:p w:rsidR="002F38CC" w:rsidRPr="007335F2" w:rsidRDefault="002F38CC" w:rsidP="002F38CC">
      <w:pPr>
        <w:widowControl w:val="0"/>
        <w:autoSpaceDE w:val="0"/>
        <w:autoSpaceDN w:val="0"/>
        <w:adjustRightInd w:val="0"/>
        <w:spacing w:after="240"/>
        <w:jc w:val="left"/>
        <w:rPr>
          <w:rFonts w:eastAsia="Calibri"/>
          <w:b/>
          <w:bCs/>
          <w:color w:val="000000"/>
          <w:lang w:eastAsia="en-GB"/>
        </w:rPr>
      </w:pPr>
      <w:r w:rsidRPr="007335F2">
        <w:rPr>
          <w:rFonts w:eastAsia="Calibri"/>
          <w:b/>
          <w:bCs/>
          <w:color w:val="000000"/>
          <w:lang w:eastAsia="en-GB"/>
        </w:rPr>
        <w:lastRenderedPageBreak/>
        <w:t>P8_TC1-COD(2018)0140</w:t>
      </w:r>
    </w:p>
    <w:p w:rsidR="008522C8" w:rsidRPr="007335F2" w:rsidRDefault="0046539D" w:rsidP="0046539D">
      <w:pPr>
        <w:pStyle w:val="Typedudocument"/>
        <w:jc w:val="left"/>
        <w:rPr>
          <w:noProof/>
        </w:rPr>
      </w:pPr>
      <w:r w:rsidRPr="007335F2">
        <w:rPr>
          <w:noProof/>
        </w:rPr>
        <w:t xml:space="preserve">Postoj Evropského parlamentu přijatý v prvním čtení dne 12. března 2019 k přijetí nařízení Evropského parlamentu a Rady (EU) .../... </w:t>
      </w:r>
      <w:r w:rsidR="009104DB" w:rsidRPr="007335F2">
        <w:rPr>
          <w:noProof/>
        </w:rPr>
        <w:t xml:space="preserve">o elektronických informacích o nákladní dopravě </w:t>
      </w:r>
    </w:p>
    <w:p w:rsidR="008522C8" w:rsidRPr="007335F2" w:rsidRDefault="009104DB" w:rsidP="0046539D">
      <w:pPr>
        <w:pStyle w:val="IntrtEEE"/>
        <w:spacing w:before="240"/>
        <w:rPr>
          <w:noProof/>
        </w:rPr>
      </w:pPr>
      <w:r w:rsidRPr="007335F2">
        <w:rPr>
          <w:noProof/>
        </w:rPr>
        <w:t>(Text s významem pro EHP)</w:t>
      </w:r>
    </w:p>
    <w:p w:rsidR="008522C8" w:rsidRPr="007335F2" w:rsidRDefault="009104DB" w:rsidP="0046539D">
      <w:pPr>
        <w:pStyle w:val="Institutionquiagit"/>
        <w:spacing w:after="240" w:line="360" w:lineRule="auto"/>
        <w:rPr>
          <w:noProof/>
        </w:rPr>
      </w:pPr>
      <w:r w:rsidRPr="007335F2">
        <w:rPr>
          <w:noProof/>
        </w:rPr>
        <w:t>EVROPSKÝ PARLAMENT A RADA EVROPSKÉ UNIE,</w:t>
      </w:r>
    </w:p>
    <w:p w:rsidR="008522C8" w:rsidRPr="007335F2" w:rsidRDefault="009104DB" w:rsidP="0046539D">
      <w:pPr>
        <w:spacing w:line="360" w:lineRule="auto"/>
        <w:jc w:val="left"/>
        <w:rPr>
          <w:noProof/>
        </w:rPr>
      </w:pPr>
      <w:r w:rsidRPr="007335F2">
        <w:rPr>
          <w:noProof/>
        </w:rPr>
        <w:t>s ohledem na Smlouvu o fungování Evropské unie, a zejména na článek 91, čl. 100 odst. 2 a čl. 192 odst. 1 této smlouvy,</w:t>
      </w:r>
    </w:p>
    <w:p w:rsidR="008522C8" w:rsidRPr="007335F2" w:rsidRDefault="009104DB" w:rsidP="0046539D">
      <w:pPr>
        <w:spacing w:line="360" w:lineRule="auto"/>
        <w:jc w:val="left"/>
        <w:rPr>
          <w:noProof/>
        </w:rPr>
      </w:pPr>
      <w:r w:rsidRPr="007335F2">
        <w:rPr>
          <w:noProof/>
        </w:rPr>
        <w:t>s ohledem na návrh Evropské komise,</w:t>
      </w:r>
    </w:p>
    <w:p w:rsidR="008522C8" w:rsidRPr="007335F2" w:rsidRDefault="009104DB" w:rsidP="0046539D">
      <w:pPr>
        <w:spacing w:line="360" w:lineRule="auto"/>
        <w:jc w:val="left"/>
        <w:rPr>
          <w:noProof/>
        </w:rPr>
      </w:pPr>
      <w:r w:rsidRPr="007335F2">
        <w:rPr>
          <w:noProof/>
        </w:rPr>
        <w:t>po postoupení návrhu legislativního aktu vnitrostátním parlamentům,</w:t>
      </w:r>
    </w:p>
    <w:p w:rsidR="008522C8" w:rsidRPr="007335F2" w:rsidRDefault="009104DB" w:rsidP="0046539D">
      <w:pPr>
        <w:spacing w:line="360" w:lineRule="auto"/>
        <w:jc w:val="left"/>
        <w:rPr>
          <w:noProof/>
        </w:rPr>
      </w:pPr>
      <w:r w:rsidRPr="007335F2">
        <w:rPr>
          <w:noProof/>
        </w:rPr>
        <w:t>s ohledem na stanovisko Evropského hospodářského a sociálního výboru</w:t>
      </w:r>
      <w:r w:rsidRPr="007335F2">
        <w:rPr>
          <w:rStyle w:val="FootnoteReference"/>
          <w:noProof/>
        </w:rPr>
        <w:footnoteReference w:id="2"/>
      </w:r>
      <w:r w:rsidRPr="007335F2">
        <w:rPr>
          <w:noProof/>
        </w:rPr>
        <w:t xml:space="preserve">, </w:t>
      </w:r>
    </w:p>
    <w:p w:rsidR="008522C8" w:rsidRPr="007335F2" w:rsidRDefault="002F38CC" w:rsidP="0046539D">
      <w:pPr>
        <w:spacing w:line="360" w:lineRule="auto"/>
        <w:jc w:val="left"/>
        <w:rPr>
          <w:noProof/>
        </w:rPr>
      </w:pPr>
      <w:r w:rsidRPr="007335F2">
        <w:rPr>
          <w:noProof/>
        </w:rPr>
        <w:t>po konzultaci s</w:t>
      </w:r>
      <w:r w:rsidR="009104DB" w:rsidRPr="007335F2">
        <w:rPr>
          <w:noProof/>
        </w:rPr>
        <w:t xml:space="preserve"> Výbor</w:t>
      </w:r>
      <w:r w:rsidRPr="007335F2">
        <w:rPr>
          <w:noProof/>
        </w:rPr>
        <w:t>em</w:t>
      </w:r>
      <w:r w:rsidR="009104DB" w:rsidRPr="007335F2">
        <w:rPr>
          <w:noProof/>
        </w:rPr>
        <w:t xml:space="preserve"> regionů, </w:t>
      </w:r>
    </w:p>
    <w:p w:rsidR="008522C8" w:rsidRPr="007335F2" w:rsidRDefault="009104DB" w:rsidP="0046539D">
      <w:pPr>
        <w:spacing w:line="360" w:lineRule="auto"/>
        <w:jc w:val="left"/>
        <w:rPr>
          <w:noProof/>
        </w:rPr>
      </w:pPr>
      <w:r w:rsidRPr="007335F2">
        <w:rPr>
          <w:noProof/>
        </w:rPr>
        <w:t>v souladu s řádným legislativním postupem</w:t>
      </w:r>
      <w:r w:rsidR="002F38CC" w:rsidRPr="007335F2">
        <w:rPr>
          <w:rStyle w:val="FootnoteReference"/>
          <w:noProof/>
        </w:rPr>
        <w:footnoteReference w:id="3"/>
      </w:r>
      <w:r w:rsidRPr="007335F2">
        <w:rPr>
          <w:noProof/>
        </w:rPr>
        <w:t>,</w:t>
      </w:r>
    </w:p>
    <w:p w:rsidR="002F38CC" w:rsidRPr="007335F2" w:rsidRDefault="002F38CC">
      <w:pPr>
        <w:spacing w:before="0" w:after="200" w:line="276" w:lineRule="auto"/>
        <w:jc w:val="left"/>
        <w:rPr>
          <w:noProof/>
        </w:rPr>
      </w:pPr>
      <w:r w:rsidRPr="007335F2">
        <w:rPr>
          <w:noProof/>
        </w:rPr>
        <w:br w:type="page"/>
      </w:r>
    </w:p>
    <w:p w:rsidR="008522C8" w:rsidRPr="007335F2" w:rsidRDefault="009104DB" w:rsidP="0046539D">
      <w:pPr>
        <w:spacing w:line="360" w:lineRule="auto"/>
        <w:jc w:val="left"/>
        <w:rPr>
          <w:noProof/>
        </w:rPr>
      </w:pPr>
      <w:r w:rsidRPr="007335F2">
        <w:rPr>
          <w:noProof/>
        </w:rPr>
        <w:lastRenderedPageBreak/>
        <w:t>vzhledem k těmto důvodům:</w:t>
      </w:r>
    </w:p>
    <w:p w:rsidR="008522C8" w:rsidRPr="007335F2" w:rsidRDefault="009104DB" w:rsidP="0046539D">
      <w:pPr>
        <w:pStyle w:val="ManualConsidrant"/>
        <w:spacing w:line="360" w:lineRule="auto"/>
        <w:ind w:left="851" w:hanging="851"/>
        <w:jc w:val="left"/>
        <w:rPr>
          <w:b/>
          <w:noProof/>
        </w:rPr>
      </w:pPr>
      <w:r w:rsidRPr="007335F2">
        <w:rPr>
          <w:noProof/>
        </w:rPr>
        <w:t>(1)</w:t>
      </w:r>
      <w:r w:rsidRPr="007335F2">
        <w:rPr>
          <w:noProof/>
        </w:rPr>
        <w:tab/>
        <w:t xml:space="preserve">Efektivnost nákladní dopravy a logistiky je zásadní pro </w:t>
      </w:r>
      <w:r w:rsidRPr="007335F2">
        <w:rPr>
          <w:b/>
          <w:i/>
        </w:rPr>
        <w:t xml:space="preserve">růst a </w:t>
      </w:r>
      <w:r w:rsidRPr="007335F2">
        <w:rPr>
          <w:noProof/>
        </w:rPr>
        <w:t>konkurenceschopnost hospodářství Unie, fungování vnitřního trhu a sociální i hospodářskou soudržnost všech regionů Unie.</w:t>
      </w:r>
      <w:r w:rsidRPr="007335F2">
        <w:rPr>
          <w:b/>
          <w:noProof/>
        </w:rPr>
        <w:t xml:space="preserve"> [pozm. návrh 1]</w:t>
      </w:r>
    </w:p>
    <w:p w:rsidR="009104DB" w:rsidRPr="007335F2" w:rsidRDefault="009104DB" w:rsidP="0046539D">
      <w:pPr>
        <w:pStyle w:val="ManualConsidrant"/>
        <w:spacing w:line="360" w:lineRule="auto"/>
        <w:ind w:left="851" w:hanging="851"/>
        <w:jc w:val="left"/>
        <w:rPr>
          <w:b/>
          <w:noProof/>
        </w:rPr>
      </w:pPr>
      <w:r w:rsidRPr="007335F2">
        <w:rPr>
          <w:b/>
          <w:i/>
        </w:rPr>
        <w:t>(1a)</w:t>
      </w:r>
      <w:r w:rsidRPr="007335F2">
        <w:rPr>
          <w:b/>
          <w:i/>
        </w:rPr>
        <w:tab/>
        <w:t>Účelem tohoto nařízení je snížit náklady na zpracování informací o dopravě mezi orgány a hospodářskými subjekty a zlepšit schopnosti orgánů v oblasti prosazování práva a podpořit digitalizaci nákladní dopravy a logistiky.</w:t>
      </w:r>
      <w:r w:rsidRPr="007335F2">
        <w:rPr>
          <w:b/>
        </w:rPr>
        <w:t xml:space="preserve"> [</w:t>
      </w:r>
      <w:proofErr w:type="spellStart"/>
      <w:r w:rsidRPr="007335F2">
        <w:rPr>
          <w:b/>
        </w:rPr>
        <w:t>pozm</w:t>
      </w:r>
      <w:proofErr w:type="spellEnd"/>
      <w:r w:rsidRPr="007335F2">
        <w:rPr>
          <w:b/>
        </w:rPr>
        <w:t>. návrh 2]</w:t>
      </w:r>
    </w:p>
    <w:p w:rsidR="008522C8" w:rsidRPr="007335F2" w:rsidRDefault="009104DB" w:rsidP="0046539D">
      <w:pPr>
        <w:pStyle w:val="ManualConsidrant"/>
        <w:spacing w:line="360" w:lineRule="auto"/>
        <w:ind w:left="851" w:hanging="851"/>
        <w:jc w:val="left"/>
        <w:rPr>
          <w:b/>
          <w:noProof/>
        </w:rPr>
      </w:pPr>
      <w:r w:rsidRPr="007335F2">
        <w:rPr>
          <w:noProof/>
        </w:rPr>
        <w:t>(2)</w:t>
      </w:r>
      <w:r w:rsidRPr="007335F2">
        <w:rPr>
          <w:noProof/>
        </w:rPr>
        <w:tab/>
        <w:t xml:space="preserve">Přepravu zboží doprovází velké množství informací, které jsou mezi podniky navzájem a mezi podniky a orgány veřejné moci stále ještě vyměňovány v tištěné podobě. Používání dokladů v tištěné podobě představuje značnou administrativní zátěž </w:t>
      </w:r>
      <w:r w:rsidR="00886BA6" w:rsidRPr="007335F2">
        <w:rPr>
          <w:b/>
          <w:i/>
        </w:rPr>
        <w:t xml:space="preserve">a vícenáklady </w:t>
      </w:r>
      <w:r w:rsidRPr="007335F2">
        <w:rPr>
          <w:noProof/>
        </w:rPr>
        <w:t>pro provozovatele logistiky</w:t>
      </w:r>
      <w:r w:rsidR="00886BA6" w:rsidRPr="007335F2">
        <w:rPr>
          <w:noProof/>
        </w:rPr>
        <w:t xml:space="preserve"> </w:t>
      </w:r>
      <w:r w:rsidR="00886BA6" w:rsidRPr="007335F2">
        <w:rPr>
          <w:b/>
          <w:i/>
        </w:rPr>
        <w:t>a související odvětví (například obchod a výrobu), zejména pro malé a střední podniky, a má nepříznivý dopad na životní prostředí</w:t>
      </w:r>
      <w:r w:rsidRPr="007335F2">
        <w:rPr>
          <w:noProof/>
        </w:rPr>
        <w:t>.</w:t>
      </w:r>
      <w:r w:rsidR="00886BA6" w:rsidRPr="007335F2">
        <w:rPr>
          <w:b/>
          <w:noProof/>
        </w:rPr>
        <w:t xml:space="preserve"> [pozm. návrh 3]</w:t>
      </w:r>
    </w:p>
    <w:p w:rsidR="002F38CC" w:rsidRPr="007335F2" w:rsidRDefault="002F38CC">
      <w:pPr>
        <w:spacing w:before="0" w:after="200" w:line="276" w:lineRule="auto"/>
        <w:jc w:val="left"/>
        <w:rPr>
          <w:b/>
          <w:i/>
        </w:rPr>
      </w:pPr>
      <w:r w:rsidRPr="007335F2">
        <w:rPr>
          <w:b/>
          <w:i/>
        </w:rPr>
        <w:br w:type="page"/>
      </w:r>
    </w:p>
    <w:p w:rsidR="00886BA6" w:rsidRPr="007335F2" w:rsidRDefault="00886BA6" w:rsidP="0046539D">
      <w:pPr>
        <w:pStyle w:val="ManualConsidrant"/>
        <w:spacing w:line="360" w:lineRule="auto"/>
        <w:ind w:left="851" w:hanging="851"/>
        <w:jc w:val="left"/>
        <w:rPr>
          <w:b/>
          <w:noProof/>
        </w:rPr>
      </w:pPr>
      <w:r w:rsidRPr="007335F2">
        <w:rPr>
          <w:b/>
          <w:i/>
        </w:rPr>
        <w:lastRenderedPageBreak/>
        <w:t>(2a)</w:t>
      </w:r>
      <w:r w:rsidRPr="007335F2">
        <w:rPr>
          <w:b/>
          <w:i/>
        </w:rPr>
        <w:tab/>
        <w:t>Účinné a efektivní prosazování příslušných předpisů je nezbytným předpokladem spravedlivé hospodářské soutěže na vnitřním trhu. Zásadní je další digitalizace nástrojů prosazování právních předpisů, aby se uvolnila kapacita donucovacích orgánů, snížila se zbytečná administrativní zátěž pro podnikatele v mezinárodní přepravě, zejména pro malé a střední podniky, a podařilo se lépe zacílit na vysoce rizikové podnikatele v přepravě a odhalit podvodné praktiky. Toto digitální, „inteligentní“ prosazování právních předpisů vyžaduje, aby veškeré příslušné informace již neměly tištěnou podobu, ale byly příslušným orgánům k dispozici v elektronické podobě. Používání elektronických přepravních dokladů by se proto v budoucnosti mělo stát pravidlem. Aby úředníci donucovacích orgánů, včetně těch, kteří provádějí silniční kontroly, získali jasný a úplný přehled o podnikatelích v silniční dopravě, které kontrolují, měli by mít bezprostředně a v reálném čase přístup ke všem relevantním informacím, aby tak mohli rychleji a účinněji odhalovat porušení předpisů a odchylky.</w:t>
      </w:r>
      <w:r w:rsidRPr="007335F2">
        <w:rPr>
          <w:b/>
        </w:rPr>
        <w:t xml:space="preserve"> [</w:t>
      </w:r>
      <w:proofErr w:type="spellStart"/>
      <w:r w:rsidRPr="007335F2">
        <w:rPr>
          <w:b/>
        </w:rPr>
        <w:t>pozm</w:t>
      </w:r>
      <w:proofErr w:type="spellEnd"/>
      <w:r w:rsidRPr="007335F2">
        <w:rPr>
          <w:b/>
        </w:rPr>
        <w:t>. návrh 4]</w:t>
      </w:r>
    </w:p>
    <w:p w:rsidR="002F38CC" w:rsidRPr="007335F2" w:rsidRDefault="002F38CC">
      <w:pPr>
        <w:spacing w:before="0" w:after="200" w:line="276" w:lineRule="auto"/>
        <w:jc w:val="left"/>
        <w:rPr>
          <w:noProof/>
        </w:rPr>
      </w:pPr>
      <w:r w:rsidRPr="007335F2">
        <w:rPr>
          <w:noProof/>
        </w:rPr>
        <w:br w:type="page"/>
      </w:r>
    </w:p>
    <w:p w:rsidR="008522C8" w:rsidRPr="007335F2" w:rsidRDefault="009104DB" w:rsidP="0046539D">
      <w:pPr>
        <w:pStyle w:val="ManualConsidrant"/>
        <w:spacing w:line="360" w:lineRule="auto"/>
        <w:ind w:left="851" w:hanging="851"/>
        <w:jc w:val="left"/>
        <w:rPr>
          <w:noProof/>
        </w:rPr>
      </w:pPr>
      <w:r w:rsidRPr="007335F2">
        <w:rPr>
          <w:noProof/>
        </w:rPr>
        <w:lastRenderedPageBreak/>
        <w:t>(3)</w:t>
      </w:r>
      <w:r w:rsidRPr="007335F2">
        <w:rPr>
          <w:noProof/>
        </w:rPr>
        <w:tab/>
        <w:t>Absence jednotného právního rámce na úrovni Unie, který by od orgánů veřejné moci vyžadoval, aby přijímaly příslušné informace o nákladní dopravě, jež požadují právní předpisy, v elektronické podobě, je považována za hlavní důvod nedostatečného pokroku ke zjednodušení a větší efektivnosti, kterých lze dosáhnout díky dostupným elektronickým prostředkům. Nepřijímání informací v elektronické podobě ze strany orgánů veřejné moci má dopad nejen na snadnost komunikace mezi nimi a hospodářskými subjekty, ale nepřímo také brzdí rozvoj zjednodušené elektronické komunikace mezi podniky v celé Unii</w:t>
      </w:r>
      <w:r w:rsidR="00886BA6" w:rsidRPr="007335F2">
        <w:rPr>
          <w:b/>
          <w:i/>
        </w:rPr>
        <w:t>, a povede k vyšším administrativním nákladům, především pro malé a střední podniky</w:t>
      </w:r>
      <w:r w:rsidRPr="007335F2">
        <w:rPr>
          <w:noProof/>
        </w:rPr>
        <w:t>.</w:t>
      </w:r>
      <w:r w:rsidR="00886BA6" w:rsidRPr="007335F2">
        <w:rPr>
          <w:b/>
          <w:noProof/>
        </w:rPr>
        <w:t xml:space="preserve"> [pozm. návrh 5]</w:t>
      </w:r>
    </w:p>
    <w:p w:rsidR="008522C8" w:rsidRPr="007335F2" w:rsidRDefault="009104DB" w:rsidP="0046539D">
      <w:pPr>
        <w:pStyle w:val="ManualConsidrant"/>
        <w:spacing w:line="360" w:lineRule="auto"/>
        <w:ind w:left="851" w:hanging="851"/>
        <w:jc w:val="left"/>
        <w:rPr>
          <w:b/>
          <w:noProof/>
          <w:szCs w:val="24"/>
        </w:rPr>
      </w:pPr>
      <w:r w:rsidRPr="007335F2">
        <w:rPr>
          <w:noProof/>
        </w:rPr>
        <w:t>(4)</w:t>
      </w:r>
      <w:r w:rsidRPr="007335F2">
        <w:rPr>
          <w:noProof/>
        </w:rPr>
        <w:tab/>
        <w:t xml:space="preserve">Některé oblasti dopravního práva Unie od příslušných orgánů vyžadují, aby přijímaly digitalizované informace, zdaleka se to však netýká všech příslušných unijních právních předpisů. </w:t>
      </w:r>
      <w:r w:rsidRPr="007335F2">
        <w:rPr>
          <w:strike/>
          <w:noProof/>
        </w:rPr>
        <w:t>Mělo</w:t>
      </w:r>
      <w:r w:rsidRPr="007335F2">
        <w:rPr>
          <w:noProof/>
        </w:rPr>
        <w:t xml:space="preserve"> </w:t>
      </w:r>
      <w:r w:rsidR="0051507A" w:rsidRPr="007335F2">
        <w:rPr>
          <w:b/>
          <w:i/>
        </w:rPr>
        <w:t> S cílem</w:t>
      </w:r>
      <w:r w:rsidR="00886BA6" w:rsidRPr="007335F2">
        <w:rPr>
          <w:b/>
          <w:i/>
        </w:rPr>
        <w:t xml:space="preserve"> sníž</w:t>
      </w:r>
      <w:r w:rsidR="0051507A" w:rsidRPr="007335F2">
        <w:rPr>
          <w:b/>
          <w:i/>
        </w:rPr>
        <w:t>it</w:t>
      </w:r>
      <w:r w:rsidR="00886BA6" w:rsidRPr="007335F2">
        <w:rPr>
          <w:b/>
          <w:i/>
        </w:rPr>
        <w:t xml:space="preserve"> administrativní zátěž a zefektivn</w:t>
      </w:r>
      <w:r w:rsidR="0051507A" w:rsidRPr="007335F2">
        <w:rPr>
          <w:b/>
          <w:i/>
        </w:rPr>
        <w:t>it</w:t>
      </w:r>
      <w:r w:rsidR="00886BA6" w:rsidRPr="007335F2">
        <w:rPr>
          <w:b/>
          <w:i/>
        </w:rPr>
        <w:t xml:space="preserve"> kontrol</w:t>
      </w:r>
      <w:r w:rsidR="0051507A" w:rsidRPr="007335F2">
        <w:rPr>
          <w:b/>
          <w:i/>
        </w:rPr>
        <w:t>y</w:t>
      </w:r>
      <w:r w:rsidR="00886BA6" w:rsidRPr="007335F2">
        <w:rPr>
          <w:b/>
          <w:i/>
        </w:rPr>
        <w:t xml:space="preserve"> a potírání porušování předpisů </w:t>
      </w:r>
      <w:r w:rsidRPr="007335F2">
        <w:rPr>
          <w:noProof/>
        </w:rPr>
        <w:t xml:space="preserve">by </w:t>
      </w:r>
      <w:r w:rsidR="00886BA6" w:rsidRPr="007335F2">
        <w:rPr>
          <w:b/>
          <w:i/>
          <w:noProof/>
        </w:rPr>
        <w:t>mělo</w:t>
      </w:r>
      <w:r w:rsidR="00886BA6" w:rsidRPr="007335F2">
        <w:rPr>
          <w:noProof/>
        </w:rPr>
        <w:t xml:space="preserve"> </w:t>
      </w:r>
      <w:r w:rsidRPr="007335F2">
        <w:rPr>
          <w:noProof/>
        </w:rPr>
        <w:t xml:space="preserve">být </w:t>
      </w:r>
      <w:r w:rsidR="00886BA6" w:rsidRPr="007335F2">
        <w:rPr>
          <w:b/>
          <w:i/>
          <w:noProof/>
        </w:rPr>
        <w:t>vždy</w:t>
      </w:r>
      <w:r w:rsidR="00886BA6" w:rsidRPr="007335F2">
        <w:rPr>
          <w:noProof/>
        </w:rPr>
        <w:t xml:space="preserve"> </w:t>
      </w:r>
      <w:r w:rsidRPr="007335F2">
        <w:rPr>
          <w:noProof/>
        </w:rPr>
        <w:t>možné používat elektronické prostředky ke zpřístupnění regulačních informací o nákladní dopravě orgánům na celém území Unie a pro všechny příslušné fáze přepravních operací prováděné v Unii. Tato možnost by se navíc měla vztahovat na všechny regulační informace ve všech druzích dopravy.</w:t>
      </w:r>
      <w:r w:rsidR="00886BA6" w:rsidRPr="007335F2">
        <w:rPr>
          <w:noProof/>
        </w:rPr>
        <w:t xml:space="preserve"> </w:t>
      </w:r>
      <w:r w:rsidR="00886BA6" w:rsidRPr="007335F2">
        <w:rPr>
          <w:b/>
          <w:i/>
        </w:rPr>
        <w:t>Členské státy by měly obecně akceptovat elektronické přepravní doklady a neprodleně ratifikovat a uplatňovat protokol e-CMR. Proto by měly orgány komunikovat s dotčenými hospodářskými subjekty elektronicky, pokud jde o regulační informace, a měly by své vlastní údaje zpřístupňovat digitálně, a to v souladu s příslušnými právními předpisy.</w:t>
      </w:r>
      <w:r w:rsidR="00886BA6" w:rsidRPr="007335F2">
        <w:rPr>
          <w:b/>
        </w:rPr>
        <w:t xml:space="preserve"> [</w:t>
      </w:r>
      <w:proofErr w:type="spellStart"/>
      <w:r w:rsidR="00886BA6" w:rsidRPr="007335F2">
        <w:rPr>
          <w:b/>
        </w:rPr>
        <w:t>pozm</w:t>
      </w:r>
      <w:proofErr w:type="spellEnd"/>
      <w:r w:rsidR="00886BA6" w:rsidRPr="007335F2">
        <w:rPr>
          <w:b/>
        </w:rPr>
        <w:t>. návrh 6]</w:t>
      </w:r>
    </w:p>
    <w:p w:rsidR="002F38CC" w:rsidRPr="007335F2" w:rsidRDefault="002F38CC">
      <w:pPr>
        <w:spacing w:before="0" w:after="200" w:line="276" w:lineRule="auto"/>
        <w:jc w:val="left"/>
        <w:rPr>
          <w:noProof/>
        </w:rPr>
      </w:pPr>
      <w:r w:rsidRPr="007335F2">
        <w:rPr>
          <w:noProof/>
        </w:rPr>
        <w:br w:type="page"/>
      </w:r>
    </w:p>
    <w:p w:rsidR="008522C8" w:rsidRPr="007335F2" w:rsidRDefault="009104DB" w:rsidP="0046539D">
      <w:pPr>
        <w:pStyle w:val="ManualConsidrant"/>
        <w:spacing w:line="360" w:lineRule="auto"/>
        <w:ind w:left="851" w:hanging="851"/>
        <w:jc w:val="left"/>
        <w:rPr>
          <w:noProof/>
        </w:rPr>
      </w:pPr>
      <w:r w:rsidRPr="007335F2">
        <w:rPr>
          <w:noProof/>
        </w:rPr>
        <w:lastRenderedPageBreak/>
        <w:t>(5)</w:t>
      </w:r>
      <w:r w:rsidRPr="007335F2">
        <w:rPr>
          <w:noProof/>
        </w:rPr>
        <w:tab/>
        <w:t xml:space="preserve">Od orgánů členských států by se proto mělo vyžadovat, aby přijímaly elektronicky zpřístupněné informace, kdykoli jsou hospodářské subjekty povinny zpřístupnit informace na důkaz splnění požadavků stanovených v aktech Unie přijatých v souladu s částí třetí hlavou VI Smlouvy nebo – vzhledem k podobnosti situací – s právními předpisy Unie o přepravě odpadů. Totéž by mělo platit v případě, kdy vnitrostátní právní předpisy členského státu týkající se problematiky, již upravuje část třetí hlava VI Smlouvy, vyžadují poskytnutí regulačních informací zcela či zčásti shodných s informacemi, jež se mají poskytovat podle takovýchto právních předpisů Unie. </w:t>
      </w:r>
    </w:p>
    <w:p w:rsidR="00886BA6" w:rsidRPr="007335F2" w:rsidRDefault="00886BA6" w:rsidP="0046539D">
      <w:pPr>
        <w:pStyle w:val="ManualConsidrant"/>
        <w:spacing w:line="360" w:lineRule="auto"/>
        <w:ind w:left="851" w:hanging="851"/>
        <w:jc w:val="left"/>
        <w:rPr>
          <w:b/>
          <w:noProof/>
        </w:rPr>
      </w:pPr>
      <w:r w:rsidRPr="007335F2">
        <w:rPr>
          <w:b/>
          <w:i/>
        </w:rPr>
        <w:t>(5a)</w:t>
      </w:r>
      <w:r w:rsidRPr="007335F2">
        <w:rPr>
          <w:b/>
          <w:i/>
        </w:rPr>
        <w:tab/>
        <w:t>V zájmu snížení administrativní zátěže a uvolnění velmi omezené kapacity donucovacích orgánů by měly mít hospodářské subjekty povinnost poskytovat regulační informace příslušným orgánům členských států a příslušné orgány členských států by měly komunikovat s dotčenými hospodářskými subjekty elektronicky, pokud jde o poskytování regulačních informací.</w:t>
      </w:r>
      <w:r w:rsidRPr="007335F2">
        <w:rPr>
          <w:b/>
        </w:rPr>
        <w:t xml:space="preserve"> [</w:t>
      </w:r>
      <w:proofErr w:type="spellStart"/>
      <w:r w:rsidRPr="007335F2">
        <w:rPr>
          <w:b/>
        </w:rPr>
        <w:t>pozm</w:t>
      </w:r>
      <w:proofErr w:type="spellEnd"/>
      <w:r w:rsidRPr="007335F2">
        <w:rPr>
          <w:b/>
        </w:rPr>
        <w:t>. návrh 7]</w:t>
      </w:r>
    </w:p>
    <w:p w:rsidR="002F38CC" w:rsidRPr="007335F2" w:rsidRDefault="002F38CC">
      <w:pPr>
        <w:spacing w:before="0" w:after="200" w:line="276" w:lineRule="auto"/>
        <w:jc w:val="left"/>
        <w:rPr>
          <w:noProof/>
        </w:rPr>
      </w:pPr>
      <w:r w:rsidRPr="007335F2">
        <w:rPr>
          <w:noProof/>
        </w:rPr>
        <w:br w:type="page"/>
      </w:r>
    </w:p>
    <w:p w:rsidR="008522C8" w:rsidRPr="007335F2" w:rsidRDefault="009104DB" w:rsidP="0046539D">
      <w:pPr>
        <w:pStyle w:val="ManualConsidrant"/>
        <w:spacing w:line="360" w:lineRule="auto"/>
        <w:ind w:left="851" w:hanging="851"/>
        <w:jc w:val="left"/>
        <w:rPr>
          <w:b/>
          <w:noProof/>
        </w:rPr>
      </w:pPr>
      <w:r w:rsidRPr="007335F2">
        <w:rPr>
          <w:noProof/>
        </w:rPr>
        <w:lastRenderedPageBreak/>
        <w:t>(6)</w:t>
      </w:r>
      <w:r w:rsidRPr="007335F2">
        <w:rPr>
          <w:noProof/>
        </w:rPr>
        <w:tab/>
        <w:t xml:space="preserve">Jelikož je toto nařízení určeno pouze k usnadnění poskytování informací, konkrétně elektronickými prostředky, neměla by jím být dotčena ustanovení právních předpisů Unie ani vnitrostátních právních předpisů, která určují obsah regulačních informací, a zejména by nemělo ukládat žádné další požadavky na regulační informace. Jelikož je cílem tohoto nařízení umožnit splnění požadavků na regulační informace pomocí elektronických prostředků namísto dokladů v tištěné podobě, </w:t>
      </w:r>
      <w:proofErr w:type="gramStart"/>
      <w:r w:rsidRPr="007335F2">
        <w:rPr>
          <w:strike/>
          <w:noProof/>
        </w:rPr>
        <w:t>neměla</w:t>
      </w:r>
      <w:r w:rsidRPr="007335F2">
        <w:rPr>
          <w:noProof/>
        </w:rPr>
        <w:t xml:space="preserve"> </w:t>
      </w:r>
      <w:r w:rsidR="00886BA6" w:rsidRPr="007335F2">
        <w:rPr>
          <w:b/>
          <w:i/>
        </w:rPr>
        <w:t>mělo</w:t>
      </w:r>
      <w:proofErr w:type="gramEnd"/>
      <w:r w:rsidR="00886BA6" w:rsidRPr="007335F2">
        <w:rPr>
          <w:b/>
          <w:i/>
        </w:rPr>
        <w:t xml:space="preserve"> by umožnit vytvoření evropských platforem za účelem výměny a snadného sdílení informací</w:t>
      </w:r>
      <w:r w:rsidR="00886BA6" w:rsidRPr="007335F2">
        <w:t xml:space="preserve">. </w:t>
      </w:r>
      <w:r w:rsidR="00886BA6" w:rsidRPr="007335F2">
        <w:rPr>
          <w:b/>
          <w:i/>
        </w:rPr>
        <w:t xml:space="preserve">Neměla </w:t>
      </w:r>
      <w:r w:rsidRPr="007335F2">
        <w:rPr>
          <w:noProof/>
        </w:rPr>
        <w:t>by jím být jinak dotčena příslušná ustanovení Unie ohledně požadavků týkajících se dokumentů, jež se mají používat ke strukturované prezentaci dotč</w:t>
      </w:r>
      <w:r w:rsidR="00B150FF" w:rsidRPr="007335F2">
        <w:rPr>
          <w:noProof/>
        </w:rPr>
        <w:t>e</w:t>
      </w:r>
      <w:r w:rsidRPr="007335F2">
        <w:rPr>
          <w:noProof/>
        </w:rPr>
        <w:t xml:space="preserve">ných informací. Ustanovení právních předpisů Unie o přepravě odpadů, která obsahují procesní požadavky týkající se přepravy, by taktéž měla zůstat tímto nařízením nedotčena. Tímto nařízením by neměla být dotčena ani ustanovení o povinnostech podávat zprávy obsažená v nařízení </w:t>
      </w:r>
      <w:r w:rsidR="002F38CC" w:rsidRPr="007335F2">
        <w:rPr>
          <w:noProof/>
        </w:rPr>
        <w:t xml:space="preserve">Evropského parlamentu a Rady </w:t>
      </w:r>
      <w:r w:rsidRPr="007335F2">
        <w:rPr>
          <w:noProof/>
        </w:rPr>
        <w:t>(EU) č. 952/2013</w:t>
      </w:r>
      <w:r w:rsidR="002F38CC" w:rsidRPr="007335F2">
        <w:rPr>
          <w:rStyle w:val="FootnoteReference"/>
          <w:noProof/>
        </w:rPr>
        <w:footnoteReference w:id="4"/>
      </w:r>
      <w:r w:rsidRPr="007335F2">
        <w:rPr>
          <w:noProof/>
        </w:rPr>
        <w:t xml:space="preserve"> nebo v prováděcích aktech či aktech v přenesené pravomoci přijatých na jeho základě.</w:t>
      </w:r>
      <w:r w:rsidR="00886BA6" w:rsidRPr="007335F2">
        <w:rPr>
          <w:noProof/>
        </w:rPr>
        <w:t xml:space="preserve"> </w:t>
      </w:r>
      <w:r w:rsidR="00886BA6" w:rsidRPr="007335F2">
        <w:rPr>
          <w:b/>
          <w:i/>
        </w:rPr>
        <w:t>Komise by však měla posoudit, zda je třeba upravit ustanovení týkající se obsahu požadavků na regulační informace týkající se přepravy zboží na území Unie, aby se zlepšily schopnosti příslušných orgánů v oblasti prosazování práva</w:t>
      </w:r>
      <w:r w:rsidR="00886BA6" w:rsidRPr="007335F2">
        <w:rPr>
          <w:b/>
        </w:rPr>
        <w:t xml:space="preserve"> [</w:t>
      </w:r>
      <w:proofErr w:type="spellStart"/>
      <w:r w:rsidR="00886BA6" w:rsidRPr="007335F2">
        <w:rPr>
          <w:b/>
        </w:rPr>
        <w:t>pozm</w:t>
      </w:r>
      <w:proofErr w:type="spellEnd"/>
      <w:r w:rsidR="00886BA6" w:rsidRPr="007335F2">
        <w:rPr>
          <w:b/>
        </w:rPr>
        <w:t>. návrh 8]</w:t>
      </w:r>
    </w:p>
    <w:p w:rsidR="002F38CC" w:rsidRPr="007335F2" w:rsidRDefault="002F38CC">
      <w:pPr>
        <w:spacing w:before="0" w:after="200" w:line="276" w:lineRule="auto"/>
        <w:jc w:val="left"/>
        <w:rPr>
          <w:noProof/>
        </w:rPr>
      </w:pPr>
      <w:r w:rsidRPr="007335F2">
        <w:rPr>
          <w:noProof/>
        </w:rPr>
        <w:br w:type="page"/>
      </w:r>
    </w:p>
    <w:p w:rsidR="008522C8" w:rsidRPr="007335F2" w:rsidRDefault="009104DB" w:rsidP="0046539D">
      <w:pPr>
        <w:pStyle w:val="ManualConsidrant"/>
        <w:spacing w:line="360" w:lineRule="auto"/>
        <w:ind w:left="851" w:hanging="851"/>
        <w:jc w:val="left"/>
        <w:rPr>
          <w:noProof/>
        </w:rPr>
      </w:pPr>
      <w:r w:rsidRPr="007335F2">
        <w:rPr>
          <w:noProof/>
        </w:rPr>
        <w:lastRenderedPageBreak/>
        <w:t>(7)</w:t>
      </w:r>
      <w:r w:rsidRPr="007335F2">
        <w:rPr>
          <w:noProof/>
        </w:rPr>
        <w:tab/>
        <w:t xml:space="preserve">Používání elektronických prostředků pro výměnu informací v souladu s tímto nařízením by mělo být organizováno způsobem, který zajistí zabezpečení a bude respektovat důvěrnost citlivých obchodních informací. </w:t>
      </w:r>
    </w:p>
    <w:p w:rsidR="008522C8" w:rsidRPr="007335F2" w:rsidRDefault="009104DB" w:rsidP="0046539D">
      <w:pPr>
        <w:pStyle w:val="ManualConsidrant"/>
        <w:spacing w:line="360" w:lineRule="auto"/>
        <w:ind w:left="851" w:hanging="851"/>
        <w:jc w:val="left"/>
        <w:rPr>
          <w:noProof/>
          <w:szCs w:val="24"/>
        </w:rPr>
      </w:pPr>
      <w:r w:rsidRPr="007335F2">
        <w:rPr>
          <w:noProof/>
        </w:rPr>
        <w:t>(8)</w:t>
      </w:r>
      <w:r w:rsidRPr="007335F2">
        <w:rPr>
          <w:noProof/>
        </w:rPr>
        <w:tab/>
        <w:t xml:space="preserve">Aby bylo provozovatelům umožněno poskytovat příslušné informace v elektronické podobě stejným způsobem ve všech členských státech, je nezbytné se opírat o společné specifikace, které přijme Komise. Tyto specifikace by měly zajistit interoperabilitu údajů pro různé sady údajů a dílčí sady údajů týkajících se příslušných regulačních informací a určit společné postupy a podrobná pravidla pro přístup příslušných orgánů k těmto informacím a pro jejich zpracování těmito orgány. </w:t>
      </w:r>
    </w:p>
    <w:p w:rsidR="002F38CC" w:rsidRPr="007335F2" w:rsidRDefault="002F38CC">
      <w:pPr>
        <w:spacing w:before="0" w:after="200" w:line="276" w:lineRule="auto"/>
        <w:jc w:val="left"/>
        <w:rPr>
          <w:noProof/>
        </w:rPr>
      </w:pPr>
      <w:r w:rsidRPr="007335F2">
        <w:rPr>
          <w:noProof/>
        </w:rPr>
        <w:br w:type="page"/>
      </w:r>
    </w:p>
    <w:p w:rsidR="008522C8" w:rsidRPr="007335F2" w:rsidRDefault="009104DB" w:rsidP="0046539D">
      <w:pPr>
        <w:pStyle w:val="ManualConsidrant"/>
        <w:spacing w:line="360" w:lineRule="auto"/>
        <w:ind w:left="851" w:hanging="851"/>
        <w:jc w:val="left"/>
        <w:rPr>
          <w:b/>
          <w:noProof/>
          <w:szCs w:val="24"/>
        </w:rPr>
      </w:pPr>
      <w:r w:rsidRPr="007335F2">
        <w:rPr>
          <w:noProof/>
        </w:rPr>
        <w:lastRenderedPageBreak/>
        <w:t>(9)</w:t>
      </w:r>
      <w:r w:rsidRPr="007335F2">
        <w:rPr>
          <w:noProof/>
        </w:rPr>
        <w:tab/>
        <w:t xml:space="preserve">Při definování těchto specifikací by se mělo náležitě přihlížet k příslušným specifikacím výměny údajů stanoveným v příslušném právu Unie a v příslušných evropských a mezinárodních normách pro multimodální výměnu údajů, </w:t>
      </w:r>
      <w:r w:rsidR="00886BA6" w:rsidRPr="007335F2">
        <w:rPr>
          <w:b/>
          <w:i/>
        </w:rPr>
        <w:t>včetně ustanovení GDPR</w:t>
      </w:r>
      <w:r w:rsidR="00886BA6" w:rsidRPr="007335F2">
        <w:t>.</w:t>
      </w:r>
      <w:r w:rsidR="00886BA6" w:rsidRPr="007335F2">
        <w:rPr>
          <w:b/>
          <w:i/>
        </w:rPr>
        <w:t xml:space="preserve"> Mělo by se také přihlížet k investicím hospodářských subjektů, a tedy i k již existujícím datovým modelům, </w:t>
      </w:r>
      <w:r w:rsidRPr="007335F2">
        <w:rPr>
          <w:noProof/>
        </w:rPr>
        <w:t>jakož i k zásadám a doporučením stanoveným v Evropském rámci interoperability</w:t>
      </w:r>
      <w:r w:rsidRPr="007335F2">
        <w:rPr>
          <w:rStyle w:val="FootnoteReference"/>
          <w:noProof/>
        </w:rPr>
        <w:footnoteReference w:id="5"/>
      </w:r>
      <w:r w:rsidRPr="007335F2">
        <w:rPr>
          <w:noProof/>
        </w:rPr>
        <w:t xml:space="preserve">, který zajišťuje přístup k poskytování evropských digitálních veřejných služeb, na nichž se členské státy společně dohodly. </w:t>
      </w:r>
      <w:r w:rsidR="00886BA6" w:rsidRPr="007335F2">
        <w:rPr>
          <w:b/>
          <w:i/>
        </w:rPr>
        <w:t xml:space="preserve">Pro vývoj a přípravu těchto specifikací je navíc důležité řádné zapojení všech příslušných zúčastněných stran. </w:t>
      </w:r>
      <w:r w:rsidRPr="007335F2">
        <w:rPr>
          <w:noProof/>
        </w:rPr>
        <w:t>Měla by být rovněž věnována dostatečná pozornost tomu, aby tyto specifikace zůstaly technologicky neutrální a otevřené inovativním technologiím.</w:t>
      </w:r>
      <w:r w:rsidR="00886BA6" w:rsidRPr="007335F2">
        <w:rPr>
          <w:b/>
          <w:noProof/>
        </w:rPr>
        <w:t xml:space="preserve"> [pozm. návrh 9]</w:t>
      </w:r>
    </w:p>
    <w:p w:rsidR="008522C8" w:rsidRPr="007335F2" w:rsidRDefault="009104DB" w:rsidP="0046539D">
      <w:pPr>
        <w:pStyle w:val="ManualConsidrant"/>
        <w:spacing w:line="360" w:lineRule="auto"/>
        <w:ind w:left="851" w:hanging="851"/>
        <w:jc w:val="left"/>
        <w:rPr>
          <w:noProof/>
        </w:rPr>
      </w:pPr>
      <w:r w:rsidRPr="007335F2">
        <w:rPr>
          <w:noProof/>
        </w:rPr>
        <w:t>(10)</w:t>
      </w:r>
      <w:r w:rsidRPr="007335F2">
        <w:rPr>
          <w:noProof/>
        </w:rPr>
        <w:tab/>
        <w:t xml:space="preserve">Toto nařízení by mělo stanovit funkční požadavky vztahující se na platformy založené na informačních a komunikačních technologiích, které by hospodářské subjekty mohly používat ke zpřístupnění regulačních informací o nákladní dopravě v elektronickém formátu (eFTI) příslušným orgánům (platformy eFTI). Měly by být rovněž stanoveny podmínky pro třetí strany – poskytovatele služeb platforem eFTI (poskytovatele služeb eFTI). </w:t>
      </w:r>
    </w:p>
    <w:p w:rsidR="002F38CC" w:rsidRPr="007335F2" w:rsidRDefault="002F38CC">
      <w:pPr>
        <w:spacing w:before="0" w:after="200" w:line="276" w:lineRule="auto"/>
        <w:jc w:val="left"/>
        <w:rPr>
          <w:noProof/>
        </w:rPr>
      </w:pPr>
      <w:r w:rsidRPr="007335F2">
        <w:rPr>
          <w:noProof/>
        </w:rPr>
        <w:br w:type="page"/>
      </w:r>
    </w:p>
    <w:p w:rsidR="008522C8" w:rsidRPr="007335F2" w:rsidRDefault="009104DB" w:rsidP="0046539D">
      <w:pPr>
        <w:pStyle w:val="ManualConsidrant"/>
        <w:spacing w:line="360" w:lineRule="auto"/>
        <w:ind w:left="851" w:hanging="851"/>
        <w:jc w:val="left"/>
        <w:rPr>
          <w:b/>
          <w:noProof/>
        </w:rPr>
      </w:pPr>
      <w:r w:rsidRPr="007335F2">
        <w:rPr>
          <w:noProof/>
        </w:rPr>
        <w:lastRenderedPageBreak/>
        <w:t>(11)</w:t>
      </w:r>
      <w:r w:rsidRPr="007335F2">
        <w:rPr>
          <w:noProof/>
        </w:rPr>
        <w:tab/>
        <w:t>Aby se vytvořila důvěra orgánů členských států i hospodářských subjektů, pokud jde o soulad platforem eFTI a poskytovatelů služeb eFTI s těmito požadavky, příslušné orgány členských států by měly zavést certifikační systém podložený akreditací v souladu s nařízením Evropského parlamentu a Rady (ES) č. 765/2008</w:t>
      </w:r>
      <w:r w:rsidRPr="007335F2">
        <w:rPr>
          <w:rStyle w:val="FootnoteReference"/>
          <w:noProof/>
        </w:rPr>
        <w:footnoteReference w:id="6"/>
      </w:r>
      <w:r w:rsidRPr="007335F2">
        <w:rPr>
          <w:noProof/>
        </w:rPr>
        <w:t>.</w:t>
      </w:r>
      <w:r w:rsidR="00886BA6" w:rsidRPr="007335F2">
        <w:rPr>
          <w:noProof/>
        </w:rPr>
        <w:t xml:space="preserve"> </w:t>
      </w:r>
      <w:r w:rsidR="00886BA6" w:rsidRPr="007335F2">
        <w:rPr>
          <w:b/>
          <w:i/>
        </w:rPr>
        <w:t xml:space="preserve">Vzhledem k poměrně dlouhému prováděcímu období by Komise měla posoudit, zda by technologie, jako např. technologie </w:t>
      </w:r>
      <w:proofErr w:type="spellStart"/>
      <w:r w:rsidR="00886BA6" w:rsidRPr="007335F2">
        <w:rPr>
          <w:b/>
          <w:i/>
        </w:rPr>
        <w:t>blockchain</w:t>
      </w:r>
      <w:proofErr w:type="spellEnd"/>
      <w:r w:rsidR="00886BA6" w:rsidRPr="007335F2">
        <w:rPr>
          <w:b/>
          <w:i/>
        </w:rPr>
        <w:t>, mohly zaručit podobný výsledek jako systém certifikace a zároveň podstatně snížit náklady hospodářských subjektů a členských států.</w:t>
      </w:r>
      <w:r w:rsidR="00886BA6" w:rsidRPr="007335F2">
        <w:rPr>
          <w:b/>
        </w:rPr>
        <w:t xml:space="preserve"> [</w:t>
      </w:r>
      <w:proofErr w:type="spellStart"/>
      <w:r w:rsidR="00886BA6" w:rsidRPr="007335F2">
        <w:rPr>
          <w:b/>
        </w:rPr>
        <w:t>pozm</w:t>
      </w:r>
      <w:proofErr w:type="spellEnd"/>
      <w:r w:rsidR="00886BA6" w:rsidRPr="007335F2">
        <w:rPr>
          <w:b/>
        </w:rPr>
        <w:t>. návrh 10]</w:t>
      </w:r>
    </w:p>
    <w:p w:rsidR="008522C8" w:rsidRPr="007335F2" w:rsidRDefault="009104DB" w:rsidP="0046539D">
      <w:pPr>
        <w:pStyle w:val="ManualConsidrant"/>
        <w:spacing w:line="360" w:lineRule="auto"/>
        <w:ind w:left="851" w:hanging="851"/>
        <w:jc w:val="left"/>
        <w:rPr>
          <w:b/>
          <w:noProof/>
          <w:szCs w:val="24"/>
        </w:rPr>
      </w:pPr>
      <w:r w:rsidRPr="007335F2">
        <w:rPr>
          <w:strike/>
          <w:noProof/>
        </w:rPr>
        <w:t>(12)</w:t>
      </w:r>
      <w:r w:rsidRPr="007335F2">
        <w:rPr>
          <w:strike/>
          <w:noProof/>
        </w:rPr>
        <w:tab/>
        <w:t>Za účelem zajištění jednotných podmínek pro uplatňování povinnosti přijímat regulační informace zpřístupněné v elektronickém formátu podle tohoto nařízení by měly být Komisi svěřeny prováděcí pravomoci. Tyto pravomoci by měly být vykonávány v souladu s nařízením Evropského parlamentu a Rady (EU) č. 182/2011</w:t>
      </w:r>
      <w:r w:rsidRPr="007335F2">
        <w:rPr>
          <w:rStyle w:val="FootnoteReference"/>
          <w:strike/>
          <w:noProof/>
        </w:rPr>
        <w:footnoteReference w:id="7"/>
      </w:r>
      <w:r w:rsidRPr="007335F2">
        <w:rPr>
          <w:noProof/>
        </w:rPr>
        <w:t>.</w:t>
      </w:r>
      <w:r w:rsidR="00886BA6" w:rsidRPr="007335F2">
        <w:rPr>
          <w:b/>
          <w:noProof/>
        </w:rPr>
        <w:t xml:space="preserve"> [pozm. návrh 11]</w:t>
      </w:r>
    </w:p>
    <w:p w:rsidR="002F38CC" w:rsidRPr="007335F2" w:rsidRDefault="002F38CC">
      <w:pPr>
        <w:spacing w:before="0" w:after="200" w:line="276" w:lineRule="auto"/>
        <w:jc w:val="left"/>
        <w:rPr>
          <w:strike/>
          <w:noProof/>
        </w:rPr>
      </w:pPr>
      <w:r w:rsidRPr="007335F2">
        <w:rPr>
          <w:strike/>
          <w:noProof/>
        </w:rPr>
        <w:br w:type="page"/>
      </w:r>
    </w:p>
    <w:p w:rsidR="008522C8" w:rsidRPr="007335F2" w:rsidRDefault="009104DB" w:rsidP="0046539D">
      <w:pPr>
        <w:pStyle w:val="ManualConsidrant"/>
        <w:spacing w:line="360" w:lineRule="auto"/>
        <w:ind w:left="851" w:hanging="851"/>
        <w:jc w:val="left"/>
        <w:rPr>
          <w:noProof/>
        </w:rPr>
      </w:pPr>
      <w:r w:rsidRPr="007335F2">
        <w:rPr>
          <w:strike/>
          <w:noProof/>
        </w:rPr>
        <w:lastRenderedPageBreak/>
        <w:t>(13)</w:t>
      </w:r>
      <w:r w:rsidRPr="007335F2">
        <w:rPr>
          <w:strike/>
          <w:noProof/>
        </w:rPr>
        <w:tab/>
        <w:t>Prováděcí pravomoci by měly být Komisi svěřeny zejména proto, aby stanovila společnou sadu a dílčí sady údajů v souvislosti s příslušnými požadavky na regulační informace, na něž se vztahuje toto nařízení, jakož i společné postupy a podrobná pravidla pro příslušné orgány ohledně přístupu k informacím a jejich zpracování, když dotčené hospodářské subjekty zpřístupní tyto informace elektronicky, a to včetně podrobných pravidel a technických specifikací.</w:t>
      </w:r>
      <w:r w:rsidR="00886BA6" w:rsidRPr="007335F2">
        <w:rPr>
          <w:b/>
          <w:noProof/>
        </w:rPr>
        <w:t xml:space="preserve"> [pozm. návrh 12]</w:t>
      </w:r>
    </w:p>
    <w:p w:rsidR="008522C8" w:rsidRPr="007335F2" w:rsidRDefault="009104DB" w:rsidP="0046539D">
      <w:pPr>
        <w:pStyle w:val="ManualConsidrant"/>
        <w:spacing w:line="360" w:lineRule="auto"/>
        <w:ind w:left="851" w:hanging="851"/>
        <w:jc w:val="left"/>
        <w:rPr>
          <w:noProof/>
        </w:rPr>
      </w:pPr>
      <w:r w:rsidRPr="007335F2">
        <w:rPr>
          <w:strike/>
          <w:noProof/>
        </w:rPr>
        <w:t>(14)</w:t>
      </w:r>
      <w:r w:rsidRPr="007335F2">
        <w:rPr>
          <w:strike/>
          <w:noProof/>
        </w:rPr>
        <w:tab/>
        <w:t>Komisi by rovněž měly být svěřeny prováděcí pravomoci, aby stanovila podrobná pravidla pro uplatňování požadavků vztahujících se na platformy eFTI a poskytovatele služeb eFTI.</w:t>
      </w:r>
      <w:r w:rsidR="00650054" w:rsidRPr="007335F2">
        <w:rPr>
          <w:b/>
          <w:noProof/>
        </w:rPr>
        <w:t xml:space="preserve"> [pozm. návrh 13]</w:t>
      </w:r>
    </w:p>
    <w:p w:rsidR="008522C8" w:rsidRPr="007335F2" w:rsidRDefault="009104DB" w:rsidP="0046539D">
      <w:pPr>
        <w:pStyle w:val="ManualConsidrant"/>
        <w:spacing w:line="360" w:lineRule="auto"/>
        <w:ind w:left="851" w:hanging="851"/>
        <w:jc w:val="left"/>
        <w:rPr>
          <w:noProof/>
        </w:rPr>
      </w:pPr>
      <w:r w:rsidRPr="007335F2">
        <w:rPr>
          <w:noProof/>
        </w:rPr>
        <w:t>(15)</w:t>
      </w:r>
      <w:r w:rsidRPr="007335F2">
        <w:rPr>
          <w:noProof/>
        </w:rPr>
        <w:tab/>
        <w:t xml:space="preserve">Za účelem zajištění řádného uplatňování tohoto nařízení by na Komisi měla být přenesena pravomoc přijímat akty v souladu s článkem 290 Smlouvy o fungování Evropské unie, aby mohla: </w:t>
      </w:r>
    </w:p>
    <w:p w:rsidR="008522C8" w:rsidRPr="007335F2" w:rsidRDefault="009104DB" w:rsidP="0046539D">
      <w:pPr>
        <w:pStyle w:val="Text1"/>
        <w:spacing w:line="360" w:lineRule="auto"/>
        <w:ind w:left="1418" w:hanging="567"/>
        <w:jc w:val="left"/>
        <w:rPr>
          <w:noProof/>
        </w:rPr>
      </w:pPr>
      <w:r w:rsidRPr="007335F2">
        <w:rPr>
          <w:noProof/>
        </w:rPr>
        <w:t>–</w:t>
      </w:r>
      <w:r w:rsidRPr="007335F2">
        <w:rPr>
          <w:noProof/>
        </w:rPr>
        <w:tab/>
        <w:t>měnit přílohu I část B za účelem začlenění seznamů požadavků na regulační informace obsažených v právních předpisech členských států oznámených Komisi členskými státy v souladu s tímto nařízením;</w:t>
      </w:r>
    </w:p>
    <w:p w:rsidR="002F38CC" w:rsidRPr="007335F2" w:rsidRDefault="002F38CC">
      <w:pPr>
        <w:spacing w:before="0" w:after="200" w:line="276" w:lineRule="auto"/>
        <w:jc w:val="left"/>
        <w:rPr>
          <w:noProof/>
        </w:rPr>
      </w:pPr>
      <w:r w:rsidRPr="007335F2">
        <w:rPr>
          <w:noProof/>
        </w:rPr>
        <w:br w:type="page"/>
      </w:r>
    </w:p>
    <w:p w:rsidR="008522C8" w:rsidRPr="007335F2" w:rsidRDefault="009104DB" w:rsidP="0046539D">
      <w:pPr>
        <w:pStyle w:val="Text1"/>
        <w:spacing w:line="360" w:lineRule="auto"/>
        <w:ind w:left="1418" w:hanging="567"/>
        <w:jc w:val="left"/>
        <w:rPr>
          <w:noProof/>
        </w:rPr>
      </w:pPr>
      <w:r w:rsidRPr="007335F2">
        <w:rPr>
          <w:noProof/>
        </w:rPr>
        <w:lastRenderedPageBreak/>
        <w:t>–</w:t>
      </w:r>
      <w:r w:rsidRPr="007335F2">
        <w:rPr>
          <w:noProof/>
        </w:rPr>
        <w:tab/>
        <w:t>měnit přílohu I část A s cílem zohlednit veškeré akty v přenesené pravomoci nebo prováděcí akty přijaté Komisí, které stanoví nové požadavky Unie na regulační informace v souvislosti s přepravou zboží;</w:t>
      </w:r>
    </w:p>
    <w:p w:rsidR="008522C8" w:rsidRPr="007335F2" w:rsidRDefault="009104DB" w:rsidP="0046539D">
      <w:pPr>
        <w:pStyle w:val="Text1"/>
        <w:spacing w:line="360" w:lineRule="auto"/>
        <w:ind w:left="1418" w:hanging="567"/>
        <w:jc w:val="left"/>
        <w:rPr>
          <w:noProof/>
        </w:rPr>
      </w:pPr>
      <w:r w:rsidRPr="007335F2">
        <w:rPr>
          <w:noProof/>
        </w:rPr>
        <w:t>–</w:t>
      </w:r>
      <w:r w:rsidRPr="007335F2">
        <w:rPr>
          <w:noProof/>
        </w:rPr>
        <w:tab/>
        <w:t>měnit přílohu I část B za účelem začlenění veškerých nových ustanovení příslušných vnitrostátních právních předpisů, která zavádějí změny vnitrostátních požadavků na regulační informace nebo stanoví nové příslušné požadavky na regulační informace spadající do oblasti působnosti tohoto nařízení, oznámených Komisi členskými státy v souladu s tímto nařízením;</w:t>
      </w:r>
    </w:p>
    <w:p w:rsidR="00650054" w:rsidRPr="007335F2" w:rsidRDefault="009104DB" w:rsidP="0046539D">
      <w:pPr>
        <w:pStyle w:val="Text1"/>
        <w:spacing w:line="360" w:lineRule="auto"/>
        <w:ind w:left="1418" w:hanging="567"/>
        <w:jc w:val="left"/>
        <w:rPr>
          <w:noProof/>
        </w:rPr>
      </w:pPr>
      <w:r w:rsidRPr="007335F2">
        <w:rPr>
          <w:noProof/>
        </w:rPr>
        <w:t>–</w:t>
      </w:r>
      <w:r w:rsidRPr="007335F2">
        <w:rPr>
          <w:noProof/>
        </w:rPr>
        <w:tab/>
        <w:t>doplnit určité technické aspekty tohoto nařízení, zejména pokud jde o pravidla pro certifikaci platforem eFTI a poskytovatelů služeb eFTI</w:t>
      </w:r>
      <w:r w:rsidR="00650054" w:rsidRPr="007335F2">
        <w:rPr>
          <w:noProof/>
        </w:rPr>
        <w:t>;</w:t>
      </w:r>
    </w:p>
    <w:p w:rsidR="008522C8" w:rsidRPr="007335F2" w:rsidRDefault="00650054" w:rsidP="0046539D">
      <w:pPr>
        <w:pStyle w:val="Text1"/>
        <w:spacing w:line="360" w:lineRule="auto"/>
        <w:ind w:left="1418" w:hanging="567"/>
        <w:jc w:val="left"/>
        <w:rPr>
          <w:b/>
          <w:noProof/>
        </w:rPr>
      </w:pPr>
      <w:r w:rsidRPr="007335F2">
        <w:rPr>
          <w:noProof/>
        </w:rPr>
        <w:t>–</w:t>
      </w:r>
      <w:r w:rsidRPr="007335F2">
        <w:rPr>
          <w:noProof/>
        </w:rPr>
        <w:tab/>
      </w:r>
      <w:r w:rsidRPr="007335F2">
        <w:rPr>
          <w:b/>
          <w:i/>
          <w:noProof/>
        </w:rPr>
        <w:t>stanovit společné postupy, technické specifikace a podrobná pravidla pro příslušné orgány ohledně přístupu k požadavkům na informace a jejich zpracování, na které se vztahuje toto nařízení, i podrobná pravidla pro uplatňování požadavků vztahujících se na platformy eFTI a poskytovatele služeb eFTI.</w:t>
      </w:r>
      <w:r w:rsidRPr="007335F2">
        <w:rPr>
          <w:b/>
          <w:noProof/>
        </w:rPr>
        <w:t xml:space="preserve"> [pozm. návrh 14]</w:t>
      </w:r>
    </w:p>
    <w:p w:rsidR="002F38CC" w:rsidRPr="007335F2" w:rsidRDefault="002F38CC">
      <w:pPr>
        <w:spacing w:before="0" w:after="200" w:line="276" w:lineRule="auto"/>
        <w:jc w:val="left"/>
        <w:rPr>
          <w:noProof/>
        </w:rPr>
      </w:pPr>
      <w:r w:rsidRPr="007335F2">
        <w:rPr>
          <w:noProof/>
        </w:rPr>
        <w:br w:type="page"/>
      </w:r>
    </w:p>
    <w:p w:rsidR="008522C8" w:rsidRPr="007335F2" w:rsidRDefault="009104DB" w:rsidP="0046539D">
      <w:pPr>
        <w:pStyle w:val="ManualConsidrant"/>
        <w:spacing w:line="360" w:lineRule="auto"/>
        <w:ind w:left="851" w:hanging="851"/>
        <w:jc w:val="left"/>
        <w:rPr>
          <w:noProof/>
        </w:rPr>
      </w:pPr>
      <w:r w:rsidRPr="007335F2">
        <w:rPr>
          <w:noProof/>
        </w:rPr>
        <w:lastRenderedPageBreak/>
        <w:t>(16)</w:t>
      </w:r>
      <w:r w:rsidRPr="007335F2">
        <w:rPr>
          <w:noProof/>
        </w:rPr>
        <w:tab/>
        <w:t>Je obzvláště důležité, aby Komise v rámci přípravné činnosti vedla odpovídající konzultace, a to i na odborné úrovni, a aby tyto konzultace probíhaly v souladu se zásadami stanovenými v interinstitucionální dohodě o zdokonalení tvorby právních předpisů ze dne 13. dubna 2016</w:t>
      </w:r>
      <w:r w:rsidRPr="007335F2">
        <w:rPr>
          <w:rStyle w:val="FootnoteReference"/>
          <w:noProof/>
        </w:rPr>
        <w:footnoteReference w:id="8"/>
      </w:r>
      <w:r w:rsidRPr="007335F2">
        <w:rPr>
          <w:noProof/>
        </w:rPr>
        <w:t>. Pro zajištění rovné účasti na vypracovávání aktů v přenesené pravomoci obdrží Evropský parlament a Rada veškeré dokumenty současně s odborníky z členských států, přičemž jejich odborníci mají automaticky přístup na jednání skupin odborníků Komise, jež se věnují přípravě aktů v přenesené pravomoci.</w:t>
      </w:r>
    </w:p>
    <w:p w:rsidR="008522C8" w:rsidRPr="007335F2" w:rsidRDefault="009104DB" w:rsidP="0046539D">
      <w:pPr>
        <w:pStyle w:val="ManualConsidrant"/>
        <w:spacing w:line="360" w:lineRule="auto"/>
        <w:ind w:left="851" w:hanging="851"/>
        <w:jc w:val="left"/>
        <w:rPr>
          <w:noProof/>
        </w:rPr>
      </w:pPr>
      <w:r w:rsidRPr="007335F2">
        <w:rPr>
          <w:noProof/>
        </w:rPr>
        <w:t>(17)</w:t>
      </w:r>
      <w:r w:rsidRPr="007335F2">
        <w:rPr>
          <w:noProof/>
        </w:rPr>
        <w:tab/>
        <w:t>Jelikož cílů tohoto nařízení, totiž zajištění jednotného přístupu orgánů členských států k přijímání informací o nákladní dopravě zpřístupněných elektronicky, nemůže být dosaženo uspokojivě členskými státy, ale spíše jich vzhledem k potřebě stanovit společné požadavky může být lépe dosaženo na úrovni Unie, může Unie přijmout opatření v souladu se zásadou subsidiarity stanovenou v článku 5 Smlouvy o Evropské unii. V souladu se zásadou proporcionality, jak je stanovena v uvedeném článku, nepřekračuje toto nařízení rámec toho, co je nezbytné k dosažení těchto cílů.</w:t>
      </w:r>
    </w:p>
    <w:p w:rsidR="002F38CC" w:rsidRPr="007335F2" w:rsidRDefault="002F38CC">
      <w:pPr>
        <w:spacing w:before="0" w:after="200" w:line="276" w:lineRule="auto"/>
        <w:jc w:val="left"/>
        <w:rPr>
          <w:noProof/>
        </w:rPr>
      </w:pPr>
      <w:r w:rsidRPr="007335F2">
        <w:rPr>
          <w:noProof/>
        </w:rPr>
        <w:br w:type="page"/>
      </w:r>
    </w:p>
    <w:p w:rsidR="008522C8" w:rsidRPr="007335F2" w:rsidRDefault="009104DB" w:rsidP="0046539D">
      <w:pPr>
        <w:pStyle w:val="ManualConsidrant"/>
        <w:spacing w:line="360" w:lineRule="auto"/>
        <w:ind w:left="851" w:hanging="851"/>
        <w:jc w:val="left"/>
        <w:rPr>
          <w:noProof/>
        </w:rPr>
      </w:pPr>
      <w:r w:rsidRPr="007335F2">
        <w:rPr>
          <w:noProof/>
        </w:rPr>
        <w:lastRenderedPageBreak/>
        <w:t>(18)</w:t>
      </w:r>
      <w:r w:rsidRPr="007335F2">
        <w:rPr>
          <w:noProof/>
        </w:rPr>
        <w:tab/>
        <w:t>Zpracování osobních údajů elektronickými prostředky vyžadované jako součást regulačních informací o nákladní dopravě by mělo být prováděno v souladu s nařízením Evropského parlamentu a Rady (EU) 2016/679</w:t>
      </w:r>
      <w:r w:rsidRPr="007335F2">
        <w:rPr>
          <w:rStyle w:val="FootnoteReference"/>
          <w:noProof/>
        </w:rPr>
        <w:footnoteReference w:id="9"/>
      </w:r>
      <w:r w:rsidRPr="007335F2">
        <w:rPr>
          <w:noProof/>
        </w:rPr>
        <w:t>.</w:t>
      </w:r>
    </w:p>
    <w:p w:rsidR="008522C8" w:rsidRPr="007335F2" w:rsidRDefault="009104DB" w:rsidP="0046539D">
      <w:pPr>
        <w:pStyle w:val="ManualConsidrant"/>
        <w:spacing w:line="360" w:lineRule="auto"/>
        <w:ind w:left="851" w:hanging="851"/>
        <w:jc w:val="left"/>
        <w:rPr>
          <w:noProof/>
        </w:rPr>
      </w:pPr>
      <w:r w:rsidRPr="007335F2">
        <w:rPr>
          <w:noProof/>
        </w:rPr>
        <w:t>(19)</w:t>
      </w:r>
      <w:r w:rsidRPr="007335F2">
        <w:rPr>
          <w:noProof/>
        </w:rPr>
        <w:tab/>
        <w:t xml:space="preserve">Komise by měla provést hodnocení tohoto nařízení. Měly by být shromážděny informace za účelem získání podkladů pro toto hodnocení a posouzení toho, zda právní předpisy směřují k cílům, které sledují. </w:t>
      </w:r>
    </w:p>
    <w:p w:rsidR="008522C8" w:rsidRPr="007335F2" w:rsidRDefault="009104DB" w:rsidP="0046539D">
      <w:pPr>
        <w:pStyle w:val="ManualConsidrant"/>
        <w:spacing w:line="360" w:lineRule="auto"/>
        <w:ind w:left="851" w:hanging="851"/>
        <w:jc w:val="left"/>
        <w:rPr>
          <w:noProof/>
        </w:rPr>
      </w:pPr>
      <w:r w:rsidRPr="007335F2">
        <w:rPr>
          <w:noProof/>
        </w:rPr>
        <w:t>(20)</w:t>
      </w:r>
      <w:r w:rsidRPr="007335F2">
        <w:rPr>
          <w:noProof/>
        </w:rPr>
        <w:tab/>
        <w:t xml:space="preserve">Toto nařízení nelze účinně uplatňovat dříve, než vstoupí v platnost akty v přenesené pravomoci a prováděcí akty v něm stanovené. Proto by se toto nařízení mělo stát použitelným s účinností od </w:t>
      </w:r>
      <w:r w:rsidR="002F38CC" w:rsidRPr="007335F2">
        <w:rPr>
          <w:noProof/>
        </w:rPr>
        <w:t xml:space="preserve">... </w:t>
      </w:r>
      <w:r w:rsidRPr="007335F2">
        <w:rPr>
          <w:noProof/>
        </w:rPr>
        <w:t xml:space="preserve">[vložte prosím datum], aby byl Komisi poskytnut čas na přijetí těchto aktů. </w:t>
      </w:r>
    </w:p>
    <w:p w:rsidR="006024A9" w:rsidRPr="007335F2" w:rsidRDefault="006024A9" w:rsidP="0046539D">
      <w:pPr>
        <w:pStyle w:val="ManualConsidrant"/>
        <w:spacing w:line="360" w:lineRule="auto"/>
        <w:ind w:left="851" w:hanging="851"/>
        <w:jc w:val="left"/>
        <w:rPr>
          <w:b/>
          <w:noProof/>
        </w:rPr>
      </w:pPr>
      <w:r w:rsidRPr="007335F2">
        <w:rPr>
          <w:b/>
          <w:i/>
        </w:rPr>
        <w:t>(20a)</w:t>
      </w:r>
      <w:r w:rsidRPr="007335F2">
        <w:rPr>
          <w:b/>
          <w:i/>
        </w:rPr>
        <w:tab/>
        <w:t>Komise by měla neprodleně přistoupit k vypracování potřebných aktů v přenesené pravomoci, aby se předešlo dalšímu zpoždění a aby bylo zajištěno, že hospodářské subjekty a členské státy budou mít dostatek času na přípravu.</w:t>
      </w:r>
      <w:r w:rsidRPr="007335F2">
        <w:rPr>
          <w:b/>
        </w:rPr>
        <w:t xml:space="preserve"> [</w:t>
      </w:r>
      <w:proofErr w:type="spellStart"/>
      <w:r w:rsidRPr="007335F2">
        <w:rPr>
          <w:b/>
        </w:rPr>
        <w:t>pozm</w:t>
      </w:r>
      <w:proofErr w:type="spellEnd"/>
      <w:r w:rsidRPr="007335F2">
        <w:rPr>
          <w:b/>
        </w:rPr>
        <w:t>. návrh 15]</w:t>
      </w:r>
    </w:p>
    <w:p w:rsidR="008522C8" w:rsidRPr="007335F2" w:rsidRDefault="009104DB" w:rsidP="0046539D">
      <w:pPr>
        <w:pStyle w:val="ManualConsidrant"/>
        <w:spacing w:line="360" w:lineRule="auto"/>
        <w:ind w:left="851" w:hanging="851"/>
        <w:jc w:val="left"/>
        <w:rPr>
          <w:noProof/>
        </w:rPr>
      </w:pPr>
      <w:r w:rsidRPr="007335F2">
        <w:rPr>
          <w:noProof/>
        </w:rPr>
        <w:t>(21)</w:t>
      </w:r>
      <w:r w:rsidRPr="007335F2">
        <w:rPr>
          <w:noProof/>
        </w:rPr>
        <w:tab/>
        <w:t>Evropský inspektor ochrany údajů byl konzultován v souladu s čl. 28 odst. 2 nařízení Evropského parlamentu a Rady (ES) č. 45/2001</w:t>
      </w:r>
      <w:r w:rsidRPr="007335F2">
        <w:rPr>
          <w:rStyle w:val="FootnoteReference"/>
          <w:noProof/>
        </w:rPr>
        <w:footnoteReference w:id="10"/>
      </w:r>
      <w:r w:rsidRPr="007335F2">
        <w:rPr>
          <w:noProof/>
        </w:rPr>
        <w:t xml:space="preserve"> a vydal stanovisko dne </w:t>
      </w:r>
      <w:r w:rsidR="002F38CC" w:rsidRPr="007335F2">
        <w:rPr>
          <w:noProof/>
        </w:rPr>
        <w:t>... [vložte</w:t>
      </w:r>
      <w:r w:rsidR="0051507A" w:rsidRPr="007335F2">
        <w:rPr>
          <w:noProof/>
        </w:rPr>
        <w:t>,</w:t>
      </w:r>
      <w:r w:rsidR="002F38CC" w:rsidRPr="007335F2">
        <w:rPr>
          <w:noProof/>
        </w:rPr>
        <w:t xml:space="preserve"> prosím</w:t>
      </w:r>
      <w:r w:rsidR="0051507A" w:rsidRPr="007335F2">
        <w:rPr>
          <w:noProof/>
        </w:rPr>
        <w:t>,</w:t>
      </w:r>
      <w:r w:rsidR="002F38CC" w:rsidRPr="007335F2">
        <w:rPr>
          <w:noProof/>
        </w:rPr>
        <w:t xml:space="preserve"> datum]</w:t>
      </w:r>
      <w:r w:rsidRPr="007335F2">
        <w:rPr>
          <w:rStyle w:val="FootnoteReference"/>
          <w:noProof/>
        </w:rPr>
        <w:footnoteReference w:id="11"/>
      </w:r>
      <w:r w:rsidRPr="007335F2">
        <w:rPr>
          <w:noProof/>
        </w:rPr>
        <w:t>,</w:t>
      </w:r>
    </w:p>
    <w:p w:rsidR="002F38CC" w:rsidRPr="007335F2" w:rsidRDefault="002F38CC">
      <w:pPr>
        <w:spacing w:before="0" w:after="200" w:line="276" w:lineRule="auto"/>
        <w:jc w:val="left"/>
        <w:rPr>
          <w:noProof/>
        </w:rPr>
      </w:pPr>
      <w:r w:rsidRPr="007335F2">
        <w:rPr>
          <w:noProof/>
        </w:rPr>
        <w:br w:type="page"/>
      </w:r>
    </w:p>
    <w:p w:rsidR="008522C8" w:rsidRPr="007335F2" w:rsidRDefault="009104DB" w:rsidP="0046539D">
      <w:pPr>
        <w:pStyle w:val="Formuledadoption"/>
        <w:spacing w:line="360" w:lineRule="auto"/>
        <w:jc w:val="left"/>
        <w:rPr>
          <w:noProof/>
        </w:rPr>
      </w:pPr>
      <w:r w:rsidRPr="007335F2">
        <w:rPr>
          <w:noProof/>
        </w:rPr>
        <w:lastRenderedPageBreak/>
        <w:t>PŘIJALY TOTO NAŘÍZENÍ:</w:t>
      </w:r>
    </w:p>
    <w:p w:rsidR="002F38CC" w:rsidRPr="007335F2" w:rsidRDefault="002F38CC">
      <w:pPr>
        <w:spacing w:before="0" w:after="200" w:line="276" w:lineRule="auto"/>
        <w:jc w:val="left"/>
        <w:rPr>
          <w:smallCaps/>
          <w:noProof/>
          <w:szCs w:val="24"/>
        </w:rPr>
      </w:pPr>
      <w:r w:rsidRPr="007335F2">
        <w:rPr>
          <w:b/>
          <w:noProof/>
          <w:szCs w:val="24"/>
        </w:rPr>
        <w:br w:type="page"/>
      </w:r>
    </w:p>
    <w:p w:rsidR="008522C8" w:rsidRPr="007335F2" w:rsidRDefault="0046539D" w:rsidP="0046539D">
      <w:pPr>
        <w:pStyle w:val="SectionTitle"/>
        <w:spacing w:after="120" w:line="360" w:lineRule="auto"/>
        <w:rPr>
          <w:b w:val="0"/>
          <w:noProof/>
          <w:sz w:val="24"/>
          <w:szCs w:val="24"/>
        </w:rPr>
      </w:pPr>
      <w:r w:rsidRPr="007335F2">
        <w:rPr>
          <w:b w:val="0"/>
          <w:noProof/>
          <w:sz w:val="24"/>
          <w:szCs w:val="24"/>
        </w:rPr>
        <w:lastRenderedPageBreak/>
        <w:t>KAPITOLA I</w:t>
      </w:r>
      <w:r w:rsidR="009104DB" w:rsidRPr="007335F2">
        <w:rPr>
          <w:b w:val="0"/>
          <w:noProof/>
          <w:sz w:val="24"/>
          <w:szCs w:val="24"/>
        </w:rPr>
        <w:br/>
        <w:t>OBECNÁ USTANOVENÍ</w:t>
      </w:r>
    </w:p>
    <w:p w:rsidR="008522C8" w:rsidRPr="007335F2" w:rsidRDefault="009104DB" w:rsidP="0046539D">
      <w:pPr>
        <w:pStyle w:val="Titrearticle"/>
        <w:spacing w:before="120" w:line="360" w:lineRule="auto"/>
        <w:rPr>
          <w:i w:val="0"/>
          <w:noProof/>
        </w:rPr>
      </w:pPr>
      <w:r w:rsidRPr="007335F2">
        <w:rPr>
          <w:i w:val="0"/>
          <w:noProof/>
        </w:rPr>
        <w:t>Článek 1</w:t>
      </w:r>
      <w:r w:rsidRPr="007335F2">
        <w:rPr>
          <w:i w:val="0"/>
          <w:noProof/>
        </w:rPr>
        <w:br/>
        <w:t>Předmět a oblast působnosti</w:t>
      </w:r>
    </w:p>
    <w:p w:rsidR="008522C8" w:rsidRPr="007335F2" w:rsidRDefault="009104DB" w:rsidP="0046539D">
      <w:pPr>
        <w:pStyle w:val="ManualNumPar1"/>
        <w:spacing w:line="360" w:lineRule="auto"/>
        <w:jc w:val="left"/>
        <w:rPr>
          <w:b/>
          <w:noProof/>
        </w:rPr>
      </w:pPr>
      <w:r w:rsidRPr="007335F2">
        <w:rPr>
          <w:noProof/>
        </w:rPr>
        <w:t>1.</w:t>
      </w:r>
      <w:r w:rsidRPr="007335F2">
        <w:rPr>
          <w:noProof/>
        </w:rPr>
        <w:tab/>
        <w:t>Toto nařízení stanoví právní rámec pro sdělování regulačních informací týkajících se přepravy zboží na území Unie v elektronické podobě</w:t>
      </w:r>
      <w:r w:rsidR="006024A9" w:rsidRPr="007335F2">
        <w:rPr>
          <w:b/>
          <w:i/>
        </w:rPr>
        <w:t>, včetně jeho interoperability</w:t>
      </w:r>
      <w:r w:rsidRPr="007335F2">
        <w:rPr>
          <w:noProof/>
        </w:rPr>
        <w:t>. Za tímto účelem toto nařízení:</w:t>
      </w:r>
      <w:r w:rsidR="006024A9" w:rsidRPr="007335F2">
        <w:rPr>
          <w:b/>
          <w:noProof/>
        </w:rPr>
        <w:t xml:space="preserve"> [pozm. návrh 16]</w:t>
      </w:r>
    </w:p>
    <w:p w:rsidR="008522C8" w:rsidRPr="007335F2" w:rsidRDefault="009104DB" w:rsidP="0046539D">
      <w:pPr>
        <w:pStyle w:val="Point0"/>
        <w:spacing w:line="360" w:lineRule="auto"/>
        <w:ind w:left="1418" w:hanging="567"/>
        <w:jc w:val="left"/>
        <w:rPr>
          <w:noProof/>
        </w:rPr>
      </w:pPr>
      <w:r w:rsidRPr="007335F2">
        <w:rPr>
          <w:noProof/>
        </w:rPr>
        <w:t>a)</w:t>
      </w:r>
      <w:r w:rsidRPr="007335F2">
        <w:rPr>
          <w:noProof/>
        </w:rPr>
        <w:tab/>
        <w:t>stanoví podmínky, za nichž je od příslušných orgánů členských států požadováno, aby přijímaly regulační informace</w:t>
      </w:r>
      <w:r w:rsidRPr="007335F2">
        <w:rPr>
          <w:strike/>
          <w:noProof/>
        </w:rPr>
        <w:t>, když jsou</w:t>
      </w:r>
      <w:r w:rsidRPr="007335F2">
        <w:rPr>
          <w:noProof/>
        </w:rPr>
        <w:t xml:space="preserve"> </w:t>
      </w:r>
      <w:r w:rsidR="006024A9" w:rsidRPr="007335F2">
        <w:rPr>
          <w:b/>
          <w:i/>
        </w:rPr>
        <w:t xml:space="preserve">poskytované </w:t>
      </w:r>
      <w:r w:rsidRPr="007335F2">
        <w:rPr>
          <w:noProof/>
        </w:rPr>
        <w:t xml:space="preserve">dotčenými hospodářskými subjekty </w:t>
      </w:r>
      <w:r w:rsidRPr="007335F2">
        <w:rPr>
          <w:strike/>
          <w:noProof/>
        </w:rPr>
        <w:t>zpřístupněny</w:t>
      </w:r>
      <w:r w:rsidRPr="007335F2">
        <w:rPr>
          <w:noProof/>
        </w:rPr>
        <w:t xml:space="preserve"> elektronicky;</w:t>
      </w:r>
      <w:r w:rsidR="006024A9" w:rsidRPr="007335F2">
        <w:rPr>
          <w:b/>
          <w:noProof/>
        </w:rPr>
        <w:t xml:space="preserve"> [pozm. návrh 17]</w:t>
      </w:r>
    </w:p>
    <w:p w:rsidR="006024A9" w:rsidRPr="007335F2" w:rsidRDefault="006024A9" w:rsidP="0046539D">
      <w:pPr>
        <w:pStyle w:val="Point0"/>
        <w:spacing w:line="360" w:lineRule="auto"/>
        <w:ind w:left="1418" w:hanging="567"/>
        <w:jc w:val="left"/>
        <w:rPr>
          <w:b/>
        </w:rPr>
      </w:pPr>
      <w:proofErr w:type="spellStart"/>
      <w:r w:rsidRPr="007335F2">
        <w:rPr>
          <w:b/>
          <w:i/>
        </w:rPr>
        <w:t>aa</w:t>
      </w:r>
      <w:proofErr w:type="spellEnd"/>
      <w:r w:rsidRPr="007335F2">
        <w:rPr>
          <w:b/>
          <w:i/>
        </w:rPr>
        <w:t>)</w:t>
      </w:r>
      <w:r w:rsidRPr="007335F2">
        <w:rPr>
          <w:b/>
          <w:i/>
        </w:rPr>
        <w:tab/>
        <w:t xml:space="preserve">stanoví podmínky, za </w:t>
      </w:r>
      <w:r w:rsidR="0051507A" w:rsidRPr="007335F2">
        <w:rPr>
          <w:b/>
          <w:i/>
        </w:rPr>
        <w:t>nichž</w:t>
      </w:r>
      <w:r w:rsidRPr="007335F2">
        <w:rPr>
          <w:b/>
          <w:i/>
        </w:rPr>
        <w:t xml:space="preserve"> je od dotčených hospodářských subjektů požadováno, aby elektronicky zpřístupňovaly regulační informace příslušným orgánům členských států;</w:t>
      </w:r>
      <w:r w:rsidRPr="007335F2">
        <w:rPr>
          <w:b/>
        </w:rPr>
        <w:t xml:space="preserve"> [</w:t>
      </w:r>
      <w:proofErr w:type="spellStart"/>
      <w:r w:rsidRPr="007335F2">
        <w:rPr>
          <w:b/>
        </w:rPr>
        <w:t>pozm</w:t>
      </w:r>
      <w:proofErr w:type="spellEnd"/>
      <w:r w:rsidRPr="007335F2">
        <w:rPr>
          <w:b/>
        </w:rPr>
        <w:t>. návrh 18]</w:t>
      </w:r>
    </w:p>
    <w:p w:rsidR="006024A9" w:rsidRPr="007335F2" w:rsidRDefault="006024A9" w:rsidP="0046539D">
      <w:pPr>
        <w:pStyle w:val="Point0"/>
        <w:spacing w:line="360" w:lineRule="auto"/>
        <w:ind w:left="1418" w:hanging="567"/>
        <w:jc w:val="left"/>
        <w:rPr>
          <w:b/>
          <w:noProof/>
        </w:rPr>
      </w:pPr>
      <w:r w:rsidRPr="007335F2">
        <w:rPr>
          <w:b/>
          <w:i/>
        </w:rPr>
        <w:t>ab)</w:t>
      </w:r>
      <w:r w:rsidRPr="007335F2">
        <w:rPr>
          <w:b/>
          <w:i/>
        </w:rPr>
        <w:tab/>
        <w:t xml:space="preserve">stanoví podmínky, za </w:t>
      </w:r>
      <w:r w:rsidR="0051507A" w:rsidRPr="007335F2">
        <w:rPr>
          <w:b/>
          <w:i/>
        </w:rPr>
        <w:t>nichž</w:t>
      </w:r>
      <w:r w:rsidRPr="007335F2">
        <w:rPr>
          <w:b/>
          <w:i/>
        </w:rPr>
        <w:t xml:space="preserve"> musí příslušné orgány členských států komunikovat s dotčenými hospodářskými subjekty elektronicky, pokud jde o poskytování regulačních informací.</w:t>
      </w:r>
      <w:r w:rsidRPr="007335F2">
        <w:rPr>
          <w:b/>
        </w:rPr>
        <w:t xml:space="preserve"> [</w:t>
      </w:r>
      <w:proofErr w:type="spellStart"/>
      <w:r w:rsidRPr="007335F2">
        <w:rPr>
          <w:b/>
        </w:rPr>
        <w:t>pozm</w:t>
      </w:r>
      <w:proofErr w:type="spellEnd"/>
      <w:r w:rsidRPr="007335F2">
        <w:rPr>
          <w:b/>
        </w:rPr>
        <w:t>. návrh 19]</w:t>
      </w:r>
    </w:p>
    <w:p w:rsidR="008522C8" w:rsidRPr="007335F2" w:rsidRDefault="009104DB" w:rsidP="0046539D">
      <w:pPr>
        <w:pStyle w:val="Point0"/>
        <w:spacing w:line="360" w:lineRule="auto"/>
        <w:ind w:left="1418" w:hanging="567"/>
        <w:jc w:val="left"/>
        <w:rPr>
          <w:noProof/>
        </w:rPr>
      </w:pPr>
      <w:r w:rsidRPr="007335F2">
        <w:rPr>
          <w:noProof/>
        </w:rPr>
        <w:t>b)</w:t>
      </w:r>
      <w:r w:rsidRPr="007335F2">
        <w:rPr>
          <w:noProof/>
        </w:rPr>
        <w:tab/>
        <w:t>stanoví pravidla pro poskytování služeb souvisejících se zpřístupňováním regulačních informací dotčenými hospodářskými subjekty v elektronické podobě.</w:t>
      </w:r>
    </w:p>
    <w:p w:rsidR="002F38CC" w:rsidRPr="007335F2" w:rsidRDefault="002F38CC">
      <w:pPr>
        <w:spacing w:before="0" w:after="200" w:line="276" w:lineRule="auto"/>
        <w:jc w:val="left"/>
        <w:rPr>
          <w:b/>
          <w:i/>
        </w:rPr>
      </w:pPr>
      <w:r w:rsidRPr="007335F2">
        <w:rPr>
          <w:b/>
          <w:i/>
        </w:rPr>
        <w:br w:type="page"/>
      </w:r>
    </w:p>
    <w:p w:rsidR="008522C8" w:rsidRPr="007335F2" w:rsidRDefault="009104DB" w:rsidP="0046539D">
      <w:pPr>
        <w:pStyle w:val="ManualNumPar1"/>
        <w:spacing w:line="360" w:lineRule="auto"/>
        <w:jc w:val="left"/>
        <w:rPr>
          <w:noProof/>
        </w:rPr>
      </w:pPr>
      <w:r w:rsidRPr="007335F2">
        <w:rPr>
          <w:noProof/>
        </w:rPr>
        <w:lastRenderedPageBreak/>
        <w:t>2.</w:t>
      </w:r>
      <w:r w:rsidRPr="007335F2">
        <w:rPr>
          <w:noProof/>
        </w:rPr>
        <w:tab/>
        <w:t>Toto nařízení se vztahuje na požadavky na regulační informace vymezené v aktech Unie, kterými se stanoví podmínky pro přepravu zboží na území Unie v souladu s částí třetí hlavou VI Smlouvy nebo podmínky pro přepravu odpadů</w:t>
      </w:r>
      <w:r w:rsidR="006024A9" w:rsidRPr="007335F2">
        <w:rPr>
          <w:noProof/>
        </w:rPr>
        <w:t xml:space="preserve"> </w:t>
      </w:r>
      <w:r w:rsidR="006024A9" w:rsidRPr="007335F2">
        <w:rPr>
          <w:b/>
          <w:i/>
        </w:rPr>
        <w:t>a požadavky na regulační informace o přepravě zboží stanovené v mezinárodních úmluvách platných v Unii</w:t>
      </w:r>
      <w:r w:rsidRPr="007335F2">
        <w:rPr>
          <w:noProof/>
        </w:rPr>
        <w:t>. Ve vztahu k přepravě odpadů se toto nařízení nevztahuje na kontroly prováděné celními úřady stanovené v příslušných ustanoveních Unie. Akty Unie, na které se toto nařízení vztahuje, a odpovídající požadavky na regulační informace jsou uvedeny v části A přílohy I.</w:t>
      </w:r>
      <w:r w:rsidR="006024A9" w:rsidRPr="007335F2">
        <w:rPr>
          <w:b/>
          <w:noProof/>
        </w:rPr>
        <w:t xml:space="preserve"> [pozm. návrh 20]</w:t>
      </w:r>
    </w:p>
    <w:p w:rsidR="008522C8" w:rsidRPr="007335F2" w:rsidRDefault="009104DB" w:rsidP="0046539D">
      <w:pPr>
        <w:pStyle w:val="Text1"/>
        <w:spacing w:line="360" w:lineRule="auto"/>
        <w:jc w:val="left"/>
        <w:rPr>
          <w:i/>
          <w:noProof/>
        </w:rPr>
      </w:pPr>
      <w:r w:rsidRPr="007335F2">
        <w:rPr>
          <w:noProof/>
        </w:rPr>
        <w:t xml:space="preserve">Toto nařízení se vztahuje rovněž na požadavky na regulační informace stanovené v právních předpisech členských států, které se zabývají problematikou, již upravuje část třetí hlava VI Smlouvy, a které vyžadují poskytnutí informací zcela či zčásti shodných s informacemi, jež se mají poskytovat podle požadavků na regulační informace uvedených v prvním pododstavci. </w:t>
      </w:r>
    </w:p>
    <w:p w:rsidR="008522C8" w:rsidRPr="007335F2" w:rsidRDefault="009104DB" w:rsidP="0046539D">
      <w:pPr>
        <w:pStyle w:val="Text1"/>
        <w:spacing w:line="360" w:lineRule="auto"/>
        <w:jc w:val="left"/>
        <w:rPr>
          <w:noProof/>
        </w:rPr>
      </w:pPr>
      <w:r w:rsidRPr="007335F2">
        <w:rPr>
          <w:noProof/>
        </w:rPr>
        <w:t>Vnitrostátní právní předpisy a odpovídající požadavky na regulační informace podle druhého pododstavce jsou uvedeny v části B přílohy I v souladu s postupem stanoveným v čl. 2 písm. b).</w:t>
      </w:r>
    </w:p>
    <w:p w:rsidR="002F38CC" w:rsidRPr="007335F2" w:rsidRDefault="002F38CC">
      <w:pPr>
        <w:spacing w:before="0" w:after="200" w:line="276" w:lineRule="auto"/>
        <w:jc w:val="left"/>
        <w:rPr>
          <w:noProof/>
        </w:rPr>
      </w:pPr>
      <w:r w:rsidRPr="007335F2">
        <w:rPr>
          <w:noProof/>
        </w:rPr>
        <w:br w:type="page"/>
      </w:r>
    </w:p>
    <w:p w:rsidR="008522C8" w:rsidRPr="007335F2" w:rsidRDefault="009104DB" w:rsidP="0046539D">
      <w:pPr>
        <w:pStyle w:val="ManualNumPar1"/>
        <w:spacing w:line="360" w:lineRule="auto"/>
        <w:jc w:val="left"/>
        <w:rPr>
          <w:noProof/>
        </w:rPr>
      </w:pPr>
      <w:r w:rsidRPr="007335F2">
        <w:rPr>
          <w:noProof/>
        </w:rPr>
        <w:lastRenderedPageBreak/>
        <w:t>3.</w:t>
      </w:r>
      <w:r w:rsidRPr="007335F2">
        <w:rPr>
          <w:noProof/>
        </w:rPr>
        <w:tab/>
        <w:t xml:space="preserve">Členské státy oznámí Komisi nejpozději do </w:t>
      </w:r>
      <w:r w:rsidR="002F38CC" w:rsidRPr="007335F2">
        <w:rPr>
          <w:noProof/>
        </w:rPr>
        <w:t xml:space="preserve">... </w:t>
      </w:r>
      <w:r w:rsidRPr="007335F2">
        <w:rPr>
          <w:noProof/>
        </w:rPr>
        <w:t xml:space="preserve">[jeden rok od vstupu tohoto nařízení v platnost] ustanovení vnitrostátních právních předpisů a odpovídající požadavky na regulační informace uvedené v odst. 2 druhém pododstavci, aby mohly být zahrnuty do části B přílohy I. Členské státy oznámí Komisi rovněž každé následně přijaté nové ustanovení vnitrostátních právních předpisů, na něž se vztahuje odst. 2 druhý pododstavec a které zavádí změny uvedených požadavků na regulační informace nebo stanoví nové příslušné požadavky na regulační informace, a to do jednoho měsíce od přijetí takového ustanovení. </w:t>
      </w:r>
    </w:p>
    <w:p w:rsidR="008522C8" w:rsidRPr="007335F2" w:rsidRDefault="009104DB" w:rsidP="0046539D">
      <w:pPr>
        <w:pStyle w:val="Titrearticle"/>
        <w:spacing w:before="120" w:line="360" w:lineRule="auto"/>
        <w:rPr>
          <w:i w:val="0"/>
          <w:noProof/>
        </w:rPr>
      </w:pPr>
      <w:r w:rsidRPr="007335F2">
        <w:rPr>
          <w:i w:val="0"/>
          <w:noProof/>
        </w:rPr>
        <w:t>Článek 2</w:t>
      </w:r>
      <w:r w:rsidRPr="007335F2">
        <w:rPr>
          <w:i w:val="0"/>
          <w:noProof/>
        </w:rPr>
        <w:br/>
        <w:t>Změny přílohy I</w:t>
      </w:r>
    </w:p>
    <w:p w:rsidR="008522C8" w:rsidRPr="007335F2" w:rsidRDefault="009104DB" w:rsidP="0046539D">
      <w:pPr>
        <w:spacing w:line="360" w:lineRule="auto"/>
        <w:jc w:val="left"/>
        <w:rPr>
          <w:noProof/>
        </w:rPr>
      </w:pPr>
      <w:r w:rsidRPr="007335F2">
        <w:rPr>
          <w:noProof/>
        </w:rPr>
        <w:t>Komisi je svěřena pravomoc přijímat akty v přenesené pravomoci v souladu s článkem 13, pokud jde o změny přílohy I za účelem:</w:t>
      </w:r>
    </w:p>
    <w:p w:rsidR="008522C8" w:rsidRPr="007335F2" w:rsidRDefault="009104DB" w:rsidP="0046539D">
      <w:pPr>
        <w:pStyle w:val="Point0"/>
        <w:spacing w:line="360" w:lineRule="auto"/>
        <w:jc w:val="left"/>
        <w:rPr>
          <w:noProof/>
        </w:rPr>
      </w:pPr>
      <w:r w:rsidRPr="007335F2">
        <w:rPr>
          <w:noProof/>
        </w:rPr>
        <w:t>a)</w:t>
      </w:r>
      <w:r w:rsidRPr="007335F2">
        <w:rPr>
          <w:noProof/>
        </w:rPr>
        <w:tab/>
        <w:t>zahrnutí odkazu na veškeré akty v přenesené pravomoci nebo prováděcí akty přijaté Komisí, které stanoví nové požadavky na regulační informace v souvislosti s právními akty Unie, jimiž se řídí přeprava zboží v souladu s částí třetí hlavou VI Smlouvy;</w:t>
      </w:r>
    </w:p>
    <w:p w:rsidR="002F38CC" w:rsidRPr="007335F2" w:rsidRDefault="002F38CC">
      <w:pPr>
        <w:spacing w:before="0" w:after="200" w:line="276" w:lineRule="auto"/>
        <w:jc w:val="left"/>
        <w:rPr>
          <w:noProof/>
        </w:rPr>
      </w:pPr>
      <w:r w:rsidRPr="007335F2">
        <w:rPr>
          <w:noProof/>
        </w:rPr>
        <w:br w:type="page"/>
      </w:r>
    </w:p>
    <w:p w:rsidR="008522C8" w:rsidRPr="007335F2" w:rsidRDefault="009104DB" w:rsidP="0046539D">
      <w:pPr>
        <w:pStyle w:val="Point0"/>
        <w:spacing w:line="360" w:lineRule="auto"/>
        <w:jc w:val="left"/>
        <w:rPr>
          <w:noProof/>
        </w:rPr>
      </w:pPr>
      <w:r w:rsidRPr="007335F2">
        <w:rPr>
          <w:noProof/>
        </w:rPr>
        <w:lastRenderedPageBreak/>
        <w:t>b)</w:t>
      </w:r>
      <w:r w:rsidRPr="007335F2">
        <w:rPr>
          <w:noProof/>
        </w:rPr>
        <w:tab/>
        <w:t xml:space="preserve">začlenění odkazů na vnitrostátní právní předpisy a požadavky na regulační informace oznámené členskými státy v souladu s čl. 1 odst. 3. </w:t>
      </w:r>
    </w:p>
    <w:p w:rsidR="002F38CC" w:rsidRPr="007335F2" w:rsidRDefault="002F38CC" w:rsidP="007335F2">
      <w:pPr>
        <w:pStyle w:val="Point0"/>
        <w:spacing w:line="360" w:lineRule="auto"/>
        <w:ind w:left="851" w:hanging="851"/>
        <w:jc w:val="left"/>
        <w:rPr>
          <w:b/>
        </w:rPr>
      </w:pPr>
      <w:r w:rsidRPr="007335F2">
        <w:rPr>
          <w:b/>
          <w:i/>
        </w:rPr>
        <w:t>ba)</w:t>
      </w:r>
      <w:r w:rsidRPr="007335F2">
        <w:rPr>
          <w:b/>
          <w:i/>
        </w:rPr>
        <w:tab/>
        <w:t>začlenění odkazů na jiné právní akty Unie, jimiž se řídí přeprava zboží a které stanoví požadavky na regulační informace;</w:t>
      </w:r>
      <w:r w:rsidRPr="007335F2">
        <w:rPr>
          <w:b/>
        </w:rPr>
        <w:t xml:space="preserve"> [</w:t>
      </w:r>
      <w:proofErr w:type="spellStart"/>
      <w:r w:rsidRPr="007335F2">
        <w:rPr>
          <w:b/>
        </w:rPr>
        <w:t>pozm</w:t>
      </w:r>
      <w:proofErr w:type="spellEnd"/>
      <w:r w:rsidRPr="007335F2">
        <w:rPr>
          <w:b/>
        </w:rPr>
        <w:t>. návrh 21]</w:t>
      </w:r>
    </w:p>
    <w:p w:rsidR="002F38CC" w:rsidRPr="007335F2" w:rsidRDefault="002F38CC" w:rsidP="007335F2">
      <w:pPr>
        <w:pStyle w:val="Point0"/>
        <w:spacing w:line="360" w:lineRule="auto"/>
        <w:ind w:left="851" w:hanging="851"/>
        <w:jc w:val="left"/>
        <w:rPr>
          <w:b/>
          <w:noProof/>
        </w:rPr>
      </w:pPr>
      <w:proofErr w:type="spellStart"/>
      <w:r w:rsidRPr="007335F2">
        <w:rPr>
          <w:b/>
          <w:i/>
        </w:rPr>
        <w:t>bb</w:t>
      </w:r>
      <w:proofErr w:type="spellEnd"/>
      <w:r w:rsidRPr="007335F2">
        <w:rPr>
          <w:b/>
          <w:i/>
        </w:rPr>
        <w:t>)</w:t>
      </w:r>
      <w:r w:rsidRPr="007335F2">
        <w:rPr>
          <w:b/>
          <w:i/>
        </w:rPr>
        <w:tab/>
        <w:t>zahrnutí odkazů na mezinárodní úmluvy platné v Unii a které stanoví požadavky na regulační informace přímo či nepřímo související s přepravou zboží.</w:t>
      </w:r>
      <w:r w:rsidRPr="007335F2">
        <w:rPr>
          <w:b/>
        </w:rPr>
        <w:t xml:space="preserve"> [</w:t>
      </w:r>
      <w:proofErr w:type="spellStart"/>
      <w:r w:rsidRPr="007335F2">
        <w:rPr>
          <w:b/>
        </w:rPr>
        <w:t>pozm</w:t>
      </w:r>
      <w:proofErr w:type="spellEnd"/>
      <w:r w:rsidRPr="007335F2">
        <w:rPr>
          <w:b/>
        </w:rPr>
        <w:t>. návrh 22]</w:t>
      </w:r>
    </w:p>
    <w:p w:rsidR="008522C8" w:rsidRPr="007335F2" w:rsidRDefault="009104DB" w:rsidP="0046539D">
      <w:pPr>
        <w:pStyle w:val="Titrearticle"/>
        <w:spacing w:before="120" w:line="360" w:lineRule="auto"/>
        <w:rPr>
          <w:i w:val="0"/>
          <w:noProof/>
        </w:rPr>
      </w:pPr>
      <w:r w:rsidRPr="007335F2">
        <w:rPr>
          <w:i w:val="0"/>
          <w:noProof/>
        </w:rPr>
        <w:t>Článek 3</w:t>
      </w:r>
      <w:r w:rsidRPr="007335F2">
        <w:rPr>
          <w:i w:val="0"/>
          <w:noProof/>
        </w:rPr>
        <w:br/>
        <w:t>Definice</w:t>
      </w:r>
    </w:p>
    <w:p w:rsidR="008522C8" w:rsidRPr="007335F2" w:rsidRDefault="009104DB" w:rsidP="0046539D">
      <w:pPr>
        <w:spacing w:line="360" w:lineRule="auto"/>
        <w:jc w:val="left"/>
        <w:rPr>
          <w:noProof/>
        </w:rPr>
      </w:pPr>
      <w:r w:rsidRPr="007335F2">
        <w:rPr>
          <w:noProof/>
        </w:rPr>
        <w:t>Pro účely tohoto nařízení se rozumí:</w:t>
      </w:r>
    </w:p>
    <w:p w:rsidR="008522C8" w:rsidRPr="007335F2" w:rsidRDefault="009104DB" w:rsidP="0046539D">
      <w:pPr>
        <w:pStyle w:val="Point0"/>
        <w:spacing w:line="360" w:lineRule="auto"/>
        <w:jc w:val="left"/>
        <w:rPr>
          <w:noProof/>
        </w:rPr>
      </w:pPr>
      <w:r w:rsidRPr="007335F2">
        <w:rPr>
          <w:noProof/>
        </w:rPr>
        <w:t>1)</w:t>
      </w:r>
      <w:r w:rsidRPr="007335F2">
        <w:rPr>
          <w:noProof/>
        </w:rPr>
        <w:tab/>
        <w:t xml:space="preserve">„regulačními informacemi“ informace předkládané v podobě dokumentu či nikoli, které se týkají přepravy nákladu na území Unie, včetně tranzitu, jež musí dotčený hospodářský subjekt zpřístupnit v souladu s ustanoveními uvedenými v čl. 1 odst. 2, aby prokázal splnění příslušných požadavků dotyčných aktů; </w:t>
      </w:r>
    </w:p>
    <w:p w:rsidR="002F38CC" w:rsidRPr="007335F2" w:rsidRDefault="002F38CC">
      <w:pPr>
        <w:spacing w:before="0" w:after="200" w:line="276" w:lineRule="auto"/>
        <w:jc w:val="left"/>
        <w:rPr>
          <w:noProof/>
        </w:rPr>
      </w:pPr>
      <w:r w:rsidRPr="007335F2">
        <w:rPr>
          <w:noProof/>
        </w:rPr>
        <w:br w:type="page"/>
      </w:r>
    </w:p>
    <w:p w:rsidR="008522C8" w:rsidRPr="007335F2" w:rsidRDefault="009104DB" w:rsidP="0046539D">
      <w:pPr>
        <w:pStyle w:val="Point0"/>
        <w:spacing w:line="360" w:lineRule="auto"/>
        <w:jc w:val="left"/>
        <w:rPr>
          <w:noProof/>
        </w:rPr>
      </w:pPr>
      <w:r w:rsidRPr="007335F2">
        <w:rPr>
          <w:noProof/>
        </w:rPr>
        <w:lastRenderedPageBreak/>
        <w:t>2)</w:t>
      </w:r>
      <w:r w:rsidRPr="007335F2">
        <w:rPr>
          <w:noProof/>
        </w:rPr>
        <w:tab/>
        <w:t>„požadavkem na regulační informace“ požadavek, aby byly poskytnuty regulační informace;</w:t>
      </w:r>
    </w:p>
    <w:p w:rsidR="008522C8" w:rsidRPr="007335F2" w:rsidRDefault="009104DB" w:rsidP="0046539D">
      <w:pPr>
        <w:pStyle w:val="Point0"/>
        <w:spacing w:line="360" w:lineRule="auto"/>
        <w:jc w:val="left"/>
        <w:rPr>
          <w:noProof/>
        </w:rPr>
      </w:pPr>
      <w:r w:rsidRPr="007335F2">
        <w:rPr>
          <w:noProof/>
        </w:rPr>
        <w:t>3)</w:t>
      </w:r>
      <w:r w:rsidRPr="007335F2">
        <w:rPr>
          <w:noProof/>
        </w:rPr>
        <w:tab/>
        <w:t>„elektronickými informacemi o nákladní dopravě“ (eFTI) jakýkoli soubor datových prvků zpracovaný formou elektronické podpory pro účely výměny regulačních informací mezi dotčenými hospodářskými subjekty a s příslušnými orgány veřejné moci;</w:t>
      </w:r>
    </w:p>
    <w:p w:rsidR="008522C8" w:rsidRPr="007335F2" w:rsidRDefault="009104DB" w:rsidP="0046539D">
      <w:pPr>
        <w:pStyle w:val="Point0"/>
        <w:spacing w:line="360" w:lineRule="auto"/>
        <w:jc w:val="left"/>
        <w:rPr>
          <w:noProof/>
        </w:rPr>
      </w:pPr>
      <w:r w:rsidRPr="007335F2">
        <w:rPr>
          <w:noProof/>
        </w:rPr>
        <w:t>4)</w:t>
      </w:r>
      <w:r w:rsidRPr="007335F2">
        <w:rPr>
          <w:noProof/>
        </w:rPr>
        <w:tab/>
        <w:t xml:space="preserve">„zpracováním“ jakákoliv operace nebo soubor operací s elektronickými informacemi o nákladní dopravě, které jsou prováděny pomocí či bez pomoci automatizovaných postupů, jako jsou shromáždění, zaznamenání, uspořádání, strukturování, uložení, přizpůsobení nebo pozměnění, vyhledání, nahlédnutí, použití, zpřístupnění přenosem, šíření nebo jakékoliv jiné zpřístupnění, seřazení či zkombinování, omezení, výmaz nebo zničení; </w:t>
      </w:r>
    </w:p>
    <w:p w:rsidR="008522C8" w:rsidRPr="007335F2" w:rsidRDefault="009104DB" w:rsidP="0046539D">
      <w:pPr>
        <w:pStyle w:val="Point0"/>
        <w:spacing w:line="360" w:lineRule="auto"/>
        <w:jc w:val="left"/>
        <w:rPr>
          <w:noProof/>
        </w:rPr>
      </w:pPr>
      <w:r w:rsidRPr="007335F2">
        <w:rPr>
          <w:noProof/>
        </w:rPr>
        <w:t>5)</w:t>
      </w:r>
      <w:r w:rsidRPr="007335F2">
        <w:rPr>
          <w:noProof/>
        </w:rPr>
        <w:tab/>
        <w:t>„platformou eFTI“ jakékoli řešení založené na informačních a komunikačních technologiích (IKT), jako jsou operační systém, operační prostředí nebo databáze, určené k použití za účelem zpracování eFTI;</w:t>
      </w:r>
    </w:p>
    <w:p w:rsidR="008522C8" w:rsidRPr="007335F2" w:rsidRDefault="009104DB" w:rsidP="0046539D">
      <w:pPr>
        <w:pStyle w:val="Point0"/>
        <w:spacing w:line="360" w:lineRule="auto"/>
        <w:jc w:val="left"/>
        <w:rPr>
          <w:noProof/>
        </w:rPr>
      </w:pPr>
      <w:r w:rsidRPr="007335F2">
        <w:rPr>
          <w:noProof/>
        </w:rPr>
        <w:t>6)</w:t>
      </w:r>
      <w:r w:rsidRPr="007335F2">
        <w:rPr>
          <w:noProof/>
        </w:rPr>
        <w:tab/>
        <w:t xml:space="preserve">„vývojářem platformy eFTI“ jakákoli fyzická nebo právnická osoba, která vyvinula nebo získala platformu eFTI, ať už pro účely zpracování regulačních informací týkajících se její vlastní hospodářské činnosti, nebo pro uvedení této platformy na trh; </w:t>
      </w:r>
    </w:p>
    <w:p w:rsidR="002F38CC" w:rsidRPr="007335F2" w:rsidRDefault="002F38CC">
      <w:pPr>
        <w:spacing w:before="0" w:after="200" w:line="276" w:lineRule="auto"/>
        <w:jc w:val="left"/>
        <w:rPr>
          <w:noProof/>
        </w:rPr>
      </w:pPr>
      <w:r w:rsidRPr="007335F2">
        <w:rPr>
          <w:noProof/>
        </w:rPr>
        <w:br w:type="page"/>
      </w:r>
    </w:p>
    <w:p w:rsidR="008522C8" w:rsidRPr="007335F2" w:rsidRDefault="009104DB" w:rsidP="0046539D">
      <w:pPr>
        <w:pStyle w:val="Point0"/>
        <w:spacing w:line="360" w:lineRule="auto"/>
        <w:jc w:val="left"/>
        <w:rPr>
          <w:noProof/>
        </w:rPr>
      </w:pPr>
      <w:r w:rsidRPr="007335F2">
        <w:rPr>
          <w:noProof/>
        </w:rPr>
        <w:lastRenderedPageBreak/>
        <w:t>7)</w:t>
      </w:r>
      <w:r w:rsidRPr="007335F2">
        <w:rPr>
          <w:noProof/>
        </w:rPr>
        <w:tab/>
        <w:t xml:space="preserve">„službou eFTI“ služba spočívající ve zpracování eFTI pomocí platformy eFTI, a to samostatně nebo v kombinaci s jinými řešeními IKT včetně jiné platformy eFTI; </w:t>
      </w:r>
    </w:p>
    <w:p w:rsidR="008522C8" w:rsidRPr="007335F2" w:rsidRDefault="009104DB" w:rsidP="0046539D">
      <w:pPr>
        <w:pStyle w:val="Point0"/>
        <w:spacing w:line="360" w:lineRule="auto"/>
        <w:jc w:val="left"/>
        <w:rPr>
          <w:noProof/>
        </w:rPr>
      </w:pPr>
      <w:r w:rsidRPr="007335F2">
        <w:rPr>
          <w:noProof/>
        </w:rPr>
        <w:t>8)</w:t>
      </w:r>
      <w:r w:rsidRPr="007335F2">
        <w:rPr>
          <w:noProof/>
        </w:rPr>
        <w:tab/>
        <w:t>„poskytovatelem služby eFTI“ jakákoli fyzická nebo právnická osoba, která na základě smlouvy poskytuje službu eFTI dotčeným hospodářským subjektům;</w:t>
      </w:r>
    </w:p>
    <w:p w:rsidR="008522C8" w:rsidRPr="007335F2" w:rsidRDefault="009104DB" w:rsidP="0046539D">
      <w:pPr>
        <w:pStyle w:val="Point0"/>
        <w:spacing w:line="360" w:lineRule="auto"/>
        <w:jc w:val="left"/>
        <w:rPr>
          <w:noProof/>
        </w:rPr>
      </w:pPr>
      <w:r w:rsidRPr="007335F2">
        <w:rPr>
          <w:noProof/>
        </w:rPr>
        <w:t>9)</w:t>
      </w:r>
      <w:r w:rsidRPr="007335F2">
        <w:rPr>
          <w:noProof/>
        </w:rPr>
        <w:tab/>
        <w:t>„dotčeným hospodářským subjektem“ jakýkoli provozovatel dopravy nebo logistiky nebo jakákoli jiná fyzická či právnická osoba, která je odpovědná za zpřístupnění regulačních informací příslušným orgánům v souladu s příslušným požadavkem na regulační informace;</w:t>
      </w:r>
    </w:p>
    <w:p w:rsidR="008522C8" w:rsidRPr="007335F2" w:rsidRDefault="009104DB" w:rsidP="0046539D">
      <w:pPr>
        <w:pStyle w:val="Point0"/>
        <w:spacing w:line="360" w:lineRule="auto"/>
        <w:jc w:val="left"/>
        <w:rPr>
          <w:rFonts w:eastAsia="Times New Roman"/>
          <w:noProof/>
        </w:rPr>
      </w:pPr>
      <w:r w:rsidRPr="007335F2">
        <w:rPr>
          <w:noProof/>
        </w:rPr>
        <w:t>10)</w:t>
      </w:r>
      <w:r w:rsidRPr="007335F2">
        <w:rPr>
          <w:noProof/>
        </w:rPr>
        <w:tab/>
        <w:t xml:space="preserve">„pro člověka čitelným formátem“ způsob znázornění údajů v elektronické podobě, který může fyzická osoba použít jako zdroj informací bez jakéhokoliv dalšího zpracování; </w:t>
      </w:r>
    </w:p>
    <w:p w:rsidR="008522C8" w:rsidRPr="007335F2" w:rsidRDefault="009104DB" w:rsidP="0046539D">
      <w:pPr>
        <w:pStyle w:val="Point0"/>
        <w:spacing w:line="360" w:lineRule="auto"/>
        <w:jc w:val="left"/>
        <w:rPr>
          <w:noProof/>
        </w:rPr>
      </w:pPr>
      <w:r w:rsidRPr="007335F2">
        <w:rPr>
          <w:noProof/>
        </w:rPr>
        <w:t>11)</w:t>
      </w:r>
      <w:r w:rsidRPr="007335F2">
        <w:rPr>
          <w:noProof/>
        </w:rPr>
        <w:tab/>
        <w:t xml:space="preserve">„strojově čitelným formátem“ způsob znázornění údajů v elektronické podobě, který lze použít k automatickému zpracování strojem; </w:t>
      </w:r>
    </w:p>
    <w:p w:rsidR="008522C8" w:rsidRPr="007335F2" w:rsidRDefault="009104DB" w:rsidP="0046539D">
      <w:pPr>
        <w:pStyle w:val="Point0"/>
        <w:spacing w:line="360" w:lineRule="auto"/>
        <w:jc w:val="left"/>
        <w:rPr>
          <w:rFonts w:eastAsia="Times New Roman"/>
          <w:noProof/>
        </w:rPr>
      </w:pPr>
      <w:r w:rsidRPr="007335F2">
        <w:rPr>
          <w:noProof/>
        </w:rPr>
        <w:t>12)</w:t>
      </w:r>
      <w:r w:rsidRPr="007335F2">
        <w:rPr>
          <w:noProof/>
        </w:rPr>
        <w:tab/>
        <w:t xml:space="preserve">„subjektem posuzování shody“ subjekt posuzování shody ve smyslu čl. 2 bod 13 nařízení (ES) č. 765/2008, který je v souladu s uvedeným nařízením akreditován pro provádění posuzování shody platformy eFTI nebo poskytovatele služby eFTI. </w:t>
      </w:r>
    </w:p>
    <w:p w:rsidR="002F38CC" w:rsidRPr="007335F2" w:rsidRDefault="002F38CC">
      <w:pPr>
        <w:spacing w:before="0" w:after="200" w:line="276" w:lineRule="auto"/>
        <w:jc w:val="left"/>
        <w:rPr>
          <w:smallCaps/>
          <w:noProof/>
          <w:szCs w:val="24"/>
        </w:rPr>
      </w:pPr>
      <w:r w:rsidRPr="007335F2">
        <w:rPr>
          <w:b/>
          <w:noProof/>
          <w:szCs w:val="24"/>
        </w:rPr>
        <w:br w:type="page"/>
      </w:r>
    </w:p>
    <w:p w:rsidR="008522C8" w:rsidRPr="007335F2" w:rsidRDefault="0046539D" w:rsidP="0046539D">
      <w:pPr>
        <w:pStyle w:val="SectionTitle"/>
        <w:spacing w:after="120" w:line="360" w:lineRule="auto"/>
        <w:rPr>
          <w:b w:val="0"/>
          <w:noProof/>
          <w:sz w:val="24"/>
          <w:szCs w:val="24"/>
        </w:rPr>
      </w:pPr>
      <w:r w:rsidRPr="007335F2">
        <w:rPr>
          <w:b w:val="0"/>
          <w:noProof/>
          <w:sz w:val="24"/>
          <w:szCs w:val="24"/>
        </w:rPr>
        <w:lastRenderedPageBreak/>
        <w:t>KAPITOLA II</w:t>
      </w:r>
      <w:r w:rsidR="009104DB" w:rsidRPr="007335F2">
        <w:rPr>
          <w:b w:val="0"/>
          <w:noProof/>
          <w:sz w:val="24"/>
          <w:szCs w:val="24"/>
        </w:rPr>
        <w:br/>
        <w:t>Regulační informace zpřístupněné elektronicky</w:t>
      </w:r>
    </w:p>
    <w:p w:rsidR="008522C8" w:rsidRPr="007335F2" w:rsidRDefault="009104DB" w:rsidP="0046539D">
      <w:pPr>
        <w:pStyle w:val="Titrearticle"/>
        <w:spacing w:before="120" w:line="360" w:lineRule="auto"/>
        <w:rPr>
          <w:i w:val="0"/>
          <w:noProof/>
        </w:rPr>
      </w:pPr>
      <w:r w:rsidRPr="007335F2">
        <w:rPr>
          <w:i w:val="0"/>
          <w:noProof/>
        </w:rPr>
        <w:t>Článek 4</w:t>
      </w:r>
      <w:r w:rsidRPr="007335F2">
        <w:rPr>
          <w:i w:val="0"/>
          <w:noProof/>
        </w:rPr>
        <w:br/>
        <w:t>Požadavky na dotčené hospodářské subjekty</w:t>
      </w:r>
      <w:r w:rsidR="006024A9" w:rsidRPr="007335F2">
        <w:rPr>
          <w:i w:val="0"/>
          <w:noProof/>
        </w:rPr>
        <w:t xml:space="preserve"> </w:t>
      </w:r>
      <w:r w:rsidR="0051507A" w:rsidRPr="007335F2">
        <w:rPr>
          <w:rFonts w:eastAsia="Calibri"/>
          <w:b/>
          <w:i w:val="0"/>
        </w:rPr>
        <w:t>[</w:t>
      </w:r>
      <w:proofErr w:type="spellStart"/>
      <w:r w:rsidR="00B150FF" w:rsidRPr="007335F2">
        <w:rPr>
          <w:b/>
          <w:i w:val="0"/>
          <w:noProof/>
        </w:rPr>
        <w:t>p</w:t>
      </w:r>
      <w:r w:rsidR="0051507A" w:rsidRPr="007335F2">
        <w:rPr>
          <w:b/>
          <w:i w:val="0"/>
          <w:noProof/>
        </w:rPr>
        <w:t>ozm</w:t>
      </w:r>
      <w:proofErr w:type="spellEnd"/>
      <w:r w:rsidR="0051507A" w:rsidRPr="007335F2">
        <w:rPr>
          <w:b/>
          <w:i w:val="0"/>
          <w:noProof/>
        </w:rPr>
        <w:t>. návrh</w:t>
      </w:r>
      <w:r w:rsidR="006024A9" w:rsidRPr="007335F2">
        <w:rPr>
          <w:b/>
          <w:i w:val="0"/>
          <w:noProof/>
        </w:rPr>
        <w:t xml:space="preserve"> 23</w:t>
      </w:r>
      <w:r w:rsidR="007F181D" w:rsidRPr="007335F2">
        <w:rPr>
          <w:b/>
          <w:i w:val="0"/>
          <w:noProof/>
        </w:rPr>
        <w:t xml:space="preserve"> se</w:t>
      </w:r>
      <w:r w:rsidR="007335F2">
        <w:rPr>
          <w:b/>
          <w:i w:val="0"/>
          <w:noProof/>
        </w:rPr>
        <w:t xml:space="preserve"> </w:t>
      </w:r>
      <w:r w:rsidR="006024A9" w:rsidRPr="007335F2">
        <w:rPr>
          <w:b/>
          <w:i w:val="0"/>
          <w:noProof/>
        </w:rPr>
        <w:t>netýká českého znění</w:t>
      </w:r>
      <w:r w:rsidR="00B150FF" w:rsidRPr="007335F2">
        <w:rPr>
          <w:rFonts w:eastAsia="Calibri"/>
          <w:b/>
          <w:i w:val="0"/>
        </w:rPr>
        <w:t>]</w:t>
      </w:r>
    </w:p>
    <w:p w:rsidR="008522C8" w:rsidRPr="007335F2" w:rsidRDefault="009104DB" w:rsidP="0046539D">
      <w:pPr>
        <w:pStyle w:val="ManualNumPar1"/>
        <w:spacing w:line="360" w:lineRule="auto"/>
        <w:jc w:val="left"/>
        <w:rPr>
          <w:noProof/>
        </w:rPr>
      </w:pPr>
      <w:r w:rsidRPr="007335F2">
        <w:rPr>
          <w:noProof/>
        </w:rPr>
        <w:t>1.</w:t>
      </w:r>
      <w:r w:rsidRPr="007335F2">
        <w:rPr>
          <w:noProof/>
        </w:rPr>
        <w:tab/>
      </w:r>
      <w:r w:rsidRPr="007335F2">
        <w:rPr>
          <w:strike/>
          <w:noProof/>
        </w:rPr>
        <w:t>Pokud dotčené</w:t>
      </w:r>
      <w:r w:rsidRPr="007335F2">
        <w:rPr>
          <w:noProof/>
        </w:rPr>
        <w:t xml:space="preserve"> </w:t>
      </w:r>
      <w:proofErr w:type="spellStart"/>
      <w:r w:rsidR="006024A9" w:rsidRPr="007335F2">
        <w:rPr>
          <w:b/>
          <w:i/>
        </w:rPr>
        <w:t>Dotčené</w:t>
      </w:r>
      <w:proofErr w:type="spellEnd"/>
      <w:r w:rsidR="006024A9" w:rsidRPr="007335F2">
        <w:t xml:space="preserve"> </w:t>
      </w:r>
      <w:r w:rsidRPr="007335F2">
        <w:rPr>
          <w:noProof/>
        </w:rPr>
        <w:t>hospodářské subjekty zpřístupňují regulační informace elektronicky</w:t>
      </w:r>
      <w:r w:rsidR="006024A9" w:rsidRPr="007335F2">
        <w:rPr>
          <w:noProof/>
        </w:rPr>
        <w:t>.</w:t>
      </w:r>
      <w:r w:rsidRPr="007335F2">
        <w:rPr>
          <w:noProof/>
        </w:rPr>
        <w:t xml:space="preserve"> </w:t>
      </w:r>
      <w:r w:rsidRPr="007335F2">
        <w:rPr>
          <w:strike/>
          <w:noProof/>
        </w:rPr>
        <w:t>činí</w:t>
      </w:r>
      <w:r w:rsidRPr="007335F2">
        <w:rPr>
          <w:noProof/>
        </w:rPr>
        <w:t xml:space="preserve"> </w:t>
      </w:r>
      <w:r w:rsidR="006024A9" w:rsidRPr="007335F2">
        <w:rPr>
          <w:b/>
          <w:i/>
          <w:noProof/>
        </w:rPr>
        <w:t xml:space="preserve">Činí </w:t>
      </w:r>
      <w:r w:rsidRPr="007335F2">
        <w:rPr>
          <w:noProof/>
        </w:rPr>
        <w:t xml:space="preserve">tak na základě údajů zpracovaných certifikovanou platformou eFTI </w:t>
      </w:r>
      <w:r w:rsidR="006024A9" w:rsidRPr="007335F2">
        <w:rPr>
          <w:b/>
          <w:i/>
        </w:rPr>
        <w:t xml:space="preserve">v souladu s článkem 8 </w:t>
      </w:r>
      <w:r w:rsidRPr="007335F2">
        <w:rPr>
          <w:noProof/>
        </w:rPr>
        <w:t>a případně certifikovaným poskytovatelem služby eFTI</w:t>
      </w:r>
      <w:r w:rsidR="006024A9" w:rsidRPr="007335F2">
        <w:rPr>
          <w:noProof/>
        </w:rPr>
        <w:t xml:space="preserve"> </w:t>
      </w:r>
      <w:r w:rsidR="006024A9" w:rsidRPr="007335F2">
        <w:rPr>
          <w:b/>
          <w:i/>
        </w:rPr>
        <w:t>v souladu s článkem 9</w:t>
      </w:r>
      <w:r w:rsidRPr="007335F2">
        <w:rPr>
          <w:noProof/>
        </w:rPr>
        <w:t>. Regulační informace se zpřístupní ve strojově čitelném formátu a na žádost příslušného orgánu také v pro člověka čitelném formátu.</w:t>
      </w:r>
      <w:r w:rsidR="006024A9" w:rsidRPr="007335F2">
        <w:rPr>
          <w:b/>
          <w:noProof/>
        </w:rPr>
        <w:t xml:space="preserve"> [pozm. návrh 24]</w:t>
      </w:r>
    </w:p>
    <w:p w:rsidR="008522C8" w:rsidRPr="007335F2" w:rsidRDefault="009104DB" w:rsidP="0046539D">
      <w:pPr>
        <w:pStyle w:val="Text1"/>
        <w:spacing w:line="360" w:lineRule="auto"/>
        <w:jc w:val="left"/>
        <w:rPr>
          <w:b/>
          <w:noProof/>
        </w:rPr>
      </w:pPr>
      <w:r w:rsidRPr="007335F2">
        <w:rPr>
          <w:noProof/>
        </w:rPr>
        <w:t>Informace ve strojově čitelném formátu se zpřístupní pomocí ověřeného</w:t>
      </w:r>
      <w:r w:rsidR="006024A9" w:rsidRPr="007335F2">
        <w:rPr>
          <w:b/>
          <w:i/>
          <w:noProof/>
        </w:rPr>
        <w:t>,</w:t>
      </w:r>
      <w:r w:rsidRPr="007335F2">
        <w:rPr>
          <w:noProof/>
        </w:rPr>
        <w:t xml:space="preserve"> </w:t>
      </w:r>
      <w:r w:rsidR="006024A9" w:rsidRPr="007335F2">
        <w:rPr>
          <w:b/>
          <w:i/>
        </w:rPr>
        <w:t xml:space="preserve">interoperabilního </w:t>
      </w:r>
      <w:r w:rsidRPr="007335F2">
        <w:rPr>
          <w:noProof/>
        </w:rPr>
        <w:t>a zabezpečeného připojení ke zdroji dat platformy eFTI. Dotčené hospodářské subjekty sdělí internetovou adresu, která umožňuje přístup k informacím, společně se všemi dalšími prvky nezbytnými k tomu, aby příslušnému orgánu umožnily konkrétně identifikovat regulační informace.</w:t>
      </w:r>
      <w:r w:rsidR="006024A9" w:rsidRPr="007335F2">
        <w:rPr>
          <w:b/>
          <w:noProof/>
        </w:rPr>
        <w:t xml:space="preserve"> [pozm. návrh 25]</w:t>
      </w:r>
    </w:p>
    <w:p w:rsidR="008522C8" w:rsidRPr="007335F2" w:rsidRDefault="009104DB" w:rsidP="0046539D">
      <w:pPr>
        <w:pStyle w:val="Text1"/>
        <w:spacing w:line="360" w:lineRule="auto"/>
        <w:jc w:val="left"/>
        <w:rPr>
          <w:noProof/>
        </w:rPr>
      </w:pPr>
      <w:r w:rsidRPr="007335F2">
        <w:rPr>
          <w:noProof/>
        </w:rPr>
        <w:t>Informace v pro člověka čitelném formátu se zpřístupní na místě na obrazovkách elektronických zařízení vlastněných dotčeným hospodářským subjektem nebo příslušnými orgány.</w:t>
      </w:r>
    </w:p>
    <w:p w:rsidR="002F38CC" w:rsidRPr="007335F2" w:rsidRDefault="002F38CC">
      <w:pPr>
        <w:spacing w:before="0" w:after="200" w:line="276" w:lineRule="auto"/>
        <w:jc w:val="left"/>
        <w:rPr>
          <w:noProof/>
        </w:rPr>
      </w:pPr>
      <w:r w:rsidRPr="007335F2">
        <w:rPr>
          <w:noProof/>
        </w:rPr>
        <w:br w:type="page"/>
      </w:r>
    </w:p>
    <w:p w:rsidR="008522C8" w:rsidRPr="007335F2" w:rsidRDefault="009104DB" w:rsidP="0046539D">
      <w:pPr>
        <w:pStyle w:val="ManualNumPar1"/>
        <w:spacing w:line="360" w:lineRule="auto"/>
        <w:jc w:val="left"/>
        <w:rPr>
          <w:noProof/>
        </w:rPr>
      </w:pPr>
      <w:r w:rsidRPr="007335F2">
        <w:rPr>
          <w:noProof/>
        </w:rPr>
        <w:lastRenderedPageBreak/>
        <w:t>2.</w:t>
      </w:r>
      <w:r w:rsidRPr="007335F2">
        <w:rPr>
          <w:noProof/>
        </w:rPr>
        <w:tab/>
        <w:t xml:space="preserve">Členské státy přijmou opatření, aby svým příslušným orgánům umožnily zpracovávat regulační informace zpřístupněné dotčenými hospodářskými subjekty ve strojově čitelném formátu podle odst. 1 druhého pododstavce v souladu s ustanoveními stanovenými Komisí podle článku 7. </w:t>
      </w:r>
    </w:p>
    <w:p w:rsidR="008522C8" w:rsidRPr="007335F2" w:rsidRDefault="009104DB" w:rsidP="0046539D">
      <w:pPr>
        <w:pStyle w:val="Titrearticle"/>
        <w:spacing w:before="120" w:line="360" w:lineRule="auto"/>
        <w:rPr>
          <w:b/>
          <w:i w:val="0"/>
          <w:noProof/>
        </w:rPr>
      </w:pPr>
      <w:r w:rsidRPr="007335F2">
        <w:rPr>
          <w:i w:val="0"/>
          <w:noProof/>
        </w:rPr>
        <w:t>Článek 5</w:t>
      </w:r>
      <w:r w:rsidRPr="007335F2">
        <w:rPr>
          <w:i w:val="0"/>
          <w:noProof/>
        </w:rPr>
        <w:br/>
        <w:t xml:space="preserve">Přijímání </w:t>
      </w:r>
      <w:r w:rsidR="006024A9" w:rsidRPr="007335F2">
        <w:rPr>
          <w:b/>
        </w:rPr>
        <w:t xml:space="preserve">a poskytování regulačních informací </w:t>
      </w:r>
      <w:r w:rsidRPr="007335F2">
        <w:rPr>
          <w:i w:val="0"/>
          <w:noProof/>
        </w:rPr>
        <w:t>příslušnými orgány</w:t>
      </w:r>
      <w:r w:rsidR="006024A9" w:rsidRPr="007335F2">
        <w:rPr>
          <w:b/>
          <w:i w:val="0"/>
          <w:noProof/>
        </w:rPr>
        <w:t xml:space="preserve"> [pozm. návrh 26]</w:t>
      </w:r>
    </w:p>
    <w:p w:rsidR="008522C8" w:rsidRPr="007335F2" w:rsidRDefault="009104DB" w:rsidP="0046539D">
      <w:pPr>
        <w:spacing w:line="360" w:lineRule="auto"/>
        <w:jc w:val="left"/>
        <w:rPr>
          <w:noProof/>
        </w:rPr>
      </w:pPr>
      <w:r w:rsidRPr="007335F2">
        <w:rPr>
          <w:noProof/>
        </w:rPr>
        <w:t>Příslušné orgány členských států přijímají regulační informace zpřístupněné dotčenými hospodářskými subjekty v elektronické podobě v souladu s článkem 4.</w:t>
      </w:r>
    </w:p>
    <w:p w:rsidR="006024A9" w:rsidRPr="007335F2" w:rsidRDefault="006024A9" w:rsidP="0046539D">
      <w:pPr>
        <w:spacing w:line="360" w:lineRule="auto"/>
        <w:jc w:val="left"/>
        <w:rPr>
          <w:b/>
          <w:noProof/>
        </w:rPr>
      </w:pPr>
      <w:r w:rsidRPr="007335F2">
        <w:rPr>
          <w:b/>
          <w:i/>
        </w:rPr>
        <w:t>Příslušné orgány členských států komunikují s dotčenými hospodářskými subjekty ohledně regulačních informací elektronicky.</w:t>
      </w:r>
      <w:r w:rsidRPr="007335F2">
        <w:rPr>
          <w:b/>
        </w:rPr>
        <w:t xml:space="preserve"> [</w:t>
      </w:r>
      <w:proofErr w:type="spellStart"/>
      <w:r w:rsidRPr="007335F2">
        <w:rPr>
          <w:b/>
        </w:rPr>
        <w:t>pozm</w:t>
      </w:r>
      <w:proofErr w:type="spellEnd"/>
      <w:r w:rsidRPr="007335F2">
        <w:rPr>
          <w:b/>
        </w:rPr>
        <w:t>. návrh 27]</w:t>
      </w:r>
    </w:p>
    <w:p w:rsidR="008522C8" w:rsidRPr="007335F2" w:rsidRDefault="009104DB" w:rsidP="0046539D">
      <w:pPr>
        <w:pStyle w:val="Titrearticle"/>
        <w:spacing w:before="120" w:line="360" w:lineRule="auto"/>
        <w:rPr>
          <w:i w:val="0"/>
          <w:noProof/>
        </w:rPr>
      </w:pPr>
      <w:r w:rsidRPr="007335F2">
        <w:rPr>
          <w:i w:val="0"/>
          <w:noProof/>
        </w:rPr>
        <w:t>Článek 6</w:t>
      </w:r>
      <w:r w:rsidRPr="007335F2">
        <w:rPr>
          <w:i w:val="0"/>
          <w:noProof/>
        </w:rPr>
        <w:br/>
        <w:t>Důvěrné obchodní informace</w:t>
      </w:r>
    </w:p>
    <w:p w:rsidR="008522C8" w:rsidRPr="007335F2" w:rsidRDefault="009104DB" w:rsidP="0046539D">
      <w:pPr>
        <w:spacing w:line="360" w:lineRule="auto"/>
        <w:jc w:val="left"/>
        <w:rPr>
          <w:noProof/>
        </w:rPr>
      </w:pPr>
      <w:r w:rsidRPr="007335F2">
        <w:rPr>
          <w:noProof/>
        </w:rPr>
        <w:t>Příslušné orgány, poskytovatelé služeb eFTI a dotčené hospodářské subjekty přijmou opatření, aby byla zajištěna důvěrnost obchodních informací zpracovávaných a vyměňovaných v souladu s tímto nařízením.</w:t>
      </w:r>
    </w:p>
    <w:p w:rsidR="002F38CC" w:rsidRPr="007335F2" w:rsidRDefault="002F38CC">
      <w:pPr>
        <w:spacing w:before="0" w:after="200" w:line="276" w:lineRule="auto"/>
        <w:jc w:val="left"/>
        <w:rPr>
          <w:noProof/>
        </w:rPr>
      </w:pPr>
      <w:r w:rsidRPr="007335F2">
        <w:rPr>
          <w:i/>
          <w:noProof/>
        </w:rPr>
        <w:br w:type="page"/>
      </w:r>
    </w:p>
    <w:p w:rsidR="008522C8" w:rsidRPr="007335F2" w:rsidRDefault="009104DB" w:rsidP="0046539D">
      <w:pPr>
        <w:pStyle w:val="Titrearticle"/>
        <w:spacing w:before="120" w:line="360" w:lineRule="auto"/>
        <w:rPr>
          <w:i w:val="0"/>
          <w:noProof/>
        </w:rPr>
      </w:pPr>
      <w:r w:rsidRPr="007335F2">
        <w:rPr>
          <w:i w:val="0"/>
          <w:noProof/>
        </w:rPr>
        <w:lastRenderedPageBreak/>
        <w:t>Článek 7</w:t>
      </w:r>
      <w:r w:rsidRPr="007335F2">
        <w:rPr>
          <w:i w:val="0"/>
          <w:noProof/>
        </w:rPr>
        <w:br/>
        <w:t>Společná sada údajů eFTI, postupy a pravidla pro přístup</w:t>
      </w:r>
    </w:p>
    <w:p w:rsidR="008522C8" w:rsidRPr="007335F2" w:rsidRDefault="009104DB" w:rsidP="0046539D">
      <w:pPr>
        <w:spacing w:line="360" w:lineRule="auto"/>
        <w:jc w:val="left"/>
        <w:rPr>
          <w:b/>
          <w:noProof/>
        </w:rPr>
      </w:pPr>
      <w:r w:rsidRPr="007335F2">
        <w:rPr>
          <w:strike/>
          <w:noProof/>
        </w:rPr>
        <w:t>Komise v prováděcích aktech</w:t>
      </w:r>
      <w:r w:rsidRPr="007335F2">
        <w:rPr>
          <w:noProof/>
        </w:rPr>
        <w:t xml:space="preserve"> </w:t>
      </w:r>
      <w:r w:rsidR="006024A9" w:rsidRPr="007335F2">
        <w:rPr>
          <w:b/>
          <w:i/>
        </w:rPr>
        <w:t xml:space="preserve">Komisi je svěřena pravomoc přijímat akty v přenesené pravomoci v souladu s článkem 13, v nichž </w:t>
      </w:r>
      <w:r w:rsidRPr="007335F2">
        <w:rPr>
          <w:noProof/>
        </w:rPr>
        <w:t>stanoví:</w:t>
      </w:r>
      <w:r w:rsidR="006024A9" w:rsidRPr="007335F2">
        <w:rPr>
          <w:b/>
          <w:noProof/>
        </w:rPr>
        <w:t xml:space="preserve"> [pozm. návrh 28]</w:t>
      </w:r>
    </w:p>
    <w:p w:rsidR="008522C8" w:rsidRPr="007335F2" w:rsidRDefault="009104DB" w:rsidP="0046539D">
      <w:pPr>
        <w:pStyle w:val="Point0"/>
        <w:spacing w:line="360" w:lineRule="auto"/>
        <w:jc w:val="left"/>
        <w:rPr>
          <w:noProof/>
        </w:rPr>
      </w:pPr>
      <w:r w:rsidRPr="007335F2">
        <w:rPr>
          <w:noProof/>
        </w:rPr>
        <w:t>a)</w:t>
      </w:r>
      <w:r w:rsidRPr="007335F2">
        <w:rPr>
          <w:noProof/>
        </w:rPr>
        <w:tab/>
        <w:t>společnou sadu a dílčí sady údajů eFTI v souvislosti s příslušnými požadavky na regulační informace, včetně odpovídajících definic pro každý datový prvek zahrnutý do společné sady a dílčích sad údajů;</w:t>
      </w:r>
    </w:p>
    <w:p w:rsidR="006024A9" w:rsidRPr="007335F2" w:rsidRDefault="009104DB" w:rsidP="0046539D">
      <w:pPr>
        <w:pStyle w:val="Point0"/>
        <w:spacing w:line="360" w:lineRule="auto"/>
        <w:jc w:val="left"/>
        <w:rPr>
          <w:noProof/>
        </w:rPr>
      </w:pPr>
      <w:r w:rsidRPr="007335F2">
        <w:rPr>
          <w:noProof/>
        </w:rPr>
        <w:t>b)</w:t>
      </w:r>
      <w:r w:rsidRPr="007335F2">
        <w:rPr>
          <w:noProof/>
        </w:rPr>
        <w:tab/>
        <w:t>společné postupy a podrobná pravidla včetně společných technických specifikací pro přístup příslušných orgánů k platformám eFTI a také včetně postupů pro zpracování regulačních informací zpřístupněných dotčenými hospodářskými subjekty v elektronické podobě</w:t>
      </w:r>
      <w:r w:rsidR="006024A9" w:rsidRPr="007335F2">
        <w:rPr>
          <w:noProof/>
        </w:rPr>
        <w:t>;</w:t>
      </w:r>
    </w:p>
    <w:p w:rsidR="008522C8" w:rsidRPr="007335F2" w:rsidRDefault="006024A9" w:rsidP="0046539D">
      <w:pPr>
        <w:pStyle w:val="Point0"/>
        <w:spacing w:line="360" w:lineRule="auto"/>
        <w:jc w:val="left"/>
        <w:rPr>
          <w:b/>
        </w:rPr>
      </w:pPr>
      <w:r w:rsidRPr="007335F2">
        <w:rPr>
          <w:b/>
          <w:i/>
        </w:rPr>
        <w:t>ba)</w:t>
      </w:r>
      <w:r w:rsidRPr="007335F2">
        <w:rPr>
          <w:b/>
          <w:i/>
        </w:rPr>
        <w:tab/>
        <w:t>společné postupy a podrobná pravidla pro potvrzení totožnosti každé fyzické nebo právnické osoby vydávající níže uvedené právně závazné prohlášení.</w:t>
      </w:r>
      <w:r w:rsidRPr="007335F2">
        <w:rPr>
          <w:b/>
        </w:rPr>
        <w:t xml:space="preserve"> [</w:t>
      </w:r>
      <w:proofErr w:type="spellStart"/>
      <w:r w:rsidRPr="007335F2">
        <w:rPr>
          <w:b/>
        </w:rPr>
        <w:t>pozm</w:t>
      </w:r>
      <w:proofErr w:type="spellEnd"/>
      <w:r w:rsidRPr="007335F2">
        <w:rPr>
          <w:b/>
        </w:rPr>
        <w:t>. návrh 29]</w:t>
      </w:r>
    </w:p>
    <w:p w:rsidR="006024A9" w:rsidRPr="007335F2" w:rsidRDefault="006024A9" w:rsidP="007335F2">
      <w:pPr>
        <w:pStyle w:val="Point0"/>
        <w:spacing w:line="360" w:lineRule="auto"/>
        <w:ind w:left="0" w:firstLine="0"/>
        <w:jc w:val="left"/>
        <w:rPr>
          <w:b/>
          <w:noProof/>
        </w:rPr>
      </w:pPr>
      <w:r w:rsidRPr="007335F2">
        <w:rPr>
          <w:b/>
          <w:i/>
        </w:rPr>
        <w:t xml:space="preserve">Existující standardizované datové modely a soubory dat určené v mezinárodních úmluvách, jež jsou v Unii platné, se použijí jako referenční pro určení těchto společných údajů </w:t>
      </w:r>
      <w:proofErr w:type="spellStart"/>
      <w:r w:rsidRPr="007335F2">
        <w:rPr>
          <w:b/>
          <w:i/>
        </w:rPr>
        <w:t>eFTI</w:t>
      </w:r>
      <w:proofErr w:type="spellEnd"/>
      <w:r w:rsidRPr="007335F2">
        <w:rPr>
          <w:b/>
          <w:i/>
        </w:rPr>
        <w:t>, postupů a pravidel pro přístup.</w:t>
      </w:r>
      <w:r w:rsidRPr="007335F2">
        <w:rPr>
          <w:b/>
        </w:rPr>
        <w:t xml:space="preserve"> [</w:t>
      </w:r>
      <w:proofErr w:type="spellStart"/>
      <w:r w:rsidRPr="007335F2">
        <w:rPr>
          <w:b/>
        </w:rPr>
        <w:t>pozm</w:t>
      </w:r>
      <w:proofErr w:type="spellEnd"/>
      <w:r w:rsidRPr="007335F2">
        <w:rPr>
          <w:b/>
        </w:rPr>
        <w:t>. návrh 30]</w:t>
      </w:r>
    </w:p>
    <w:p w:rsidR="008522C8" w:rsidRPr="007335F2" w:rsidRDefault="009104DB" w:rsidP="0046539D">
      <w:pPr>
        <w:spacing w:line="360" w:lineRule="auto"/>
        <w:jc w:val="left"/>
        <w:rPr>
          <w:b/>
          <w:noProof/>
        </w:rPr>
      </w:pPr>
      <w:r w:rsidRPr="007335F2">
        <w:rPr>
          <w:strike/>
          <w:noProof/>
        </w:rPr>
        <w:t>Tyto prováděcí akty se přijímají přezkumným postupem podle čl. 14 odst. 2.</w:t>
      </w:r>
      <w:r w:rsidR="006024A9" w:rsidRPr="007335F2">
        <w:rPr>
          <w:b/>
          <w:noProof/>
        </w:rPr>
        <w:t xml:space="preserve"> [pozm. návrh 31]</w:t>
      </w:r>
    </w:p>
    <w:p w:rsidR="002F38CC" w:rsidRPr="007335F2" w:rsidRDefault="002F38CC">
      <w:pPr>
        <w:spacing w:before="0" w:after="200" w:line="276" w:lineRule="auto"/>
        <w:jc w:val="left"/>
        <w:rPr>
          <w:smallCaps/>
          <w:noProof/>
          <w:szCs w:val="24"/>
        </w:rPr>
      </w:pPr>
      <w:r w:rsidRPr="007335F2">
        <w:rPr>
          <w:b/>
          <w:noProof/>
          <w:szCs w:val="24"/>
        </w:rPr>
        <w:br w:type="page"/>
      </w:r>
    </w:p>
    <w:p w:rsidR="008522C8" w:rsidRPr="007335F2" w:rsidRDefault="0046539D" w:rsidP="0046539D">
      <w:pPr>
        <w:pStyle w:val="SectionTitle"/>
        <w:spacing w:after="120" w:line="360" w:lineRule="auto"/>
        <w:rPr>
          <w:b w:val="0"/>
          <w:noProof/>
          <w:sz w:val="24"/>
          <w:szCs w:val="24"/>
        </w:rPr>
      </w:pPr>
      <w:r w:rsidRPr="007335F2">
        <w:rPr>
          <w:b w:val="0"/>
          <w:noProof/>
          <w:sz w:val="24"/>
          <w:szCs w:val="24"/>
        </w:rPr>
        <w:lastRenderedPageBreak/>
        <w:t>KAPITOLA III</w:t>
      </w:r>
      <w:r w:rsidR="009104DB" w:rsidRPr="007335F2">
        <w:rPr>
          <w:b w:val="0"/>
          <w:noProof/>
          <w:sz w:val="24"/>
          <w:szCs w:val="24"/>
        </w:rPr>
        <w:br/>
        <w:t>PLATFORMY A SLUŽBY eFTI</w:t>
      </w:r>
    </w:p>
    <w:p w:rsidR="008522C8" w:rsidRPr="007335F2" w:rsidRDefault="009104DB" w:rsidP="0046539D">
      <w:pPr>
        <w:pStyle w:val="SectionTitle"/>
        <w:spacing w:after="120" w:line="360" w:lineRule="auto"/>
        <w:rPr>
          <w:b w:val="0"/>
          <w:noProof/>
          <w:sz w:val="24"/>
          <w:szCs w:val="24"/>
        </w:rPr>
      </w:pPr>
      <w:r w:rsidRPr="007335F2">
        <w:rPr>
          <w:b w:val="0"/>
          <w:noProof/>
          <w:sz w:val="24"/>
          <w:szCs w:val="24"/>
        </w:rPr>
        <w:t>ODDÍL 1</w:t>
      </w:r>
      <w:r w:rsidRPr="007335F2">
        <w:rPr>
          <w:b w:val="0"/>
          <w:noProof/>
          <w:sz w:val="24"/>
          <w:szCs w:val="24"/>
        </w:rPr>
        <w:br/>
        <w:t>Požadavky na platformy a služby eFTI</w:t>
      </w:r>
    </w:p>
    <w:p w:rsidR="008522C8" w:rsidRPr="007335F2" w:rsidRDefault="009104DB" w:rsidP="0046539D">
      <w:pPr>
        <w:pStyle w:val="Titrearticle"/>
        <w:spacing w:before="120" w:line="360" w:lineRule="auto"/>
        <w:rPr>
          <w:i w:val="0"/>
          <w:noProof/>
        </w:rPr>
      </w:pPr>
      <w:r w:rsidRPr="007335F2">
        <w:rPr>
          <w:i w:val="0"/>
          <w:noProof/>
        </w:rPr>
        <w:t>Článek 8</w:t>
      </w:r>
      <w:r w:rsidRPr="007335F2">
        <w:rPr>
          <w:i w:val="0"/>
          <w:noProof/>
        </w:rPr>
        <w:br/>
        <w:t>Funkční požadavky na platformy eFTI</w:t>
      </w:r>
    </w:p>
    <w:p w:rsidR="008522C8" w:rsidRPr="007335F2" w:rsidRDefault="009104DB" w:rsidP="0046539D">
      <w:pPr>
        <w:pStyle w:val="ManualNumPar1"/>
        <w:spacing w:line="360" w:lineRule="auto"/>
        <w:jc w:val="left"/>
        <w:rPr>
          <w:b/>
          <w:noProof/>
        </w:rPr>
      </w:pPr>
      <w:r w:rsidRPr="007335F2">
        <w:rPr>
          <w:noProof/>
        </w:rPr>
        <w:t>1.</w:t>
      </w:r>
      <w:r w:rsidRPr="007335F2">
        <w:rPr>
          <w:noProof/>
        </w:rPr>
        <w:tab/>
      </w:r>
      <w:r w:rsidR="006024A9" w:rsidRPr="007335F2">
        <w:rPr>
          <w:b/>
          <w:i/>
        </w:rPr>
        <w:t xml:space="preserve">Platformy </w:t>
      </w:r>
      <w:proofErr w:type="spellStart"/>
      <w:r w:rsidR="006024A9" w:rsidRPr="007335F2">
        <w:rPr>
          <w:b/>
          <w:i/>
        </w:rPr>
        <w:t>eFTI</w:t>
      </w:r>
      <w:proofErr w:type="spellEnd"/>
      <w:r w:rsidR="006024A9" w:rsidRPr="007335F2">
        <w:rPr>
          <w:b/>
          <w:i/>
        </w:rPr>
        <w:t xml:space="preserve"> se řídí obecnou zásadou technologické neutrality a interoperability.</w:t>
      </w:r>
      <w:r w:rsidR="006024A9" w:rsidRPr="007335F2">
        <w:t xml:space="preserve"> </w:t>
      </w:r>
      <w:r w:rsidRPr="007335F2">
        <w:rPr>
          <w:noProof/>
        </w:rPr>
        <w:t>Platformy eFTI používané pro zpracování regulačních informací poskytují funkce, které zajistí, aby:</w:t>
      </w:r>
      <w:r w:rsidR="006024A9" w:rsidRPr="007335F2">
        <w:rPr>
          <w:b/>
          <w:noProof/>
        </w:rPr>
        <w:t xml:space="preserve"> [pozm. návrh 32]</w:t>
      </w:r>
    </w:p>
    <w:p w:rsidR="008522C8" w:rsidRPr="007335F2" w:rsidRDefault="009104DB" w:rsidP="0046539D">
      <w:pPr>
        <w:pStyle w:val="Point0"/>
        <w:spacing w:line="360" w:lineRule="auto"/>
        <w:ind w:left="1418" w:hanging="567"/>
        <w:jc w:val="left"/>
        <w:rPr>
          <w:b/>
          <w:noProof/>
        </w:rPr>
      </w:pPr>
      <w:r w:rsidRPr="007335F2">
        <w:rPr>
          <w:noProof/>
        </w:rPr>
        <w:t>a)</w:t>
      </w:r>
      <w:r w:rsidRPr="007335F2">
        <w:rPr>
          <w:noProof/>
        </w:rPr>
        <w:tab/>
        <w:t xml:space="preserve">osobní údaje </w:t>
      </w:r>
      <w:r w:rsidRPr="007335F2">
        <w:rPr>
          <w:strike/>
          <w:noProof/>
        </w:rPr>
        <w:t>mohly</w:t>
      </w:r>
      <w:r w:rsidRPr="007335F2">
        <w:rPr>
          <w:noProof/>
        </w:rPr>
        <w:t xml:space="preserve"> </w:t>
      </w:r>
      <w:r w:rsidR="006024A9" w:rsidRPr="007335F2">
        <w:rPr>
          <w:b/>
          <w:i/>
          <w:noProof/>
        </w:rPr>
        <w:t>musí</w:t>
      </w:r>
      <w:r w:rsidR="006024A9" w:rsidRPr="007335F2">
        <w:rPr>
          <w:noProof/>
        </w:rPr>
        <w:t xml:space="preserve"> </w:t>
      </w:r>
      <w:r w:rsidRPr="007335F2">
        <w:rPr>
          <w:noProof/>
        </w:rPr>
        <w:t>být zpracovávány v souladu s nařízením Evropského parlamentu a Rady (EU) 2016/679;</w:t>
      </w:r>
      <w:r w:rsidR="006024A9" w:rsidRPr="007335F2">
        <w:rPr>
          <w:b/>
          <w:noProof/>
        </w:rPr>
        <w:t xml:space="preserve"> [pozm. návrh 33]</w:t>
      </w:r>
    </w:p>
    <w:p w:rsidR="008522C8" w:rsidRPr="007335F2" w:rsidRDefault="009104DB" w:rsidP="0046539D">
      <w:pPr>
        <w:pStyle w:val="Point0"/>
        <w:spacing w:line="360" w:lineRule="auto"/>
        <w:ind w:left="1418" w:hanging="567"/>
        <w:jc w:val="left"/>
        <w:rPr>
          <w:b/>
          <w:noProof/>
        </w:rPr>
      </w:pPr>
      <w:r w:rsidRPr="007335F2">
        <w:rPr>
          <w:noProof/>
        </w:rPr>
        <w:t>b)</w:t>
      </w:r>
      <w:r w:rsidRPr="007335F2">
        <w:rPr>
          <w:noProof/>
        </w:rPr>
        <w:tab/>
        <w:t xml:space="preserve">obchodní údaje </w:t>
      </w:r>
      <w:r w:rsidRPr="007335F2">
        <w:rPr>
          <w:strike/>
          <w:noProof/>
        </w:rPr>
        <w:t>mohly</w:t>
      </w:r>
      <w:r w:rsidRPr="007335F2">
        <w:rPr>
          <w:noProof/>
        </w:rPr>
        <w:t xml:space="preserve"> </w:t>
      </w:r>
      <w:r w:rsidR="006024A9" w:rsidRPr="007335F2">
        <w:rPr>
          <w:b/>
          <w:i/>
          <w:noProof/>
        </w:rPr>
        <w:t>musí</w:t>
      </w:r>
      <w:r w:rsidR="006024A9" w:rsidRPr="007335F2">
        <w:rPr>
          <w:noProof/>
        </w:rPr>
        <w:t xml:space="preserve"> </w:t>
      </w:r>
      <w:r w:rsidRPr="007335F2">
        <w:rPr>
          <w:noProof/>
        </w:rPr>
        <w:t>být zpracovávány v souladu s článkem 6;</w:t>
      </w:r>
      <w:r w:rsidR="006024A9" w:rsidRPr="007335F2">
        <w:rPr>
          <w:b/>
          <w:noProof/>
        </w:rPr>
        <w:t xml:space="preserve"> [pozm. návrh 34]</w:t>
      </w:r>
    </w:p>
    <w:p w:rsidR="006024A9" w:rsidRPr="007335F2" w:rsidRDefault="006024A9" w:rsidP="0046539D">
      <w:pPr>
        <w:pStyle w:val="Point0"/>
        <w:spacing w:line="360" w:lineRule="auto"/>
        <w:ind w:left="1418" w:hanging="567"/>
        <w:jc w:val="left"/>
        <w:rPr>
          <w:b/>
          <w:noProof/>
        </w:rPr>
      </w:pPr>
      <w:r w:rsidRPr="007335F2">
        <w:rPr>
          <w:b/>
          <w:i/>
        </w:rPr>
        <w:t>ba)</w:t>
      </w:r>
      <w:r w:rsidRPr="007335F2">
        <w:rPr>
          <w:b/>
          <w:i/>
        </w:rPr>
        <w:tab/>
        <w:t xml:space="preserve">platformy </w:t>
      </w:r>
      <w:proofErr w:type="spellStart"/>
      <w:r w:rsidRPr="007335F2">
        <w:rPr>
          <w:b/>
          <w:i/>
        </w:rPr>
        <w:t>eFTI</w:t>
      </w:r>
      <w:proofErr w:type="spellEnd"/>
      <w:r w:rsidRPr="007335F2">
        <w:rPr>
          <w:b/>
          <w:i/>
        </w:rPr>
        <w:t xml:space="preserve"> a údaje, které obsahují, byly interoperabilní;</w:t>
      </w:r>
      <w:r w:rsidRPr="007335F2">
        <w:rPr>
          <w:b/>
        </w:rPr>
        <w:t xml:space="preserve"> [</w:t>
      </w:r>
      <w:proofErr w:type="spellStart"/>
      <w:r w:rsidRPr="007335F2">
        <w:rPr>
          <w:b/>
        </w:rPr>
        <w:t>pozm</w:t>
      </w:r>
      <w:proofErr w:type="spellEnd"/>
      <w:r w:rsidRPr="007335F2">
        <w:rPr>
          <w:b/>
        </w:rPr>
        <w:t>. návrh 35]</w:t>
      </w:r>
    </w:p>
    <w:p w:rsidR="008522C8" w:rsidRPr="007335F2" w:rsidRDefault="009104DB" w:rsidP="0046539D">
      <w:pPr>
        <w:pStyle w:val="Point0"/>
        <w:spacing w:line="360" w:lineRule="auto"/>
        <w:ind w:left="1418" w:hanging="567"/>
        <w:jc w:val="left"/>
        <w:rPr>
          <w:b/>
          <w:noProof/>
        </w:rPr>
      </w:pPr>
      <w:r w:rsidRPr="007335F2">
        <w:rPr>
          <w:noProof/>
        </w:rPr>
        <w:t>c)</w:t>
      </w:r>
      <w:r w:rsidRPr="007335F2">
        <w:rPr>
          <w:noProof/>
        </w:rPr>
        <w:tab/>
        <w:t xml:space="preserve">mohly být zřízeny jedinečné elektronické identifikační odkazy propojující zpracovávané údaje a fyzickou dodávku určené sady zboží, k níž se tyto údaje vztahují, a to od místa původu po místo určení, v souladu s podmínkami jediné přepravní smlouvy </w:t>
      </w:r>
      <w:r w:rsidRPr="007335F2">
        <w:rPr>
          <w:strike/>
          <w:noProof/>
        </w:rPr>
        <w:t>a bez ohledu na množství nebo počet nádob, balení nebo kusů</w:t>
      </w:r>
      <w:r w:rsidR="008F02B0" w:rsidRPr="007335F2">
        <w:rPr>
          <w:noProof/>
        </w:rPr>
        <w:t xml:space="preserve"> </w:t>
      </w:r>
      <w:r w:rsidR="008F02B0" w:rsidRPr="007335F2">
        <w:rPr>
          <w:b/>
          <w:i/>
        </w:rPr>
        <w:t>nebo nákladního listu</w:t>
      </w:r>
      <w:r w:rsidRPr="007335F2">
        <w:rPr>
          <w:noProof/>
        </w:rPr>
        <w:t>;</w:t>
      </w:r>
      <w:r w:rsidR="008F02B0" w:rsidRPr="007335F2">
        <w:rPr>
          <w:b/>
          <w:noProof/>
        </w:rPr>
        <w:t xml:space="preserve"> [pozm. návrh 36]</w:t>
      </w:r>
    </w:p>
    <w:p w:rsidR="002F38CC" w:rsidRPr="007335F2" w:rsidRDefault="002F38CC">
      <w:pPr>
        <w:spacing w:before="0" w:after="200" w:line="276" w:lineRule="auto"/>
        <w:jc w:val="left"/>
        <w:rPr>
          <w:noProof/>
        </w:rPr>
      </w:pPr>
      <w:r w:rsidRPr="007335F2">
        <w:rPr>
          <w:noProof/>
        </w:rPr>
        <w:br w:type="page"/>
      </w:r>
    </w:p>
    <w:p w:rsidR="008522C8" w:rsidRPr="007335F2" w:rsidRDefault="009104DB" w:rsidP="0046539D">
      <w:pPr>
        <w:pStyle w:val="Point0"/>
        <w:spacing w:line="360" w:lineRule="auto"/>
        <w:ind w:left="1418" w:hanging="567"/>
        <w:jc w:val="left"/>
        <w:rPr>
          <w:noProof/>
        </w:rPr>
      </w:pPr>
      <w:r w:rsidRPr="007335F2">
        <w:rPr>
          <w:noProof/>
        </w:rPr>
        <w:lastRenderedPageBreak/>
        <w:t>d)</w:t>
      </w:r>
      <w:r w:rsidRPr="007335F2">
        <w:rPr>
          <w:noProof/>
        </w:rPr>
        <w:tab/>
        <w:t>údaje mohly být zpracovávány výhradně na základě povoleného a ověřeného přístupu;</w:t>
      </w:r>
    </w:p>
    <w:p w:rsidR="008522C8" w:rsidRPr="007335F2" w:rsidRDefault="009104DB" w:rsidP="0046539D">
      <w:pPr>
        <w:pStyle w:val="Point0"/>
        <w:spacing w:line="360" w:lineRule="auto"/>
        <w:ind w:left="1418" w:hanging="567"/>
        <w:jc w:val="left"/>
        <w:rPr>
          <w:noProof/>
        </w:rPr>
      </w:pPr>
      <w:r w:rsidRPr="007335F2">
        <w:rPr>
          <w:noProof/>
        </w:rPr>
        <w:t>e)</w:t>
      </w:r>
      <w:r w:rsidRPr="007335F2">
        <w:rPr>
          <w:noProof/>
        </w:rPr>
        <w:tab/>
        <w:t>všechny operace zpracování byly řádně zaznamenány s cílem umožnit přinejmenším identifikaci každé jednotlivé operace, fyzické či právnické osoby, která operaci provedla, a rozčlenění operací na jednotlivé datové prvky; pokud operace zahrnuje změnu nebo výmaz stávajícího datového prvku, původní datový prvek se uchová;</w:t>
      </w:r>
    </w:p>
    <w:p w:rsidR="008F02B0" w:rsidRPr="007335F2" w:rsidRDefault="008F02B0" w:rsidP="0046539D">
      <w:pPr>
        <w:pStyle w:val="Point0"/>
        <w:spacing w:line="360" w:lineRule="auto"/>
        <w:ind w:left="1418" w:hanging="567"/>
        <w:jc w:val="left"/>
        <w:rPr>
          <w:b/>
          <w:noProof/>
        </w:rPr>
      </w:pPr>
      <w:proofErr w:type="spellStart"/>
      <w:r w:rsidRPr="007335F2">
        <w:rPr>
          <w:b/>
          <w:i/>
        </w:rPr>
        <w:t>ea</w:t>
      </w:r>
      <w:proofErr w:type="spellEnd"/>
      <w:r w:rsidRPr="007335F2">
        <w:rPr>
          <w:b/>
          <w:i/>
        </w:rPr>
        <w:t>)</w:t>
      </w:r>
      <w:r w:rsidRPr="007335F2">
        <w:rPr>
          <w:b/>
          <w:i/>
        </w:rPr>
        <w:tab/>
        <w:t>příslušné orgány mají bezprostřední přístup ke všem příslušným informacím, jak stanoví vnitrostátní či unijní právní předpisy, s cílem zajistit veřejný pořádek a dodržování právních aktů Unie, kterými se řídí přeprava zboží v souladu se třetí částí hlavou VI Smlouvy;</w:t>
      </w:r>
      <w:r w:rsidRPr="007335F2">
        <w:rPr>
          <w:b/>
        </w:rPr>
        <w:t xml:space="preserve"> [</w:t>
      </w:r>
      <w:proofErr w:type="spellStart"/>
      <w:r w:rsidRPr="007335F2">
        <w:rPr>
          <w:b/>
        </w:rPr>
        <w:t>pozm</w:t>
      </w:r>
      <w:proofErr w:type="spellEnd"/>
      <w:r w:rsidRPr="007335F2">
        <w:rPr>
          <w:b/>
        </w:rPr>
        <w:t>. návrh 37]</w:t>
      </w:r>
    </w:p>
    <w:p w:rsidR="008522C8" w:rsidRPr="007335F2" w:rsidRDefault="009104DB" w:rsidP="0046539D">
      <w:pPr>
        <w:pStyle w:val="Point0"/>
        <w:spacing w:line="360" w:lineRule="auto"/>
        <w:ind w:left="1418" w:hanging="567"/>
        <w:jc w:val="left"/>
        <w:rPr>
          <w:noProof/>
        </w:rPr>
      </w:pPr>
      <w:r w:rsidRPr="007335F2">
        <w:rPr>
          <w:noProof/>
        </w:rPr>
        <w:t>f)</w:t>
      </w:r>
      <w:r w:rsidRPr="007335F2">
        <w:rPr>
          <w:noProof/>
        </w:rPr>
        <w:tab/>
        <w:t>údaje mohly být archivovány a zůstaly přístupné po vhodnou dobu v souladu s příslušnými požadavky na regulační informace;</w:t>
      </w:r>
    </w:p>
    <w:p w:rsidR="008522C8" w:rsidRPr="007335F2" w:rsidRDefault="009104DB" w:rsidP="0046539D">
      <w:pPr>
        <w:pStyle w:val="Point0"/>
        <w:spacing w:line="360" w:lineRule="auto"/>
        <w:ind w:left="1418" w:hanging="567"/>
        <w:jc w:val="left"/>
        <w:rPr>
          <w:noProof/>
        </w:rPr>
      </w:pPr>
      <w:r w:rsidRPr="007335F2">
        <w:rPr>
          <w:noProof/>
        </w:rPr>
        <w:t>g)</w:t>
      </w:r>
      <w:r w:rsidRPr="007335F2">
        <w:rPr>
          <w:noProof/>
        </w:rPr>
        <w:tab/>
        <w:t>údaje byly chráněny před zneužitím a krádeží;</w:t>
      </w:r>
    </w:p>
    <w:p w:rsidR="008522C8" w:rsidRPr="007335F2" w:rsidRDefault="009104DB" w:rsidP="0046539D">
      <w:pPr>
        <w:pStyle w:val="Point0"/>
        <w:spacing w:line="360" w:lineRule="auto"/>
        <w:ind w:left="1418" w:hanging="567"/>
        <w:jc w:val="left"/>
        <w:rPr>
          <w:b/>
          <w:noProof/>
        </w:rPr>
      </w:pPr>
      <w:r w:rsidRPr="007335F2">
        <w:rPr>
          <w:noProof/>
        </w:rPr>
        <w:t>h)</w:t>
      </w:r>
      <w:r w:rsidRPr="007335F2">
        <w:rPr>
          <w:noProof/>
        </w:rPr>
        <w:tab/>
        <w:t>zpracovávané datové prvky odpovídaly společné sadě a dílčím sadám údajů eFTI a mohly být zpracovávány v kterémkoli úředním jazyce Unie</w:t>
      </w:r>
      <w:r w:rsidR="008F02B0" w:rsidRPr="007335F2">
        <w:rPr>
          <w:noProof/>
        </w:rPr>
        <w:t xml:space="preserve"> </w:t>
      </w:r>
      <w:r w:rsidR="008F02B0" w:rsidRPr="007335F2">
        <w:rPr>
          <w:b/>
          <w:i/>
        </w:rPr>
        <w:t>nebo v</w:t>
      </w:r>
      <w:r w:rsidR="00B150FF" w:rsidRPr="007335F2">
        <w:rPr>
          <w:noProof/>
        </w:rPr>
        <w:t> </w:t>
      </w:r>
      <w:r w:rsidR="008F02B0" w:rsidRPr="007335F2">
        <w:rPr>
          <w:b/>
          <w:i/>
        </w:rPr>
        <w:t>dalším úředním jazyce v určitém členském státě</w:t>
      </w:r>
      <w:r w:rsidRPr="007335F2">
        <w:rPr>
          <w:noProof/>
        </w:rPr>
        <w:t>.</w:t>
      </w:r>
      <w:r w:rsidR="008F02B0" w:rsidRPr="007335F2">
        <w:rPr>
          <w:b/>
          <w:noProof/>
        </w:rPr>
        <w:t xml:space="preserve"> [pozm. návrh 38]</w:t>
      </w:r>
    </w:p>
    <w:p w:rsidR="002F38CC" w:rsidRPr="007335F2" w:rsidRDefault="002F38CC">
      <w:pPr>
        <w:spacing w:before="0" w:after="200" w:line="276" w:lineRule="auto"/>
        <w:jc w:val="left"/>
        <w:rPr>
          <w:b/>
          <w:i/>
        </w:rPr>
      </w:pPr>
      <w:r w:rsidRPr="007335F2">
        <w:rPr>
          <w:b/>
          <w:i/>
        </w:rPr>
        <w:br w:type="page"/>
      </w:r>
    </w:p>
    <w:p w:rsidR="008F02B0" w:rsidRPr="007335F2" w:rsidRDefault="008F02B0" w:rsidP="007335F2">
      <w:pPr>
        <w:pStyle w:val="Point0"/>
        <w:spacing w:line="360" w:lineRule="auto"/>
        <w:ind w:left="851" w:hanging="851"/>
        <w:jc w:val="left"/>
        <w:rPr>
          <w:b/>
          <w:noProof/>
        </w:rPr>
      </w:pPr>
      <w:r w:rsidRPr="007335F2">
        <w:rPr>
          <w:b/>
          <w:i/>
        </w:rPr>
        <w:lastRenderedPageBreak/>
        <w:t>1a.</w:t>
      </w:r>
      <w:r w:rsidRPr="007335F2">
        <w:rPr>
          <w:b/>
          <w:i/>
        </w:rPr>
        <w:tab/>
        <w:t xml:space="preserve">Zavádí se standardizovaný formát </w:t>
      </w:r>
      <w:proofErr w:type="spellStart"/>
      <w:r w:rsidRPr="007335F2">
        <w:rPr>
          <w:b/>
          <w:i/>
        </w:rPr>
        <w:t>eFTI</w:t>
      </w:r>
      <w:proofErr w:type="spellEnd"/>
      <w:r w:rsidRPr="007335F2">
        <w:rPr>
          <w:b/>
          <w:i/>
        </w:rPr>
        <w:t xml:space="preserve">, který obsahuje všechny požadavky na regulační informace uvedené v části A přílohy 1 a všechny požadavky na regulační informace uvedené v části B přílohy 1, a to ve zvláštním a samostatném oddílu formátu </w:t>
      </w:r>
      <w:proofErr w:type="spellStart"/>
      <w:r w:rsidRPr="007335F2">
        <w:rPr>
          <w:b/>
          <w:i/>
        </w:rPr>
        <w:t>eFTI</w:t>
      </w:r>
      <w:proofErr w:type="spellEnd"/>
      <w:r w:rsidRPr="007335F2">
        <w:rPr>
          <w:b/>
          <w:i/>
        </w:rPr>
        <w:t xml:space="preserve"> vypracovaném členskými státy.</w:t>
      </w:r>
      <w:r w:rsidRPr="007335F2">
        <w:rPr>
          <w:b/>
        </w:rPr>
        <w:t xml:space="preserve"> [</w:t>
      </w:r>
      <w:proofErr w:type="spellStart"/>
      <w:r w:rsidRPr="007335F2">
        <w:rPr>
          <w:b/>
        </w:rPr>
        <w:t>pozm</w:t>
      </w:r>
      <w:proofErr w:type="spellEnd"/>
      <w:r w:rsidRPr="007335F2">
        <w:rPr>
          <w:b/>
        </w:rPr>
        <w:t>. návrh 39]</w:t>
      </w:r>
    </w:p>
    <w:p w:rsidR="008522C8" w:rsidRPr="007335F2" w:rsidRDefault="009104DB" w:rsidP="0046539D">
      <w:pPr>
        <w:pStyle w:val="ManualNumPar1"/>
        <w:spacing w:line="360" w:lineRule="auto"/>
        <w:jc w:val="left"/>
        <w:rPr>
          <w:b/>
          <w:noProof/>
        </w:rPr>
      </w:pPr>
      <w:r w:rsidRPr="007335F2">
        <w:rPr>
          <w:noProof/>
        </w:rPr>
        <w:t>2.</w:t>
      </w:r>
      <w:r w:rsidRPr="007335F2">
        <w:rPr>
          <w:noProof/>
        </w:rPr>
        <w:tab/>
      </w:r>
      <w:r w:rsidRPr="007335F2">
        <w:rPr>
          <w:strike/>
          <w:noProof/>
        </w:rPr>
        <w:t>Komise prostřednictvím prováděcích aktů přijme</w:t>
      </w:r>
      <w:r w:rsidRPr="007335F2">
        <w:rPr>
          <w:noProof/>
        </w:rPr>
        <w:t xml:space="preserve"> </w:t>
      </w:r>
      <w:r w:rsidR="008F02B0" w:rsidRPr="007335F2">
        <w:rPr>
          <w:b/>
          <w:i/>
        </w:rPr>
        <w:t>Komisi je svěřena pravomoc přijímat akty v přenesené pravomoci v souladu s článkem 13,</w:t>
      </w:r>
      <w:r w:rsidR="008F02B0" w:rsidRPr="007335F2">
        <w:t xml:space="preserve"> </w:t>
      </w:r>
      <w:r w:rsidR="008F02B0" w:rsidRPr="007335F2">
        <w:rPr>
          <w:b/>
          <w:i/>
        </w:rPr>
        <w:t xml:space="preserve">v nichž stanoví </w:t>
      </w:r>
      <w:r w:rsidRPr="007335F2">
        <w:rPr>
          <w:noProof/>
        </w:rPr>
        <w:t xml:space="preserve">podrobná pravidla pro požadavky stanovené v odstavci 1. </w:t>
      </w:r>
      <w:r w:rsidRPr="007335F2">
        <w:rPr>
          <w:strike/>
          <w:noProof/>
        </w:rPr>
        <w:t>Tyto prováděcí akty se přijímají přezkumným postupem podle čl. 14 odst. 2.</w:t>
      </w:r>
      <w:r w:rsidRPr="007335F2">
        <w:rPr>
          <w:noProof/>
        </w:rPr>
        <w:t xml:space="preserve"> </w:t>
      </w:r>
      <w:r w:rsidR="008F02B0" w:rsidRPr="007335F2">
        <w:rPr>
          <w:b/>
          <w:noProof/>
        </w:rPr>
        <w:t xml:space="preserve"> [pozm. návrh 40]</w:t>
      </w:r>
    </w:p>
    <w:p w:rsidR="008522C8" w:rsidRPr="007335F2" w:rsidRDefault="009104DB" w:rsidP="0046539D">
      <w:pPr>
        <w:pStyle w:val="Titrearticle"/>
        <w:spacing w:before="120" w:line="360" w:lineRule="auto"/>
        <w:rPr>
          <w:i w:val="0"/>
          <w:noProof/>
        </w:rPr>
      </w:pPr>
      <w:r w:rsidRPr="007335F2">
        <w:rPr>
          <w:i w:val="0"/>
          <w:noProof/>
        </w:rPr>
        <w:t>Článek 9</w:t>
      </w:r>
      <w:r w:rsidRPr="007335F2">
        <w:rPr>
          <w:i w:val="0"/>
          <w:noProof/>
        </w:rPr>
        <w:br/>
        <w:t>Požadavky na poskytovatele služeb eFTI</w:t>
      </w:r>
    </w:p>
    <w:p w:rsidR="008522C8" w:rsidRPr="007335F2" w:rsidRDefault="009104DB" w:rsidP="0046539D">
      <w:pPr>
        <w:pStyle w:val="ManualNumPar1"/>
        <w:spacing w:line="360" w:lineRule="auto"/>
        <w:jc w:val="left"/>
        <w:rPr>
          <w:noProof/>
        </w:rPr>
      </w:pPr>
      <w:r w:rsidRPr="007335F2">
        <w:rPr>
          <w:noProof/>
        </w:rPr>
        <w:t>1.</w:t>
      </w:r>
      <w:r w:rsidRPr="007335F2">
        <w:rPr>
          <w:noProof/>
        </w:rPr>
        <w:tab/>
        <w:t>Poskytovatelé služeb eFTI zajistí, aby:</w:t>
      </w:r>
    </w:p>
    <w:p w:rsidR="008522C8" w:rsidRPr="007335F2" w:rsidRDefault="009104DB" w:rsidP="0046539D">
      <w:pPr>
        <w:pStyle w:val="Point0"/>
        <w:spacing w:line="360" w:lineRule="auto"/>
        <w:ind w:left="1418" w:hanging="567"/>
        <w:jc w:val="left"/>
        <w:rPr>
          <w:noProof/>
        </w:rPr>
      </w:pPr>
      <w:r w:rsidRPr="007335F2">
        <w:rPr>
          <w:noProof/>
        </w:rPr>
        <w:t>a)</w:t>
      </w:r>
      <w:r w:rsidRPr="007335F2">
        <w:rPr>
          <w:noProof/>
        </w:rPr>
        <w:tab/>
        <w:t>údaje byly zpracovávány pouze oprávněnými uživateli a na základě jasně definované uživatelské role a práv ke zpracování v rámci platformy eFTI v souladu s příslušnými požadavky na regulační informace;</w:t>
      </w:r>
    </w:p>
    <w:p w:rsidR="008F02B0" w:rsidRPr="007335F2" w:rsidRDefault="008F02B0" w:rsidP="0046539D">
      <w:pPr>
        <w:pStyle w:val="Point0"/>
        <w:spacing w:line="360" w:lineRule="auto"/>
        <w:ind w:left="1418" w:hanging="567"/>
        <w:jc w:val="left"/>
        <w:rPr>
          <w:b/>
          <w:noProof/>
        </w:rPr>
      </w:pPr>
      <w:proofErr w:type="spellStart"/>
      <w:r w:rsidRPr="007335F2">
        <w:rPr>
          <w:b/>
          <w:i/>
        </w:rPr>
        <w:t>aa</w:t>
      </w:r>
      <w:proofErr w:type="spellEnd"/>
      <w:r w:rsidRPr="007335F2">
        <w:rPr>
          <w:b/>
          <w:i/>
        </w:rPr>
        <w:t>)</w:t>
      </w:r>
      <w:r w:rsidRPr="007335F2">
        <w:rPr>
          <w:b/>
          <w:i/>
        </w:rPr>
        <w:tab/>
        <w:t>údaje byly interoperabilní;</w:t>
      </w:r>
      <w:r w:rsidRPr="007335F2">
        <w:rPr>
          <w:b/>
        </w:rPr>
        <w:t xml:space="preserve"> [</w:t>
      </w:r>
      <w:proofErr w:type="spellStart"/>
      <w:r w:rsidRPr="007335F2">
        <w:rPr>
          <w:b/>
        </w:rPr>
        <w:t>pozm</w:t>
      </w:r>
      <w:proofErr w:type="spellEnd"/>
      <w:r w:rsidRPr="007335F2">
        <w:rPr>
          <w:b/>
        </w:rPr>
        <w:t>. návrh 41]</w:t>
      </w:r>
    </w:p>
    <w:p w:rsidR="002F38CC" w:rsidRPr="007335F2" w:rsidRDefault="002F38CC">
      <w:pPr>
        <w:spacing w:before="0" w:after="200" w:line="276" w:lineRule="auto"/>
        <w:jc w:val="left"/>
        <w:rPr>
          <w:noProof/>
        </w:rPr>
      </w:pPr>
      <w:r w:rsidRPr="007335F2">
        <w:rPr>
          <w:noProof/>
        </w:rPr>
        <w:br w:type="page"/>
      </w:r>
    </w:p>
    <w:p w:rsidR="008522C8" w:rsidRPr="007335F2" w:rsidRDefault="009104DB" w:rsidP="0046539D">
      <w:pPr>
        <w:pStyle w:val="Point0"/>
        <w:spacing w:line="360" w:lineRule="auto"/>
        <w:ind w:left="1418" w:hanging="567"/>
        <w:jc w:val="left"/>
        <w:rPr>
          <w:b/>
          <w:noProof/>
        </w:rPr>
      </w:pPr>
      <w:r w:rsidRPr="007335F2">
        <w:rPr>
          <w:noProof/>
        </w:rPr>
        <w:lastRenderedPageBreak/>
        <w:t>b)</w:t>
      </w:r>
      <w:r w:rsidRPr="007335F2">
        <w:rPr>
          <w:noProof/>
        </w:rPr>
        <w:tab/>
        <w:t xml:space="preserve">se údaje ukládaly a zůstaly přístupné po </w:t>
      </w:r>
      <w:r w:rsidRPr="007335F2">
        <w:rPr>
          <w:strike/>
          <w:noProof/>
        </w:rPr>
        <w:t>vhodnou dobu</w:t>
      </w:r>
      <w:r w:rsidRPr="007335F2">
        <w:rPr>
          <w:noProof/>
        </w:rPr>
        <w:t xml:space="preserve"> </w:t>
      </w:r>
      <w:r w:rsidR="008F02B0" w:rsidRPr="007335F2">
        <w:rPr>
          <w:b/>
          <w:i/>
        </w:rPr>
        <w:t>čtyři roky</w:t>
      </w:r>
      <w:r w:rsidR="008F02B0" w:rsidRPr="007335F2">
        <w:t xml:space="preserve"> </w:t>
      </w:r>
      <w:r w:rsidRPr="007335F2">
        <w:rPr>
          <w:noProof/>
        </w:rPr>
        <w:t>v souladu s příslušnými požadavky na regulační informace;</w:t>
      </w:r>
      <w:r w:rsidR="008F02B0" w:rsidRPr="007335F2">
        <w:rPr>
          <w:b/>
          <w:noProof/>
        </w:rPr>
        <w:t xml:space="preserve"> [pozm. návrh 42]</w:t>
      </w:r>
    </w:p>
    <w:p w:rsidR="008522C8" w:rsidRPr="007335F2" w:rsidRDefault="009104DB" w:rsidP="0046539D">
      <w:pPr>
        <w:pStyle w:val="Point0"/>
        <w:spacing w:line="360" w:lineRule="auto"/>
        <w:ind w:left="1418" w:hanging="567"/>
        <w:jc w:val="left"/>
        <w:rPr>
          <w:b/>
          <w:noProof/>
        </w:rPr>
      </w:pPr>
      <w:r w:rsidRPr="007335F2">
        <w:rPr>
          <w:noProof/>
        </w:rPr>
        <w:t>c)</w:t>
      </w:r>
      <w:r w:rsidRPr="007335F2">
        <w:rPr>
          <w:noProof/>
        </w:rPr>
        <w:tab/>
      </w:r>
      <w:r w:rsidR="008F02B0" w:rsidRPr="007335F2">
        <w:rPr>
          <w:b/>
          <w:i/>
        </w:rPr>
        <w:t xml:space="preserve">příslušné </w:t>
      </w:r>
      <w:r w:rsidRPr="007335F2">
        <w:rPr>
          <w:noProof/>
        </w:rPr>
        <w:t xml:space="preserve">orgány měly okamžitý přístup k regulačním informacím týkajícím se nákladní přepravní operace zpracovávané pomocí jejich platformy eFTI, je-li tento přístup </w:t>
      </w:r>
      <w:r w:rsidR="008F02B0" w:rsidRPr="007335F2">
        <w:rPr>
          <w:b/>
          <w:i/>
          <w:noProof/>
        </w:rPr>
        <w:t>příslušným</w:t>
      </w:r>
      <w:r w:rsidR="008F02B0" w:rsidRPr="007335F2">
        <w:rPr>
          <w:noProof/>
        </w:rPr>
        <w:t xml:space="preserve"> </w:t>
      </w:r>
      <w:r w:rsidRPr="007335F2">
        <w:rPr>
          <w:noProof/>
        </w:rPr>
        <w:t>orgánům poskytnut dotčeným hospodářským subjektem;</w:t>
      </w:r>
      <w:r w:rsidR="008F02B0" w:rsidRPr="007335F2">
        <w:rPr>
          <w:b/>
          <w:noProof/>
        </w:rPr>
        <w:t xml:space="preserve"> [pozm. návrh 43]</w:t>
      </w:r>
    </w:p>
    <w:p w:rsidR="008522C8" w:rsidRPr="007335F2" w:rsidRDefault="009104DB" w:rsidP="0046539D">
      <w:pPr>
        <w:pStyle w:val="Point0"/>
        <w:spacing w:line="360" w:lineRule="auto"/>
        <w:ind w:left="1418" w:hanging="567"/>
        <w:jc w:val="left"/>
        <w:rPr>
          <w:noProof/>
        </w:rPr>
      </w:pPr>
      <w:r w:rsidRPr="007335F2">
        <w:rPr>
          <w:noProof/>
        </w:rPr>
        <w:t>d)</w:t>
      </w:r>
      <w:r w:rsidRPr="007335F2">
        <w:rPr>
          <w:noProof/>
        </w:rPr>
        <w:tab/>
        <w:t>údaje byly přiměřeně zabezpečené, a to i proti neoprávněnému nebo protiprávnímu zpracování a proti náhodné ztrátě, zničení či poškození.</w:t>
      </w:r>
    </w:p>
    <w:p w:rsidR="008522C8" w:rsidRPr="007335F2" w:rsidRDefault="009104DB" w:rsidP="0046539D">
      <w:pPr>
        <w:pStyle w:val="ManualNumPar1"/>
        <w:spacing w:line="360" w:lineRule="auto"/>
        <w:jc w:val="left"/>
        <w:rPr>
          <w:b/>
          <w:noProof/>
        </w:rPr>
      </w:pPr>
      <w:r w:rsidRPr="007335F2">
        <w:rPr>
          <w:noProof/>
        </w:rPr>
        <w:t>2.</w:t>
      </w:r>
      <w:r w:rsidRPr="007335F2">
        <w:rPr>
          <w:noProof/>
        </w:rPr>
        <w:tab/>
      </w:r>
      <w:r w:rsidRPr="007335F2">
        <w:rPr>
          <w:strike/>
          <w:noProof/>
        </w:rPr>
        <w:t>Komise prostřednictvím prováděcích aktů přijme</w:t>
      </w:r>
      <w:r w:rsidRPr="007335F2">
        <w:rPr>
          <w:noProof/>
        </w:rPr>
        <w:t xml:space="preserve"> </w:t>
      </w:r>
      <w:r w:rsidR="008F02B0" w:rsidRPr="007335F2">
        <w:rPr>
          <w:b/>
          <w:i/>
        </w:rPr>
        <w:t>Komisi je svěřena pravomoc přijímat akty v přenesené pravomoci v souladu s článkem 13,</w:t>
      </w:r>
      <w:r w:rsidR="008F02B0" w:rsidRPr="007335F2">
        <w:t xml:space="preserve"> </w:t>
      </w:r>
      <w:r w:rsidR="008F02B0" w:rsidRPr="007335F2">
        <w:rPr>
          <w:b/>
          <w:i/>
        </w:rPr>
        <w:t xml:space="preserve">v nichž stanoví </w:t>
      </w:r>
      <w:r w:rsidRPr="007335F2">
        <w:rPr>
          <w:noProof/>
        </w:rPr>
        <w:t xml:space="preserve">podrobná pravidla pro požadavky stanovené v odstavci 1. </w:t>
      </w:r>
      <w:r w:rsidRPr="007335F2">
        <w:rPr>
          <w:strike/>
          <w:noProof/>
        </w:rPr>
        <w:t>Tyto prováděcí akty se přijímají přezkumným postupem podle čl. 14 odst. 2</w:t>
      </w:r>
      <w:r w:rsidRPr="007335F2">
        <w:rPr>
          <w:noProof/>
        </w:rPr>
        <w:t>.</w:t>
      </w:r>
      <w:r w:rsidR="008F02B0" w:rsidRPr="007335F2">
        <w:rPr>
          <w:b/>
          <w:noProof/>
        </w:rPr>
        <w:t xml:space="preserve"> [pozm. návrh 44]</w:t>
      </w:r>
    </w:p>
    <w:p w:rsidR="002F38CC" w:rsidRPr="007335F2" w:rsidRDefault="002F38CC">
      <w:pPr>
        <w:spacing w:before="0" w:after="200" w:line="276" w:lineRule="auto"/>
        <w:jc w:val="left"/>
        <w:rPr>
          <w:smallCaps/>
          <w:noProof/>
          <w:szCs w:val="24"/>
        </w:rPr>
      </w:pPr>
      <w:r w:rsidRPr="007335F2">
        <w:rPr>
          <w:b/>
          <w:noProof/>
          <w:szCs w:val="24"/>
        </w:rPr>
        <w:br w:type="page"/>
      </w:r>
    </w:p>
    <w:p w:rsidR="008522C8" w:rsidRPr="007335F2" w:rsidRDefault="009104DB" w:rsidP="0046539D">
      <w:pPr>
        <w:pStyle w:val="SectionTitle"/>
        <w:spacing w:after="120" w:line="360" w:lineRule="auto"/>
        <w:rPr>
          <w:b w:val="0"/>
          <w:noProof/>
          <w:sz w:val="24"/>
          <w:szCs w:val="24"/>
        </w:rPr>
      </w:pPr>
      <w:r w:rsidRPr="007335F2">
        <w:rPr>
          <w:b w:val="0"/>
          <w:noProof/>
          <w:sz w:val="24"/>
          <w:szCs w:val="24"/>
        </w:rPr>
        <w:lastRenderedPageBreak/>
        <w:t>ODDÍL 3</w:t>
      </w:r>
      <w:r w:rsidRPr="007335F2">
        <w:rPr>
          <w:b w:val="0"/>
          <w:noProof/>
          <w:sz w:val="24"/>
          <w:szCs w:val="24"/>
        </w:rPr>
        <w:br/>
        <w:t>Certifikace</w:t>
      </w:r>
    </w:p>
    <w:p w:rsidR="008522C8" w:rsidRPr="007335F2" w:rsidRDefault="009104DB" w:rsidP="0046539D">
      <w:pPr>
        <w:pStyle w:val="Titrearticle"/>
        <w:spacing w:before="120" w:line="360" w:lineRule="auto"/>
        <w:rPr>
          <w:i w:val="0"/>
          <w:noProof/>
        </w:rPr>
      </w:pPr>
      <w:r w:rsidRPr="007335F2">
        <w:rPr>
          <w:i w:val="0"/>
          <w:noProof/>
        </w:rPr>
        <w:t>Článek 10</w:t>
      </w:r>
      <w:r w:rsidRPr="007335F2">
        <w:rPr>
          <w:i w:val="0"/>
          <w:noProof/>
        </w:rPr>
        <w:br/>
        <w:t>Subjekty posuzování shody</w:t>
      </w:r>
    </w:p>
    <w:p w:rsidR="008522C8" w:rsidRPr="007335F2" w:rsidRDefault="009104DB" w:rsidP="0046539D">
      <w:pPr>
        <w:pStyle w:val="ManualNumPar1"/>
        <w:spacing w:line="360" w:lineRule="auto"/>
        <w:jc w:val="left"/>
        <w:rPr>
          <w:noProof/>
          <w:color w:val="000000"/>
        </w:rPr>
      </w:pPr>
      <w:r w:rsidRPr="007335F2">
        <w:rPr>
          <w:noProof/>
        </w:rPr>
        <w:t>1.</w:t>
      </w:r>
      <w:r w:rsidRPr="007335F2">
        <w:rPr>
          <w:noProof/>
        </w:rPr>
        <w:tab/>
        <w:t xml:space="preserve">Subjekty posuzování shody jsou akreditovány podle nařízení (ES) č. 765/2008 pro účely provádění certifikace platforem eFTI a poskytovatelů služeb, jak je stanoveno v článcích 11 a 12 tohoto nařízení. </w:t>
      </w:r>
    </w:p>
    <w:p w:rsidR="008522C8" w:rsidRPr="007335F2" w:rsidRDefault="009104DB" w:rsidP="0046539D">
      <w:pPr>
        <w:pStyle w:val="ManualNumPar1"/>
        <w:spacing w:line="360" w:lineRule="auto"/>
        <w:jc w:val="left"/>
        <w:rPr>
          <w:noProof/>
        </w:rPr>
      </w:pPr>
      <w:r w:rsidRPr="007335F2">
        <w:rPr>
          <w:noProof/>
        </w:rPr>
        <w:t>2.</w:t>
      </w:r>
      <w:r w:rsidRPr="007335F2">
        <w:rPr>
          <w:noProof/>
        </w:rPr>
        <w:tab/>
        <w:t xml:space="preserve">Pro účely akreditace musí subjekt posuzování shody splňovat požadavky stanovené v příloze II. </w:t>
      </w:r>
    </w:p>
    <w:p w:rsidR="008522C8" w:rsidRPr="007335F2" w:rsidRDefault="009104DB" w:rsidP="0046539D">
      <w:pPr>
        <w:pStyle w:val="ManualNumPar1"/>
        <w:spacing w:line="360" w:lineRule="auto"/>
        <w:jc w:val="left"/>
        <w:rPr>
          <w:b/>
          <w:noProof/>
          <w:color w:val="000000"/>
        </w:rPr>
      </w:pPr>
      <w:r w:rsidRPr="007335F2">
        <w:rPr>
          <w:noProof/>
        </w:rPr>
        <w:t>3.</w:t>
      </w:r>
      <w:r w:rsidRPr="007335F2">
        <w:rPr>
          <w:noProof/>
        </w:rPr>
        <w:tab/>
        <w:t xml:space="preserve">Členské státy vedou aktualizovaný seznam akreditovaných subjektů posuzování shody a platforem eFTI a poskytovatelů služeb eFTI certifikovaných těmito subjekty v souladu s články 11 a  12. Seznam veřejně zpřístupní na oficiálních internetových stránkách vlády. Seznam se </w:t>
      </w:r>
      <w:r w:rsidRPr="007335F2">
        <w:rPr>
          <w:strike/>
          <w:noProof/>
        </w:rPr>
        <w:t>pravidelně</w:t>
      </w:r>
      <w:r w:rsidRPr="007335F2">
        <w:rPr>
          <w:noProof/>
        </w:rPr>
        <w:t xml:space="preserve"> </w:t>
      </w:r>
      <w:r w:rsidR="008F02B0" w:rsidRPr="007335F2">
        <w:rPr>
          <w:b/>
          <w:i/>
        </w:rPr>
        <w:t xml:space="preserve">neprodleně </w:t>
      </w:r>
      <w:r w:rsidRPr="007335F2">
        <w:rPr>
          <w:noProof/>
        </w:rPr>
        <w:t>aktualizuje</w:t>
      </w:r>
      <w:r w:rsidR="008F02B0" w:rsidRPr="007335F2">
        <w:rPr>
          <w:noProof/>
        </w:rPr>
        <w:t xml:space="preserve"> </w:t>
      </w:r>
      <w:r w:rsidR="008F02B0" w:rsidRPr="007335F2">
        <w:rPr>
          <w:b/>
          <w:i/>
        </w:rPr>
        <w:t>pokaždé, když dojde ke změně informací v něm obsažených</w:t>
      </w:r>
      <w:r w:rsidRPr="007335F2">
        <w:rPr>
          <w:noProof/>
        </w:rPr>
        <w:t xml:space="preserve">, a to nejpozději </w:t>
      </w:r>
      <w:r w:rsidRPr="007335F2">
        <w:rPr>
          <w:strike/>
          <w:noProof/>
        </w:rPr>
        <w:t>ke dni</w:t>
      </w:r>
      <w:r w:rsidRPr="007335F2">
        <w:rPr>
          <w:noProof/>
        </w:rPr>
        <w:t xml:space="preserve"> </w:t>
      </w:r>
      <w:r w:rsidR="008F02B0" w:rsidRPr="007335F2">
        <w:rPr>
          <w:b/>
          <w:i/>
          <w:noProof/>
        </w:rPr>
        <w:t>do</w:t>
      </w:r>
      <w:r w:rsidR="008F02B0" w:rsidRPr="007335F2">
        <w:rPr>
          <w:noProof/>
        </w:rPr>
        <w:t xml:space="preserve"> </w:t>
      </w:r>
      <w:r w:rsidRPr="007335F2">
        <w:rPr>
          <w:noProof/>
        </w:rPr>
        <w:t>31. </w:t>
      </w:r>
      <w:r w:rsidRPr="007335F2">
        <w:rPr>
          <w:strike/>
          <w:noProof/>
        </w:rPr>
        <w:t>března</w:t>
      </w:r>
      <w:r w:rsidRPr="007335F2">
        <w:rPr>
          <w:noProof/>
        </w:rPr>
        <w:t xml:space="preserve"> </w:t>
      </w:r>
      <w:r w:rsidR="008F02B0" w:rsidRPr="007335F2">
        <w:rPr>
          <w:b/>
          <w:i/>
          <w:noProof/>
        </w:rPr>
        <w:t>května</w:t>
      </w:r>
      <w:r w:rsidR="008F02B0" w:rsidRPr="007335F2">
        <w:rPr>
          <w:noProof/>
        </w:rPr>
        <w:t xml:space="preserve"> </w:t>
      </w:r>
      <w:r w:rsidRPr="007335F2">
        <w:rPr>
          <w:noProof/>
        </w:rPr>
        <w:t>každého roku.</w:t>
      </w:r>
      <w:r w:rsidR="008F02B0" w:rsidRPr="007335F2">
        <w:rPr>
          <w:b/>
          <w:noProof/>
        </w:rPr>
        <w:t xml:space="preserve"> [pozm. návrh 45]</w:t>
      </w:r>
    </w:p>
    <w:p w:rsidR="002F38CC" w:rsidRPr="007335F2" w:rsidRDefault="002F38CC">
      <w:pPr>
        <w:spacing w:before="0" w:after="200" w:line="276" w:lineRule="auto"/>
        <w:jc w:val="left"/>
        <w:rPr>
          <w:noProof/>
        </w:rPr>
      </w:pPr>
      <w:r w:rsidRPr="007335F2">
        <w:rPr>
          <w:noProof/>
        </w:rPr>
        <w:br w:type="page"/>
      </w:r>
    </w:p>
    <w:p w:rsidR="008522C8" w:rsidRPr="007335F2" w:rsidRDefault="009104DB" w:rsidP="0046539D">
      <w:pPr>
        <w:pStyle w:val="ManualNumPar1"/>
        <w:spacing w:line="360" w:lineRule="auto"/>
        <w:jc w:val="left"/>
        <w:rPr>
          <w:b/>
          <w:noProof/>
        </w:rPr>
      </w:pPr>
      <w:r w:rsidRPr="007335F2">
        <w:rPr>
          <w:noProof/>
        </w:rPr>
        <w:lastRenderedPageBreak/>
        <w:t>4.</w:t>
      </w:r>
      <w:r w:rsidRPr="007335F2">
        <w:rPr>
          <w:noProof/>
        </w:rPr>
        <w:tab/>
        <w:t>Ke dni 31. </w:t>
      </w:r>
      <w:r w:rsidRPr="007335F2">
        <w:rPr>
          <w:strike/>
          <w:noProof/>
        </w:rPr>
        <w:t>března</w:t>
      </w:r>
      <w:r w:rsidRPr="007335F2">
        <w:rPr>
          <w:noProof/>
        </w:rPr>
        <w:t xml:space="preserve"> </w:t>
      </w:r>
      <w:r w:rsidR="008F02B0" w:rsidRPr="007335F2">
        <w:rPr>
          <w:b/>
          <w:i/>
          <w:noProof/>
        </w:rPr>
        <w:t>května</w:t>
      </w:r>
      <w:r w:rsidR="008F02B0" w:rsidRPr="007335F2">
        <w:rPr>
          <w:noProof/>
        </w:rPr>
        <w:t xml:space="preserve"> </w:t>
      </w:r>
      <w:r w:rsidRPr="007335F2">
        <w:rPr>
          <w:noProof/>
        </w:rPr>
        <w:t>každého roku předloží členské státy Komisi seznamy uvedené v odstavci 3 společně s adresou internetových stránek, kde jsou tyto seznamy zveřejněny. Komise zveřejní odkazy na tyto internetové adresy na své oficiální internetové stránce.</w:t>
      </w:r>
      <w:r w:rsidR="008F02B0" w:rsidRPr="007335F2">
        <w:rPr>
          <w:b/>
          <w:noProof/>
        </w:rPr>
        <w:t xml:space="preserve"> [pozm. návrh 46]</w:t>
      </w:r>
    </w:p>
    <w:p w:rsidR="008522C8" w:rsidRPr="007335F2" w:rsidRDefault="009104DB" w:rsidP="0046539D">
      <w:pPr>
        <w:pStyle w:val="Titrearticle"/>
        <w:spacing w:before="120" w:line="360" w:lineRule="auto"/>
        <w:rPr>
          <w:i w:val="0"/>
          <w:noProof/>
        </w:rPr>
      </w:pPr>
      <w:r w:rsidRPr="007335F2">
        <w:rPr>
          <w:i w:val="0"/>
          <w:noProof/>
        </w:rPr>
        <w:t>Článek 11</w:t>
      </w:r>
      <w:r w:rsidRPr="007335F2">
        <w:rPr>
          <w:i w:val="0"/>
          <w:noProof/>
        </w:rPr>
        <w:br/>
        <w:t>Certifikace platforem eFTI</w:t>
      </w:r>
    </w:p>
    <w:p w:rsidR="008522C8" w:rsidRPr="007335F2" w:rsidRDefault="009104DB" w:rsidP="007335F2">
      <w:pPr>
        <w:pStyle w:val="ManualNumPar1"/>
        <w:spacing w:line="360" w:lineRule="auto"/>
        <w:ind w:left="851"/>
        <w:jc w:val="left"/>
        <w:rPr>
          <w:noProof/>
        </w:rPr>
      </w:pPr>
      <w:r w:rsidRPr="007335F2">
        <w:rPr>
          <w:noProof/>
        </w:rPr>
        <w:t>1.</w:t>
      </w:r>
      <w:r w:rsidRPr="007335F2">
        <w:rPr>
          <w:noProof/>
        </w:rPr>
        <w:tab/>
        <w:t xml:space="preserve">Na žádost vývojáře platformy eFTI posoudí subjekty posuzování shody soulad platformy eFTI s požadavky stanovenými v čl. 8 odst. 1. Je-li posouzení kladné, je vydáno osvědčení o shodě. Je-li posouzení zamítavé, subjekt posuzování shodyinformuje žadatele, proč platforma nesplňuje uvedené požadavky. </w:t>
      </w:r>
    </w:p>
    <w:p w:rsidR="008F02B0" w:rsidRPr="007335F2" w:rsidRDefault="008F02B0" w:rsidP="007335F2">
      <w:pPr>
        <w:pStyle w:val="Text1"/>
        <w:spacing w:line="360" w:lineRule="auto"/>
        <w:ind w:hanging="850"/>
        <w:jc w:val="left"/>
        <w:rPr>
          <w:b/>
        </w:rPr>
      </w:pPr>
      <w:r w:rsidRPr="007335F2">
        <w:rPr>
          <w:b/>
          <w:i/>
        </w:rPr>
        <w:t>1a.</w:t>
      </w:r>
      <w:r w:rsidRPr="007335F2">
        <w:tab/>
      </w:r>
      <w:r w:rsidRPr="007335F2">
        <w:rPr>
          <w:b/>
          <w:i/>
        </w:rPr>
        <w:t>Certifikace se provádí nezávisle, aby se předešlo narušení hospodářské soutěže.</w:t>
      </w:r>
      <w:r w:rsidRPr="007335F2">
        <w:t xml:space="preserve"> </w:t>
      </w:r>
      <w:r w:rsidRPr="007335F2">
        <w:rPr>
          <w:b/>
          <w:i/>
        </w:rPr>
        <w:t>Je třeba zajistit soulad s existujícími standardizovanými platformami určenými v</w:t>
      </w:r>
      <w:r w:rsidR="00B150FF" w:rsidRPr="007335F2">
        <w:rPr>
          <w:noProof/>
        </w:rPr>
        <w:t> </w:t>
      </w:r>
      <w:r w:rsidRPr="007335F2">
        <w:rPr>
          <w:b/>
          <w:i/>
        </w:rPr>
        <w:t>mezinárodních úmluvách platných v Unii.</w:t>
      </w:r>
      <w:r w:rsidRPr="007335F2">
        <w:rPr>
          <w:b/>
        </w:rPr>
        <w:t xml:space="preserve"> [</w:t>
      </w:r>
      <w:proofErr w:type="spellStart"/>
      <w:r w:rsidRPr="007335F2">
        <w:rPr>
          <w:b/>
        </w:rPr>
        <w:t>pozm</w:t>
      </w:r>
      <w:proofErr w:type="spellEnd"/>
      <w:r w:rsidRPr="007335F2">
        <w:rPr>
          <w:b/>
        </w:rPr>
        <w:t>. návrh 47]</w:t>
      </w:r>
    </w:p>
    <w:p w:rsidR="002F38CC" w:rsidRPr="007335F2" w:rsidRDefault="002F38CC">
      <w:pPr>
        <w:spacing w:before="0" w:after="200" w:line="276" w:lineRule="auto"/>
        <w:jc w:val="left"/>
        <w:rPr>
          <w:b/>
          <w:i/>
        </w:rPr>
      </w:pPr>
      <w:r w:rsidRPr="007335F2">
        <w:rPr>
          <w:b/>
          <w:i/>
        </w:rPr>
        <w:br w:type="page"/>
      </w:r>
    </w:p>
    <w:p w:rsidR="008F02B0" w:rsidRPr="007335F2" w:rsidRDefault="008F02B0" w:rsidP="007335F2">
      <w:pPr>
        <w:pStyle w:val="Text1"/>
        <w:spacing w:line="360" w:lineRule="auto"/>
        <w:ind w:hanging="850"/>
        <w:jc w:val="left"/>
        <w:rPr>
          <w:b/>
        </w:rPr>
      </w:pPr>
      <w:r w:rsidRPr="007335F2">
        <w:rPr>
          <w:b/>
          <w:i/>
        </w:rPr>
        <w:lastRenderedPageBreak/>
        <w:t>1b.</w:t>
      </w:r>
      <w:r w:rsidRPr="007335F2">
        <w:rPr>
          <w:b/>
          <w:i/>
        </w:rPr>
        <w:tab/>
        <w:t xml:space="preserve">Stávající systémy IT, které jsou v současné době využívány hospodářskými subjekty v odvětví dopravy k poskytování regulačních informací a které splňují funkční požadavky uvedené v čl. 8 odst. 1, musí být certifikovány jako platformy </w:t>
      </w:r>
      <w:proofErr w:type="spellStart"/>
      <w:r w:rsidRPr="007335F2">
        <w:rPr>
          <w:b/>
          <w:i/>
        </w:rPr>
        <w:t>eFTI</w:t>
      </w:r>
      <w:proofErr w:type="spellEnd"/>
      <w:r w:rsidRPr="007335F2">
        <w:rPr>
          <w:b/>
          <w:i/>
        </w:rPr>
        <w:t>.</w:t>
      </w:r>
      <w:r w:rsidRPr="007335F2">
        <w:rPr>
          <w:b/>
        </w:rPr>
        <w:t xml:space="preserve"> [</w:t>
      </w:r>
      <w:proofErr w:type="spellStart"/>
      <w:r w:rsidRPr="007335F2">
        <w:rPr>
          <w:b/>
        </w:rPr>
        <w:t>pozm</w:t>
      </w:r>
      <w:proofErr w:type="spellEnd"/>
      <w:r w:rsidRPr="007335F2">
        <w:rPr>
          <w:b/>
        </w:rPr>
        <w:t>. návrh 48]</w:t>
      </w:r>
    </w:p>
    <w:p w:rsidR="008522C8" w:rsidRPr="007335F2" w:rsidRDefault="009104DB" w:rsidP="0046539D">
      <w:pPr>
        <w:pStyle w:val="ManualNumPar1"/>
        <w:spacing w:line="360" w:lineRule="auto"/>
        <w:jc w:val="left"/>
        <w:rPr>
          <w:noProof/>
        </w:rPr>
      </w:pPr>
      <w:r w:rsidRPr="007335F2">
        <w:rPr>
          <w:noProof/>
        </w:rPr>
        <w:t>2.</w:t>
      </w:r>
      <w:r w:rsidRPr="007335F2">
        <w:rPr>
          <w:noProof/>
        </w:rPr>
        <w:tab/>
        <w:t xml:space="preserve">Subjekty posuzování shody vedou aktuální seznam certifikovaných platforem eFTI a platforem, které obdržely zamítavé posouzení. Aktualizovaný seznam se předává dotčeným příslušným orgánům pokaždé, když je vydáno osvědčení nebo zamítavé posouzení. </w:t>
      </w:r>
    </w:p>
    <w:p w:rsidR="008522C8" w:rsidRPr="007335F2" w:rsidRDefault="009104DB" w:rsidP="0046539D">
      <w:pPr>
        <w:pStyle w:val="ManualNumPar1"/>
        <w:spacing w:line="360" w:lineRule="auto"/>
        <w:jc w:val="left"/>
        <w:rPr>
          <w:noProof/>
        </w:rPr>
      </w:pPr>
      <w:r w:rsidRPr="007335F2">
        <w:rPr>
          <w:noProof/>
        </w:rPr>
        <w:t>3.</w:t>
      </w:r>
      <w:r w:rsidRPr="007335F2">
        <w:rPr>
          <w:noProof/>
        </w:rPr>
        <w:tab/>
        <w:t xml:space="preserve">Informace zpřístupněné příslušným orgánům pomocí certifikované platformy eFTI doprovází certifikační ochranná známka. </w:t>
      </w:r>
    </w:p>
    <w:p w:rsidR="008522C8" w:rsidRPr="007335F2" w:rsidRDefault="009104DB" w:rsidP="0046539D">
      <w:pPr>
        <w:pStyle w:val="ManualNumPar1"/>
        <w:spacing w:line="360" w:lineRule="auto"/>
        <w:jc w:val="left"/>
        <w:rPr>
          <w:noProof/>
        </w:rPr>
      </w:pPr>
      <w:r w:rsidRPr="007335F2">
        <w:rPr>
          <w:noProof/>
        </w:rPr>
        <w:t>4.</w:t>
      </w:r>
      <w:r w:rsidRPr="007335F2">
        <w:rPr>
          <w:noProof/>
        </w:rPr>
        <w:tab/>
        <w:t>Vývojář platformy eFTI zažádá o opětovné posouzení své certifikace, pokud byly technické specifikace přijaté prováděcími akty uvedenými v čl. 7 odst. 2 revidovány.</w:t>
      </w:r>
    </w:p>
    <w:p w:rsidR="008522C8" w:rsidRPr="007335F2" w:rsidRDefault="009104DB" w:rsidP="0046539D">
      <w:pPr>
        <w:pStyle w:val="ManualNumPar1"/>
        <w:spacing w:line="360" w:lineRule="auto"/>
        <w:jc w:val="left"/>
        <w:rPr>
          <w:noProof/>
        </w:rPr>
      </w:pPr>
      <w:r w:rsidRPr="007335F2">
        <w:rPr>
          <w:noProof/>
        </w:rPr>
        <w:t>5.</w:t>
      </w:r>
      <w:r w:rsidRPr="007335F2">
        <w:rPr>
          <w:noProof/>
        </w:rPr>
        <w:tab/>
        <w:t>Komisi je svěřena pravomoc přijímat akty v přenesené pravomoci v souladu s článkem 13, aby doplnila toto nařízení o pravidla pro certifikaci, používání certifikační ochranné známky a obnovení certifikace platformy eFTI.</w:t>
      </w:r>
    </w:p>
    <w:p w:rsidR="002F38CC" w:rsidRPr="007335F2" w:rsidRDefault="002F38CC">
      <w:pPr>
        <w:spacing w:before="0" w:after="200" w:line="276" w:lineRule="auto"/>
        <w:jc w:val="left"/>
        <w:rPr>
          <w:noProof/>
        </w:rPr>
      </w:pPr>
      <w:r w:rsidRPr="007335F2">
        <w:rPr>
          <w:i/>
          <w:noProof/>
        </w:rPr>
        <w:br w:type="page"/>
      </w:r>
    </w:p>
    <w:p w:rsidR="008522C8" w:rsidRPr="007335F2" w:rsidRDefault="009104DB" w:rsidP="0046539D">
      <w:pPr>
        <w:pStyle w:val="Titrearticle"/>
        <w:spacing w:before="120" w:line="360" w:lineRule="auto"/>
        <w:rPr>
          <w:i w:val="0"/>
          <w:noProof/>
        </w:rPr>
      </w:pPr>
      <w:r w:rsidRPr="007335F2">
        <w:rPr>
          <w:i w:val="0"/>
          <w:noProof/>
        </w:rPr>
        <w:lastRenderedPageBreak/>
        <w:t>Článek 12</w:t>
      </w:r>
      <w:r w:rsidRPr="007335F2">
        <w:rPr>
          <w:i w:val="0"/>
          <w:noProof/>
        </w:rPr>
        <w:br/>
        <w:t>Certifikace poskytovatelů služeb eFTI</w:t>
      </w:r>
    </w:p>
    <w:p w:rsidR="008522C8" w:rsidRPr="007335F2" w:rsidRDefault="009104DB" w:rsidP="0046539D">
      <w:pPr>
        <w:pStyle w:val="ManualNumPar1"/>
        <w:spacing w:line="360" w:lineRule="auto"/>
        <w:jc w:val="left"/>
        <w:rPr>
          <w:noProof/>
          <w:sz w:val="16"/>
        </w:rPr>
      </w:pPr>
      <w:r w:rsidRPr="007335F2">
        <w:rPr>
          <w:noProof/>
        </w:rPr>
        <w:t>1.</w:t>
      </w:r>
      <w:r w:rsidRPr="007335F2">
        <w:rPr>
          <w:noProof/>
        </w:rPr>
        <w:tab/>
        <w:t xml:space="preserve">Na žádost poskytovatele služeb eFTI posoudí subjekt posuzování shody soulad poskytovatele služeb eFTI s požadavky stanovenými v čl. 9 odst. 1. Je-li posouzení kladné, je vydáno osvědčení o shodě. Je-li posouzení zamítavé, subjekt posuzování shody informuje žadatele, proč poskytovatel nesplňuje uvedené požadavky. </w:t>
      </w:r>
    </w:p>
    <w:p w:rsidR="008522C8" w:rsidRPr="007335F2" w:rsidRDefault="009104DB" w:rsidP="0046539D">
      <w:pPr>
        <w:pStyle w:val="ManualNumPar1"/>
        <w:spacing w:line="360" w:lineRule="auto"/>
        <w:jc w:val="left"/>
        <w:rPr>
          <w:noProof/>
        </w:rPr>
      </w:pPr>
      <w:r w:rsidRPr="007335F2">
        <w:rPr>
          <w:noProof/>
        </w:rPr>
        <w:t>2.</w:t>
      </w:r>
      <w:r w:rsidRPr="007335F2">
        <w:rPr>
          <w:noProof/>
        </w:rPr>
        <w:tab/>
        <w:t xml:space="preserve">Subjekty posuzování shody vedou aktuální seznam certifikovaných poskytovatelů služeb eFTI a poskytovatelů, kteří obdrželi zamítavé posouzení. Aktualizovaný seznam se zpřístupní dotčeným příslušným orgánům pokaždé, když je vydáno osvědčení nebo zamítavé posouzení. </w:t>
      </w:r>
    </w:p>
    <w:p w:rsidR="008522C8" w:rsidRPr="007335F2" w:rsidRDefault="009104DB" w:rsidP="0046539D">
      <w:pPr>
        <w:pStyle w:val="ManualNumPar1"/>
        <w:spacing w:line="360" w:lineRule="auto"/>
        <w:jc w:val="left"/>
        <w:rPr>
          <w:noProof/>
        </w:rPr>
      </w:pPr>
      <w:r w:rsidRPr="007335F2">
        <w:rPr>
          <w:noProof/>
        </w:rPr>
        <w:t>3.</w:t>
      </w:r>
      <w:r w:rsidRPr="007335F2">
        <w:rPr>
          <w:noProof/>
        </w:rPr>
        <w:tab/>
        <w:t xml:space="preserve">Komisi je svěřena pravomoc přijímat akty v přenesené pravomoci v souladu s článkem 13, aby doplnila toto nařízení o pravidla pro certifikaci poskytovatelů služeb eFTI. </w:t>
      </w:r>
    </w:p>
    <w:p w:rsidR="002F38CC" w:rsidRPr="007335F2" w:rsidRDefault="002F38CC">
      <w:pPr>
        <w:spacing w:before="0" w:after="200" w:line="276" w:lineRule="auto"/>
        <w:jc w:val="left"/>
        <w:rPr>
          <w:smallCaps/>
          <w:noProof/>
          <w:szCs w:val="24"/>
        </w:rPr>
      </w:pPr>
      <w:r w:rsidRPr="007335F2">
        <w:rPr>
          <w:b/>
          <w:noProof/>
          <w:szCs w:val="24"/>
        </w:rPr>
        <w:br w:type="page"/>
      </w:r>
    </w:p>
    <w:p w:rsidR="008522C8" w:rsidRPr="007335F2" w:rsidRDefault="0046539D" w:rsidP="0046539D">
      <w:pPr>
        <w:pStyle w:val="SectionTitle"/>
        <w:spacing w:after="120" w:line="360" w:lineRule="auto"/>
        <w:rPr>
          <w:b w:val="0"/>
          <w:noProof/>
          <w:sz w:val="24"/>
          <w:szCs w:val="24"/>
        </w:rPr>
      </w:pPr>
      <w:r w:rsidRPr="007335F2">
        <w:rPr>
          <w:b w:val="0"/>
          <w:noProof/>
          <w:sz w:val="24"/>
          <w:szCs w:val="24"/>
        </w:rPr>
        <w:lastRenderedPageBreak/>
        <w:t>Kapitola IV</w:t>
      </w:r>
      <w:r w:rsidR="009104DB" w:rsidRPr="007335F2">
        <w:rPr>
          <w:b w:val="0"/>
          <w:noProof/>
          <w:sz w:val="24"/>
          <w:szCs w:val="24"/>
        </w:rPr>
        <w:br/>
        <w:t>PŘENESENÍ PRAVOMOCÍ A PROVÁDĚCÍ USTANOVENÍ</w:t>
      </w:r>
    </w:p>
    <w:p w:rsidR="008522C8" w:rsidRPr="007335F2" w:rsidRDefault="009104DB" w:rsidP="0046539D">
      <w:pPr>
        <w:pStyle w:val="Titrearticle"/>
        <w:spacing w:before="120" w:line="360" w:lineRule="auto"/>
        <w:rPr>
          <w:i w:val="0"/>
          <w:noProof/>
        </w:rPr>
      </w:pPr>
      <w:r w:rsidRPr="007335F2">
        <w:rPr>
          <w:i w:val="0"/>
          <w:noProof/>
        </w:rPr>
        <w:t>Článek 13</w:t>
      </w:r>
      <w:r w:rsidRPr="007335F2">
        <w:rPr>
          <w:i w:val="0"/>
          <w:noProof/>
        </w:rPr>
        <w:br/>
        <w:t>Výkon přenesené pravomoci</w:t>
      </w:r>
    </w:p>
    <w:p w:rsidR="008522C8" w:rsidRPr="007335F2" w:rsidRDefault="009104DB" w:rsidP="0046539D">
      <w:pPr>
        <w:pStyle w:val="ManualNumPar1"/>
        <w:spacing w:line="360" w:lineRule="auto"/>
        <w:jc w:val="left"/>
        <w:rPr>
          <w:noProof/>
        </w:rPr>
      </w:pPr>
      <w:r w:rsidRPr="007335F2">
        <w:rPr>
          <w:noProof/>
        </w:rPr>
        <w:t>1.</w:t>
      </w:r>
      <w:r w:rsidRPr="007335F2">
        <w:rPr>
          <w:noProof/>
        </w:rPr>
        <w:tab/>
        <w:t>Pravomoc přijímat akty v přenesené pravomoci je Komisi svěřena za podmínek stanovených v tomto článku.</w:t>
      </w:r>
    </w:p>
    <w:p w:rsidR="008522C8" w:rsidRPr="007335F2" w:rsidRDefault="009104DB" w:rsidP="0046539D">
      <w:pPr>
        <w:pStyle w:val="ManualNumPar1"/>
        <w:spacing w:line="360" w:lineRule="auto"/>
        <w:jc w:val="left"/>
        <w:rPr>
          <w:b/>
          <w:noProof/>
        </w:rPr>
      </w:pPr>
      <w:r w:rsidRPr="007335F2">
        <w:rPr>
          <w:noProof/>
        </w:rPr>
        <w:t>2.</w:t>
      </w:r>
      <w:r w:rsidRPr="007335F2">
        <w:rPr>
          <w:noProof/>
        </w:rPr>
        <w:tab/>
        <w:t xml:space="preserve">Pravomoc přijímat akty v přenesené pravomoci uvedené v článku 2, </w:t>
      </w:r>
      <w:r w:rsidR="008F02B0" w:rsidRPr="007335F2">
        <w:rPr>
          <w:b/>
          <w:i/>
        </w:rPr>
        <w:t>článku 7, čl. 8 odst. 2, čl. 9 odst. 2,</w:t>
      </w:r>
      <w:r w:rsidR="008F02B0" w:rsidRPr="007335F2">
        <w:t xml:space="preserve"> </w:t>
      </w:r>
      <w:r w:rsidRPr="007335F2">
        <w:rPr>
          <w:noProof/>
        </w:rPr>
        <w:t xml:space="preserve">čl. 11 odst. 5 a čl. 12 odst. 3 je Komisi svěřena na dobu neurčitou od </w:t>
      </w:r>
      <w:r w:rsidR="002F38CC" w:rsidRPr="007335F2">
        <w:rPr>
          <w:noProof/>
        </w:rPr>
        <w:t xml:space="preserve">... </w:t>
      </w:r>
      <w:r w:rsidRPr="007335F2">
        <w:rPr>
          <w:noProof/>
        </w:rPr>
        <w:t>[datum vstupu tohoto nařízení v platnost].</w:t>
      </w:r>
      <w:r w:rsidR="008F02B0" w:rsidRPr="007335F2">
        <w:rPr>
          <w:b/>
          <w:noProof/>
        </w:rPr>
        <w:t xml:space="preserve"> [pozm. návrh 49]</w:t>
      </w:r>
    </w:p>
    <w:p w:rsidR="008522C8" w:rsidRPr="007335F2" w:rsidRDefault="009104DB" w:rsidP="0046539D">
      <w:pPr>
        <w:pStyle w:val="ManualNumPar1"/>
        <w:spacing w:line="360" w:lineRule="auto"/>
        <w:jc w:val="left"/>
        <w:rPr>
          <w:b/>
          <w:noProof/>
        </w:rPr>
      </w:pPr>
      <w:r w:rsidRPr="007335F2">
        <w:rPr>
          <w:noProof/>
        </w:rPr>
        <w:t>3.</w:t>
      </w:r>
      <w:r w:rsidRPr="007335F2">
        <w:rPr>
          <w:noProof/>
        </w:rPr>
        <w:tab/>
        <w:t xml:space="preserve">Evropský parlament nebo Rada mohou přenesení pravomoci uvedené v článku 2, </w:t>
      </w:r>
      <w:r w:rsidR="008F02B0" w:rsidRPr="007335F2">
        <w:rPr>
          <w:b/>
          <w:i/>
        </w:rPr>
        <w:t xml:space="preserve">článku 7, čl. 8 odst. 2, čl. 9 odst. 2, </w:t>
      </w:r>
      <w:r w:rsidRPr="007335F2">
        <w:rPr>
          <w:noProof/>
        </w:rPr>
        <w:t>čl. 11 odst. 5 a čl. 12 odst. 3 kdykoli zrušit. Rozhodnutím o zrušení se ukončuje přenesení pravomoci v něm blíže určené. Rozhodnutí nabývá účinku prvním dnem po zveřejnění v </w:t>
      </w:r>
      <w:r w:rsidRPr="007335F2">
        <w:rPr>
          <w:i/>
          <w:noProof/>
        </w:rPr>
        <w:t>Úředním věstníku Evropské unie</w:t>
      </w:r>
      <w:r w:rsidRPr="007335F2">
        <w:rPr>
          <w:noProof/>
        </w:rPr>
        <w:t xml:space="preserve"> nebo k pozdějšímu dni, který je v něm upřesněn. Nedotýká se platnosti již platných aktů v přenesené pravomoci.</w:t>
      </w:r>
      <w:r w:rsidR="008F02B0" w:rsidRPr="007335F2">
        <w:rPr>
          <w:b/>
          <w:noProof/>
        </w:rPr>
        <w:t xml:space="preserve"> [pozm. návrh 50]</w:t>
      </w:r>
    </w:p>
    <w:p w:rsidR="002F38CC" w:rsidRPr="007335F2" w:rsidRDefault="002F38CC">
      <w:pPr>
        <w:spacing w:before="0" w:after="200" w:line="276" w:lineRule="auto"/>
        <w:jc w:val="left"/>
        <w:rPr>
          <w:noProof/>
        </w:rPr>
      </w:pPr>
      <w:r w:rsidRPr="007335F2">
        <w:rPr>
          <w:noProof/>
        </w:rPr>
        <w:br w:type="page"/>
      </w:r>
    </w:p>
    <w:p w:rsidR="008522C8" w:rsidRPr="007335F2" w:rsidRDefault="009104DB" w:rsidP="007335F2">
      <w:pPr>
        <w:pStyle w:val="ManualNumPar1"/>
        <w:spacing w:line="360" w:lineRule="auto"/>
        <w:ind w:left="851"/>
        <w:jc w:val="left"/>
        <w:rPr>
          <w:b/>
          <w:noProof/>
        </w:rPr>
      </w:pPr>
      <w:r w:rsidRPr="007335F2">
        <w:rPr>
          <w:noProof/>
        </w:rPr>
        <w:lastRenderedPageBreak/>
        <w:t>4.</w:t>
      </w:r>
      <w:r w:rsidRPr="007335F2">
        <w:rPr>
          <w:noProof/>
        </w:rPr>
        <w:tab/>
      </w:r>
      <w:r w:rsidRPr="007335F2">
        <w:rPr>
          <w:strike/>
          <w:noProof/>
        </w:rPr>
        <w:t>Před přijetím akt</w:t>
      </w:r>
      <w:r w:rsidRPr="007335F2">
        <w:rPr>
          <w:noProof/>
        </w:rPr>
        <w:t xml:space="preserve">u </w:t>
      </w:r>
      <w:r w:rsidR="008F02B0" w:rsidRPr="007335F2">
        <w:rPr>
          <w:b/>
          <w:i/>
          <w:noProof/>
        </w:rPr>
        <w:t>Akty</w:t>
      </w:r>
      <w:r w:rsidR="008F02B0" w:rsidRPr="007335F2">
        <w:rPr>
          <w:noProof/>
        </w:rPr>
        <w:t xml:space="preserve"> </w:t>
      </w:r>
      <w:r w:rsidRPr="007335F2">
        <w:rPr>
          <w:noProof/>
        </w:rPr>
        <w:t xml:space="preserve">v přenesené pravomoci </w:t>
      </w:r>
      <w:r w:rsidRPr="007335F2">
        <w:rPr>
          <w:strike/>
          <w:noProof/>
        </w:rPr>
        <w:t>Komise vede konzultace s odborníky jmenovanými jednotlivými členskými státy</w:t>
      </w:r>
      <w:r w:rsidRPr="007335F2">
        <w:rPr>
          <w:noProof/>
        </w:rPr>
        <w:t xml:space="preserve"> </w:t>
      </w:r>
      <w:r w:rsidR="008F02B0" w:rsidRPr="007335F2">
        <w:rPr>
          <w:b/>
          <w:i/>
          <w:noProof/>
        </w:rPr>
        <w:t>přijaté</w:t>
      </w:r>
      <w:r w:rsidR="008F02B0" w:rsidRPr="007335F2">
        <w:rPr>
          <w:noProof/>
        </w:rPr>
        <w:t xml:space="preserve"> </w:t>
      </w:r>
      <w:r w:rsidRPr="007335F2">
        <w:rPr>
          <w:noProof/>
        </w:rPr>
        <w:t xml:space="preserve">v souladu </w:t>
      </w:r>
      <w:r w:rsidRPr="007335F2">
        <w:rPr>
          <w:strike/>
          <w:noProof/>
        </w:rPr>
        <w:t>se zásadami stanovenými v interinstitucionální dohodě o zdokonalení tvorby právních předpisů ze dne 13. dubna 2016</w:t>
      </w:r>
      <w:r w:rsidR="008F02B0" w:rsidRPr="007335F2">
        <w:rPr>
          <w:noProof/>
        </w:rPr>
        <w:t xml:space="preserve"> </w:t>
      </w:r>
      <w:r w:rsidR="008F02B0" w:rsidRPr="007335F2">
        <w:rPr>
          <w:b/>
          <w:i/>
        </w:rPr>
        <w:t>s článkem 2 se použijí po uplynutí jednoho roku po jejich vstupu v platnost</w:t>
      </w:r>
      <w:r w:rsidRPr="007335F2">
        <w:rPr>
          <w:noProof/>
        </w:rPr>
        <w:t>.</w:t>
      </w:r>
      <w:r w:rsidR="008F02B0" w:rsidRPr="007335F2">
        <w:rPr>
          <w:b/>
          <w:noProof/>
        </w:rPr>
        <w:t xml:space="preserve"> [pozm. návrh 51]</w:t>
      </w:r>
    </w:p>
    <w:p w:rsidR="008F02B0" w:rsidRPr="007335F2" w:rsidRDefault="008F02B0" w:rsidP="007335F2">
      <w:pPr>
        <w:pStyle w:val="Text1"/>
        <w:spacing w:line="360" w:lineRule="auto"/>
        <w:ind w:left="851" w:hanging="851"/>
        <w:jc w:val="left"/>
        <w:rPr>
          <w:b/>
        </w:rPr>
      </w:pPr>
      <w:r w:rsidRPr="007335F2">
        <w:rPr>
          <w:b/>
          <w:i/>
        </w:rPr>
        <w:t>4a.</w:t>
      </w:r>
      <w:r w:rsidRPr="007335F2">
        <w:tab/>
      </w:r>
      <w:r w:rsidRPr="007335F2">
        <w:rPr>
          <w:b/>
          <w:i/>
        </w:rPr>
        <w:t>Komise před přijetím aktu v přenesené pravomoci zajistí konzultace s dotčenými zúčastněnými stranami a jejich zastupujícími orgány na příslušných fórech, konkrétně prostřednictvím skupiny odborníků vytvo</w:t>
      </w:r>
      <w:r w:rsidR="000C3F0A">
        <w:rPr>
          <w:b/>
          <w:i/>
        </w:rPr>
        <w:t>řené rozhodnutím Komise C(2018)5921</w:t>
      </w:r>
      <w:bookmarkStart w:id="10" w:name="_GoBack"/>
      <w:bookmarkEnd w:id="10"/>
      <w:r w:rsidRPr="007335F2">
        <w:rPr>
          <w:b/>
          <w:i/>
        </w:rPr>
        <w:t xml:space="preserve"> ze dne </w:t>
      </w:r>
      <w:proofErr w:type="gramStart"/>
      <w:r w:rsidRPr="007335F2">
        <w:rPr>
          <w:b/>
          <w:i/>
        </w:rPr>
        <w:t>13.9.2018</w:t>
      </w:r>
      <w:proofErr w:type="gramEnd"/>
      <w:r w:rsidRPr="007335F2">
        <w:rPr>
          <w:b/>
          <w:i/>
        </w:rPr>
        <w:t xml:space="preserve"> („Fórum pro digitální dopravu a logistiku“).</w:t>
      </w:r>
      <w:r w:rsidRPr="007335F2">
        <w:rPr>
          <w:b/>
        </w:rPr>
        <w:t xml:space="preserve"> [</w:t>
      </w:r>
      <w:proofErr w:type="spellStart"/>
      <w:r w:rsidRPr="007335F2">
        <w:rPr>
          <w:b/>
        </w:rPr>
        <w:t>pozm</w:t>
      </w:r>
      <w:proofErr w:type="spellEnd"/>
      <w:r w:rsidRPr="007335F2">
        <w:rPr>
          <w:b/>
        </w:rPr>
        <w:t>. návrh 52]</w:t>
      </w:r>
    </w:p>
    <w:p w:rsidR="008522C8" w:rsidRPr="007335F2" w:rsidRDefault="009104DB" w:rsidP="007335F2">
      <w:pPr>
        <w:pStyle w:val="ManualNumPar1"/>
        <w:spacing w:line="360" w:lineRule="auto"/>
        <w:ind w:left="851"/>
        <w:jc w:val="left"/>
        <w:rPr>
          <w:noProof/>
        </w:rPr>
      </w:pPr>
      <w:r w:rsidRPr="007335F2">
        <w:rPr>
          <w:noProof/>
        </w:rPr>
        <w:t>5.</w:t>
      </w:r>
      <w:r w:rsidRPr="007335F2">
        <w:rPr>
          <w:noProof/>
        </w:rPr>
        <w:tab/>
        <w:t>Přijetí aktu v přenesené pravomoci Komise neprodleně oznámí současně Evropskému parlamentu a Radě.</w:t>
      </w:r>
    </w:p>
    <w:p w:rsidR="008522C8" w:rsidRPr="007335F2" w:rsidRDefault="009104DB" w:rsidP="007335F2">
      <w:pPr>
        <w:pStyle w:val="ManualNumPar1"/>
        <w:spacing w:line="360" w:lineRule="auto"/>
        <w:ind w:left="851"/>
        <w:jc w:val="left"/>
        <w:rPr>
          <w:noProof/>
        </w:rPr>
      </w:pPr>
      <w:r w:rsidRPr="007335F2">
        <w:rPr>
          <w:noProof/>
        </w:rPr>
        <w:t>6.</w:t>
      </w:r>
      <w:r w:rsidRPr="007335F2">
        <w:rPr>
          <w:noProof/>
        </w:rPr>
        <w:tab/>
        <w:t>Akt v přenesené pravomoci přijatý podle článku 2, čl. 10 odst. 5 a čl. 11 odst. 3 vstoupí v platnost, pouze pokud proti němu Evropský parlament nebo Rada nevysloví námitky ve lhůtě dvou měsíců ode dne, kdy jim byl tento akt oznámen, nebo pokud Evropský parlament i Rada před uplynutím této lhůty informují Komisi o tom, že námitky nevysloví. Z podnětu Evropského parlamentu nebo Rady se tato lhůta prodlouží o dva měsíce.</w:t>
      </w:r>
    </w:p>
    <w:p w:rsidR="002F38CC" w:rsidRPr="007335F2" w:rsidRDefault="002F38CC">
      <w:pPr>
        <w:spacing w:before="0" w:after="200" w:line="276" w:lineRule="auto"/>
        <w:jc w:val="left"/>
        <w:rPr>
          <w:strike/>
          <w:noProof/>
        </w:rPr>
      </w:pPr>
      <w:r w:rsidRPr="007335F2">
        <w:rPr>
          <w:i/>
          <w:strike/>
          <w:noProof/>
        </w:rPr>
        <w:br w:type="page"/>
      </w:r>
    </w:p>
    <w:p w:rsidR="008522C8" w:rsidRPr="007335F2" w:rsidRDefault="009104DB" w:rsidP="0046539D">
      <w:pPr>
        <w:pStyle w:val="Titrearticle"/>
        <w:spacing w:before="120" w:line="360" w:lineRule="auto"/>
        <w:rPr>
          <w:i w:val="0"/>
          <w:strike/>
          <w:noProof/>
        </w:rPr>
      </w:pPr>
      <w:r w:rsidRPr="007335F2">
        <w:rPr>
          <w:i w:val="0"/>
          <w:strike/>
          <w:noProof/>
        </w:rPr>
        <w:lastRenderedPageBreak/>
        <w:t>Článek 14</w:t>
      </w:r>
      <w:r w:rsidRPr="007335F2">
        <w:rPr>
          <w:i w:val="0"/>
          <w:strike/>
          <w:noProof/>
        </w:rPr>
        <w:br/>
        <w:t>Postup projednávání ve výboru</w:t>
      </w:r>
    </w:p>
    <w:p w:rsidR="008522C8" w:rsidRPr="007335F2" w:rsidRDefault="0046539D" w:rsidP="0046539D">
      <w:pPr>
        <w:spacing w:line="360" w:lineRule="auto"/>
        <w:ind w:left="851" w:hanging="851"/>
        <w:jc w:val="left"/>
        <w:rPr>
          <w:rFonts w:eastAsia="Times New Roman"/>
          <w:strike/>
          <w:noProof/>
          <w:szCs w:val="24"/>
        </w:rPr>
      </w:pPr>
      <w:r w:rsidRPr="007335F2">
        <w:rPr>
          <w:strike/>
          <w:noProof/>
        </w:rPr>
        <w:t>1.</w:t>
      </w:r>
      <w:r w:rsidRPr="007335F2">
        <w:rPr>
          <w:strike/>
          <w:noProof/>
        </w:rPr>
        <w:tab/>
      </w:r>
      <w:r w:rsidR="009104DB" w:rsidRPr="007335F2">
        <w:rPr>
          <w:strike/>
          <w:noProof/>
        </w:rPr>
        <w:t>Komisi je nápomocen výbor. Tento výbor je výborem ve smyslu nařízení (EU) č. 182/2011.</w:t>
      </w:r>
    </w:p>
    <w:p w:rsidR="008522C8" w:rsidRPr="007335F2" w:rsidRDefault="0046539D" w:rsidP="0046539D">
      <w:pPr>
        <w:spacing w:line="360" w:lineRule="auto"/>
        <w:ind w:left="851" w:hanging="851"/>
        <w:jc w:val="left"/>
        <w:rPr>
          <w:rFonts w:eastAsia="Times New Roman"/>
          <w:b/>
          <w:noProof/>
          <w:szCs w:val="24"/>
        </w:rPr>
      </w:pPr>
      <w:r w:rsidRPr="007335F2">
        <w:rPr>
          <w:strike/>
          <w:noProof/>
        </w:rPr>
        <w:t>2.</w:t>
      </w:r>
      <w:r w:rsidRPr="007335F2">
        <w:rPr>
          <w:strike/>
          <w:noProof/>
        </w:rPr>
        <w:tab/>
      </w:r>
      <w:r w:rsidR="009104DB" w:rsidRPr="007335F2">
        <w:rPr>
          <w:strike/>
          <w:noProof/>
        </w:rPr>
        <w:t>Odkazuje-li se na tento odstavec, použije se článek 5 nařízení (EU) č. 182/2011.</w:t>
      </w:r>
      <w:r w:rsidR="008F02B0" w:rsidRPr="007335F2">
        <w:rPr>
          <w:b/>
          <w:strike/>
          <w:noProof/>
        </w:rPr>
        <w:t xml:space="preserve"> </w:t>
      </w:r>
      <w:r w:rsidR="008F02B0" w:rsidRPr="007335F2">
        <w:rPr>
          <w:b/>
          <w:noProof/>
        </w:rPr>
        <w:t>[pozm. návrh 53]</w:t>
      </w:r>
    </w:p>
    <w:p w:rsidR="008522C8" w:rsidRPr="007335F2" w:rsidRDefault="0046539D" w:rsidP="0046539D">
      <w:pPr>
        <w:pStyle w:val="SectionTitle"/>
        <w:spacing w:after="120" w:line="360" w:lineRule="auto"/>
        <w:rPr>
          <w:b w:val="0"/>
          <w:noProof/>
          <w:sz w:val="24"/>
          <w:szCs w:val="24"/>
        </w:rPr>
      </w:pPr>
      <w:r w:rsidRPr="007335F2">
        <w:rPr>
          <w:b w:val="0"/>
          <w:noProof/>
          <w:sz w:val="24"/>
          <w:szCs w:val="24"/>
        </w:rPr>
        <w:t>Kapitola V</w:t>
      </w:r>
      <w:r w:rsidR="009104DB" w:rsidRPr="007335F2">
        <w:rPr>
          <w:b w:val="0"/>
          <w:noProof/>
          <w:sz w:val="24"/>
          <w:szCs w:val="24"/>
        </w:rPr>
        <w:br/>
        <w:t>ZÁVĚREČNÁ USTANOVENÍ</w:t>
      </w:r>
    </w:p>
    <w:p w:rsidR="008522C8" w:rsidRPr="007335F2" w:rsidRDefault="009104DB" w:rsidP="0046539D">
      <w:pPr>
        <w:pStyle w:val="Titrearticle"/>
        <w:spacing w:before="120" w:line="360" w:lineRule="auto"/>
        <w:rPr>
          <w:i w:val="0"/>
          <w:noProof/>
        </w:rPr>
      </w:pPr>
      <w:r w:rsidRPr="007335F2">
        <w:rPr>
          <w:i w:val="0"/>
          <w:noProof/>
        </w:rPr>
        <w:t>Článek 15</w:t>
      </w:r>
      <w:r w:rsidRPr="007335F2">
        <w:rPr>
          <w:i w:val="0"/>
          <w:noProof/>
        </w:rPr>
        <w:br/>
        <w:t>Přezkum</w:t>
      </w:r>
    </w:p>
    <w:p w:rsidR="008522C8" w:rsidRPr="007335F2" w:rsidRDefault="009104DB" w:rsidP="0046539D">
      <w:pPr>
        <w:pStyle w:val="ManualNumPar1"/>
        <w:spacing w:line="360" w:lineRule="auto"/>
        <w:jc w:val="left"/>
        <w:rPr>
          <w:b/>
          <w:noProof/>
        </w:rPr>
      </w:pPr>
      <w:r w:rsidRPr="007335F2">
        <w:rPr>
          <w:noProof/>
        </w:rPr>
        <w:t>1.</w:t>
      </w:r>
      <w:r w:rsidRPr="007335F2">
        <w:rPr>
          <w:noProof/>
        </w:rPr>
        <w:tab/>
        <w:t xml:space="preserve">Komise provede hodnocení tohoto nařízení nejpozději do </w:t>
      </w:r>
      <w:r w:rsidR="002F38CC" w:rsidRPr="007335F2">
        <w:rPr>
          <w:noProof/>
        </w:rPr>
        <w:t xml:space="preserve">... </w:t>
      </w:r>
      <w:r w:rsidRPr="007335F2">
        <w:rPr>
          <w:noProof/>
        </w:rPr>
        <w:t>[</w:t>
      </w:r>
      <w:r w:rsidRPr="007335F2">
        <w:rPr>
          <w:strike/>
          <w:noProof/>
        </w:rPr>
        <w:t>pět let</w:t>
      </w:r>
      <w:r w:rsidRPr="007335F2">
        <w:rPr>
          <w:noProof/>
        </w:rPr>
        <w:t xml:space="preserve"> </w:t>
      </w:r>
      <w:r w:rsidR="008F02B0" w:rsidRPr="007335F2">
        <w:rPr>
          <w:b/>
          <w:i/>
          <w:noProof/>
        </w:rPr>
        <w:t>tři roky</w:t>
      </w:r>
      <w:r w:rsidR="008F02B0" w:rsidRPr="007335F2">
        <w:rPr>
          <w:noProof/>
        </w:rPr>
        <w:t xml:space="preserve"> </w:t>
      </w:r>
      <w:r w:rsidRPr="007335F2">
        <w:rPr>
          <w:noProof/>
        </w:rPr>
        <w:t>od data použitelnosti tohoto nařízení] a předloží zprávu o hlavních zjištěních Evropskému parlamentu, Radě a Evropskému hospodářskému a sociálnímu výboru.</w:t>
      </w:r>
      <w:r w:rsidR="008F02B0" w:rsidRPr="007335F2">
        <w:rPr>
          <w:noProof/>
        </w:rPr>
        <w:t xml:space="preserve"> </w:t>
      </w:r>
      <w:r w:rsidR="008F02B0" w:rsidRPr="007335F2">
        <w:rPr>
          <w:b/>
          <w:i/>
        </w:rPr>
        <w:t>V tomto hodnocení přezkoumá zejména, zda je možné rozšířit oblast působnosti tohoto nařízení na určité informace, které si vyměňují podniky mezi sebou a které jsou nezbytné k prokázání toho, že jsou dodržovány příslušné požadavky uvedené v právních aktech Unie, kterými se řídí přeprava zboží v souladu s třetí částí hlavou VI Smlouvy.</w:t>
      </w:r>
      <w:r w:rsidR="008F02B0" w:rsidRPr="007335F2">
        <w:rPr>
          <w:b/>
        </w:rPr>
        <w:t xml:space="preserve"> [</w:t>
      </w:r>
      <w:proofErr w:type="spellStart"/>
      <w:r w:rsidR="008F02B0" w:rsidRPr="007335F2">
        <w:rPr>
          <w:b/>
        </w:rPr>
        <w:t>pozm</w:t>
      </w:r>
      <w:proofErr w:type="spellEnd"/>
      <w:r w:rsidR="008F02B0" w:rsidRPr="007335F2">
        <w:rPr>
          <w:b/>
        </w:rPr>
        <w:t>. návrh 54]</w:t>
      </w:r>
    </w:p>
    <w:p w:rsidR="002F38CC" w:rsidRPr="007335F2" w:rsidRDefault="002F38CC">
      <w:pPr>
        <w:spacing w:before="0" w:after="200" w:line="276" w:lineRule="auto"/>
        <w:jc w:val="left"/>
        <w:rPr>
          <w:noProof/>
        </w:rPr>
      </w:pPr>
      <w:r w:rsidRPr="007335F2">
        <w:rPr>
          <w:noProof/>
        </w:rPr>
        <w:br w:type="page"/>
      </w:r>
    </w:p>
    <w:p w:rsidR="008522C8" w:rsidRPr="007335F2" w:rsidRDefault="009104DB" w:rsidP="0046539D">
      <w:pPr>
        <w:pStyle w:val="ManualNumPar1"/>
        <w:spacing w:line="360" w:lineRule="auto"/>
        <w:jc w:val="left"/>
        <w:rPr>
          <w:noProof/>
        </w:rPr>
      </w:pPr>
      <w:r w:rsidRPr="007335F2">
        <w:rPr>
          <w:noProof/>
        </w:rPr>
        <w:lastRenderedPageBreak/>
        <w:t>2.</w:t>
      </w:r>
      <w:r w:rsidRPr="007335F2">
        <w:rPr>
          <w:noProof/>
        </w:rPr>
        <w:tab/>
        <w:t>Členské státy poskytnou Komisi informace nezbytné k vypracování této zprávy.</w:t>
      </w:r>
    </w:p>
    <w:p w:rsidR="008522C8" w:rsidRPr="007335F2" w:rsidRDefault="009104DB" w:rsidP="0046539D">
      <w:pPr>
        <w:pStyle w:val="Titrearticle"/>
        <w:spacing w:before="120" w:line="360" w:lineRule="auto"/>
        <w:rPr>
          <w:i w:val="0"/>
          <w:noProof/>
        </w:rPr>
      </w:pPr>
      <w:r w:rsidRPr="007335F2">
        <w:rPr>
          <w:i w:val="0"/>
          <w:noProof/>
        </w:rPr>
        <w:t>Článek 16</w:t>
      </w:r>
      <w:r w:rsidRPr="007335F2">
        <w:rPr>
          <w:i w:val="0"/>
          <w:noProof/>
        </w:rPr>
        <w:br/>
        <w:t>Sledování</w:t>
      </w:r>
    </w:p>
    <w:p w:rsidR="008522C8" w:rsidRPr="007335F2" w:rsidRDefault="009104DB" w:rsidP="0046539D">
      <w:pPr>
        <w:spacing w:line="360" w:lineRule="auto"/>
        <w:jc w:val="left"/>
        <w:rPr>
          <w:noProof/>
        </w:rPr>
      </w:pPr>
      <w:r w:rsidRPr="007335F2">
        <w:rPr>
          <w:noProof/>
        </w:rPr>
        <w:t xml:space="preserve">Členské státy poskytnou Komisi jednou za dva roky a poprvé nejpozději do </w:t>
      </w:r>
      <w:r w:rsidR="002F38CC" w:rsidRPr="007335F2">
        <w:rPr>
          <w:noProof/>
        </w:rPr>
        <w:t xml:space="preserve">... </w:t>
      </w:r>
      <w:r w:rsidRPr="007335F2">
        <w:rPr>
          <w:noProof/>
        </w:rPr>
        <w:t xml:space="preserve">[dva roky od data použitelnosti tohoto nařízení] tyto informace: </w:t>
      </w:r>
    </w:p>
    <w:p w:rsidR="008522C8" w:rsidRPr="007335F2" w:rsidRDefault="009104DB" w:rsidP="0046539D">
      <w:pPr>
        <w:pStyle w:val="ManualNumPar1"/>
        <w:spacing w:line="360" w:lineRule="auto"/>
        <w:jc w:val="left"/>
        <w:rPr>
          <w:noProof/>
        </w:rPr>
      </w:pPr>
      <w:r w:rsidRPr="007335F2">
        <w:rPr>
          <w:noProof/>
        </w:rPr>
        <w:t>1.</w:t>
      </w:r>
      <w:r w:rsidRPr="007335F2">
        <w:rPr>
          <w:noProof/>
        </w:rPr>
        <w:tab/>
        <w:t xml:space="preserve">počet příslušných orgánů, které provedly opatření za účelem zajištění přístupu k informacím zpřístupněným dotčenými hospodářskými subjekty a jejich zpracování v souladu s čl. 4 odst. 2; </w:t>
      </w:r>
    </w:p>
    <w:p w:rsidR="008522C8" w:rsidRPr="007335F2" w:rsidRDefault="009104DB" w:rsidP="0046539D">
      <w:pPr>
        <w:pStyle w:val="ManualNumPar1"/>
        <w:spacing w:line="360" w:lineRule="auto"/>
        <w:jc w:val="left"/>
        <w:rPr>
          <w:noProof/>
        </w:rPr>
      </w:pPr>
      <w:r w:rsidRPr="007335F2">
        <w:rPr>
          <w:noProof/>
        </w:rPr>
        <w:t>2.</w:t>
      </w:r>
      <w:r w:rsidRPr="007335F2">
        <w:rPr>
          <w:noProof/>
        </w:rPr>
        <w:tab/>
        <w:t xml:space="preserve">počet dotčených hospodářských subjektů, které zpřístupnily regulační informace příslušným orgánům členského státu v souladu v souladu s čl. 4 odst. 1, rozdělený podle druhů dopravy. </w:t>
      </w:r>
    </w:p>
    <w:p w:rsidR="008522C8" w:rsidRPr="007335F2" w:rsidRDefault="009104DB" w:rsidP="0046539D">
      <w:pPr>
        <w:spacing w:line="360" w:lineRule="auto"/>
        <w:jc w:val="left"/>
        <w:rPr>
          <w:noProof/>
        </w:rPr>
      </w:pPr>
      <w:r w:rsidRPr="007335F2">
        <w:rPr>
          <w:noProof/>
        </w:rPr>
        <w:t>Informace se poskytnou za každý rok spadající do období, o němž se podává zpráva.</w:t>
      </w:r>
    </w:p>
    <w:p w:rsidR="002F38CC" w:rsidRPr="007335F2" w:rsidRDefault="002F38CC">
      <w:pPr>
        <w:spacing w:before="0" w:after="200" w:line="276" w:lineRule="auto"/>
        <w:jc w:val="left"/>
        <w:rPr>
          <w:noProof/>
        </w:rPr>
      </w:pPr>
      <w:r w:rsidRPr="007335F2">
        <w:rPr>
          <w:i/>
          <w:noProof/>
        </w:rPr>
        <w:br w:type="page"/>
      </w:r>
    </w:p>
    <w:p w:rsidR="008522C8" w:rsidRPr="007335F2" w:rsidRDefault="009104DB" w:rsidP="0046539D">
      <w:pPr>
        <w:pStyle w:val="Titrearticle"/>
        <w:spacing w:before="120" w:line="360" w:lineRule="auto"/>
        <w:rPr>
          <w:i w:val="0"/>
          <w:noProof/>
        </w:rPr>
      </w:pPr>
      <w:r w:rsidRPr="007335F2">
        <w:rPr>
          <w:i w:val="0"/>
          <w:noProof/>
        </w:rPr>
        <w:lastRenderedPageBreak/>
        <w:t>Článek 17</w:t>
      </w:r>
      <w:r w:rsidRPr="007335F2">
        <w:rPr>
          <w:i w:val="0"/>
          <w:noProof/>
        </w:rPr>
        <w:br/>
        <w:t>Vstup v platnost a použitelnost</w:t>
      </w:r>
    </w:p>
    <w:p w:rsidR="008522C8" w:rsidRPr="007335F2" w:rsidRDefault="009104DB" w:rsidP="0046539D">
      <w:pPr>
        <w:spacing w:line="360" w:lineRule="auto"/>
        <w:jc w:val="left"/>
        <w:rPr>
          <w:noProof/>
        </w:rPr>
      </w:pPr>
      <w:r w:rsidRPr="007335F2">
        <w:rPr>
          <w:noProof/>
        </w:rPr>
        <w:t>Toto nařízení vstupuje v platnost dvacátým dnem po vyhlášení v </w:t>
      </w:r>
      <w:r w:rsidRPr="007335F2">
        <w:rPr>
          <w:i/>
          <w:noProof/>
        </w:rPr>
        <w:t>Úředním věstníku Evropské unie</w:t>
      </w:r>
      <w:r w:rsidRPr="007335F2">
        <w:rPr>
          <w:noProof/>
        </w:rPr>
        <w:t>.</w:t>
      </w:r>
    </w:p>
    <w:p w:rsidR="008522C8" w:rsidRPr="007335F2" w:rsidRDefault="009104DB" w:rsidP="0046539D">
      <w:pPr>
        <w:spacing w:line="360" w:lineRule="auto"/>
        <w:jc w:val="left"/>
        <w:rPr>
          <w:b/>
          <w:noProof/>
        </w:rPr>
      </w:pPr>
      <w:r w:rsidRPr="007335F2">
        <w:rPr>
          <w:noProof/>
        </w:rPr>
        <w:t xml:space="preserve">Použije se od </w:t>
      </w:r>
      <w:r w:rsidR="008F02B0" w:rsidRPr="007335F2">
        <w:rPr>
          <w:noProof/>
        </w:rPr>
        <w:t xml:space="preserve">... </w:t>
      </w:r>
      <w:r w:rsidRPr="007335F2">
        <w:rPr>
          <w:noProof/>
        </w:rPr>
        <w:t>[</w:t>
      </w:r>
      <w:r w:rsidRPr="007335F2">
        <w:rPr>
          <w:strike/>
          <w:noProof/>
        </w:rPr>
        <w:t>Úřad pro publikace: vložte datum čtyři</w:t>
      </w:r>
      <w:r w:rsidRPr="007335F2">
        <w:rPr>
          <w:noProof/>
        </w:rPr>
        <w:t xml:space="preserve"> </w:t>
      </w:r>
      <w:r w:rsidR="008F02B0" w:rsidRPr="007335F2">
        <w:rPr>
          <w:b/>
          <w:i/>
          <w:noProof/>
        </w:rPr>
        <w:t>tři</w:t>
      </w:r>
      <w:r w:rsidR="008F02B0" w:rsidRPr="007335F2">
        <w:rPr>
          <w:noProof/>
        </w:rPr>
        <w:t xml:space="preserve"> </w:t>
      </w:r>
      <w:r w:rsidRPr="007335F2">
        <w:rPr>
          <w:noProof/>
        </w:rPr>
        <w:t xml:space="preserve">roky od data vstupu </w:t>
      </w:r>
      <w:r w:rsidR="0089496B" w:rsidRPr="007335F2">
        <w:rPr>
          <w:b/>
          <w:i/>
          <w:noProof/>
        </w:rPr>
        <w:t xml:space="preserve">tohoto nařízení </w:t>
      </w:r>
      <w:r w:rsidRPr="007335F2">
        <w:rPr>
          <w:noProof/>
        </w:rPr>
        <w:t>v</w:t>
      </w:r>
      <w:r w:rsidR="0089496B" w:rsidRPr="007335F2">
        <w:rPr>
          <w:noProof/>
        </w:rPr>
        <w:t> </w:t>
      </w:r>
      <w:r w:rsidRPr="007335F2">
        <w:rPr>
          <w:noProof/>
        </w:rPr>
        <w:t>platnost].</w:t>
      </w:r>
      <w:r w:rsidR="008F02B0" w:rsidRPr="007335F2">
        <w:rPr>
          <w:b/>
          <w:noProof/>
        </w:rPr>
        <w:t xml:space="preserve"> [pozm. návrh 55]</w:t>
      </w:r>
    </w:p>
    <w:p w:rsidR="008522C8" w:rsidRPr="007335F2" w:rsidRDefault="009104DB" w:rsidP="0046539D">
      <w:pPr>
        <w:pStyle w:val="Applicationdirecte"/>
        <w:spacing w:before="120" w:line="360" w:lineRule="auto"/>
        <w:jc w:val="left"/>
        <w:rPr>
          <w:noProof/>
        </w:rPr>
      </w:pPr>
      <w:r w:rsidRPr="007335F2">
        <w:rPr>
          <w:noProof/>
        </w:rPr>
        <w:t>Toto nařízení je závazné v celém rozsahu a přímo použitelné ve všech členských státech.</w:t>
      </w:r>
    </w:p>
    <w:p w:rsidR="008522C8" w:rsidRPr="007335F2" w:rsidRDefault="0046539D" w:rsidP="0046539D">
      <w:pPr>
        <w:pStyle w:val="Fait"/>
        <w:spacing w:after="120" w:line="360" w:lineRule="auto"/>
        <w:jc w:val="left"/>
      </w:pPr>
      <w:r w:rsidRPr="007335F2">
        <w:t>V ...</w:t>
      </w:r>
      <w:r w:rsidR="009104DB" w:rsidRPr="007335F2">
        <w:t xml:space="preserve"> dne</w:t>
      </w:r>
    </w:p>
    <w:p w:rsidR="0046539D" w:rsidRPr="007335F2" w:rsidRDefault="0046539D" w:rsidP="0046539D">
      <w:pPr>
        <w:pStyle w:val="Institutionquisigne"/>
      </w:pPr>
    </w:p>
    <w:p w:rsidR="008522C8" w:rsidRPr="007335F2" w:rsidRDefault="009104DB" w:rsidP="0046539D">
      <w:pPr>
        <w:pStyle w:val="Institutionquisigne"/>
        <w:spacing w:before="120" w:after="120"/>
        <w:jc w:val="left"/>
        <w:rPr>
          <w:noProof/>
        </w:rPr>
      </w:pPr>
      <w:r w:rsidRPr="007335F2">
        <w:rPr>
          <w:noProof/>
        </w:rPr>
        <w:t>Za Evropský parlament</w:t>
      </w:r>
      <w:r w:rsidRPr="007335F2">
        <w:rPr>
          <w:noProof/>
        </w:rPr>
        <w:tab/>
        <w:t>Za Radu</w:t>
      </w:r>
    </w:p>
    <w:p w:rsidR="008522C8" w:rsidRPr="007335F2" w:rsidRDefault="009104DB" w:rsidP="0046539D">
      <w:pPr>
        <w:pStyle w:val="Personnequisigne"/>
        <w:spacing w:before="120" w:after="120"/>
        <w:rPr>
          <w:noProof/>
        </w:rPr>
      </w:pPr>
      <w:r w:rsidRPr="007335F2">
        <w:rPr>
          <w:noProof/>
        </w:rPr>
        <w:t>předseda</w:t>
      </w:r>
      <w:r w:rsidRPr="007335F2">
        <w:rPr>
          <w:noProof/>
        </w:rPr>
        <w:tab/>
        <w:t>předseda</w:t>
      </w:r>
      <w:r w:rsidR="0089496B" w:rsidRPr="007335F2">
        <w:rPr>
          <w:noProof/>
        </w:rPr>
        <w:t xml:space="preserve"> nebo předsedkyně</w:t>
      </w:r>
    </w:p>
    <w:p w:rsidR="00334B17" w:rsidRPr="007335F2" w:rsidRDefault="00334B17" w:rsidP="00334B17">
      <w:pPr>
        <w:pStyle w:val="Institutionquisigne"/>
      </w:pPr>
    </w:p>
    <w:p w:rsidR="00334B17" w:rsidRPr="007335F2" w:rsidRDefault="00334B17" w:rsidP="00334B17">
      <w:pPr>
        <w:pStyle w:val="Personnequisigne"/>
        <w:sectPr w:rsidR="00334B17" w:rsidRPr="007335F2">
          <w:pgSz w:w="11907" w:h="16839"/>
          <w:pgMar w:top="1134" w:right="1417" w:bottom="1134" w:left="1417" w:header="709" w:footer="709" w:gutter="0"/>
          <w:cols w:space="708"/>
          <w:docGrid w:linePitch="360"/>
        </w:sectPr>
      </w:pPr>
    </w:p>
    <w:p w:rsidR="00334B17" w:rsidRPr="007335F2" w:rsidRDefault="00334B17">
      <w:pPr>
        <w:pStyle w:val="Annexetitre"/>
        <w:rPr>
          <w:b w:val="0"/>
          <w:noProof/>
          <w:u w:val="none"/>
        </w:rPr>
      </w:pPr>
      <w:r w:rsidRPr="007335F2">
        <w:rPr>
          <w:b w:val="0"/>
          <w:noProof/>
          <w:u w:val="none"/>
        </w:rPr>
        <w:lastRenderedPageBreak/>
        <w:t>PŘÍLOHA I</w:t>
      </w:r>
      <w:r w:rsidRPr="007335F2">
        <w:rPr>
          <w:b w:val="0"/>
          <w:noProof/>
          <w:u w:val="none"/>
        </w:rPr>
        <w:br/>
      </w:r>
      <w:r w:rsidRPr="007335F2">
        <w:rPr>
          <w:b w:val="0"/>
          <w:noProof/>
          <w:u w:val="none"/>
        </w:rPr>
        <w:br/>
        <w:t>REGULAČNÍ INFORMACE SPADAJÍCÍ DO OBLASTI PŮSOBNOSTI TOHOTO NAŘÍZENÍ</w:t>
      </w:r>
    </w:p>
    <w:p w:rsidR="00334B17" w:rsidRPr="007335F2" w:rsidRDefault="00334B17">
      <w:pPr>
        <w:pStyle w:val="NormalLeft"/>
        <w:rPr>
          <w:noProof/>
        </w:rPr>
      </w:pPr>
      <w:r w:rsidRPr="007335F2">
        <w:rPr>
          <w:noProof/>
        </w:rPr>
        <w:t xml:space="preserve">Požadavky na regulační informace stanovené v právních předpisech Unie </w:t>
      </w:r>
    </w:p>
    <w:p w:rsidR="00334B17" w:rsidRPr="007335F2" w:rsidRDefault="00334B17">
      <w:pPr>
        <w:pStyle w:val="Text1"/>
        <w:rPr>
          <w:noProof/>
        </w:rPr>
      </w:pPr>
      <w:r w:rsidRPr="007335F2">
        <w:rPr>
          <w:noProof/>
        </w:rPr>
        <w:t>Tabulka níže obsahuje požadavky na regulační informace vymezené v aktech Unie, kterými se stanoví podmínky pro přepravu zboží na území Unie v souladu s třetí částí hlavou VI Smlouvy, jakož i podmínky pro přepravu odpadů.</w:t>
      </w:r>
    </w:p>
    <w:tbl>
      <w:tblPr>
        <w:tblStyle w:val="TableGrid"/>
        <w:tblW w:w="14989" w:type="dxa"/>
        <w:tblLook w:val="04A0" w:firstRow="1" w:lastRow="0" w:firstColumn="1" w:lastColumn="0" w:noHBand="0" w:noVBand="1"/>
      </w:tblPr>
      <w:tblGrid>
        <w:gridCol w:w="5070"/>
        <w:gridCol w:w="1210"/>
        <w:gridCol w:w="1158"/>
        <w:gridCol w:w="1232"/>
        <w:gridCol w:w="1084"/>
        <w:gridCol w:w="1298"/>
        <w:gridCol w:w="1359"/>
        <w:gridCol w:w="1305"/>
        <w:gridCol w:w="1273"/>
      </w:tblGrid>
      <w:tr w:rsidR="00334B17" w:rsidRPr="007335F2">
        <w:trPr>
          <w:trHeight w:val="1216"/>
        </w:trPr>
        <w:tc>
          <w:tcPr>
            <w:tcW w:w="5070" w:type="dxa"/>
            <w:noWrap/>
            <w:hideMark/>
          </w:tcPr>
          <w:p w:rsidR="00334B17" w:rsidRPr="007335F2" w:rsidRDefault="00334B17">
            <w:pPr>
              <w:jc w:val="left"/>
              <w:rPr>
                <w:rFonts w:ascii="Calibri" w:eastAsia="Times New Roman" w:hAnsi="Calibri"/>
                <w:b/>
                <w:bCs/>
                <w:noProof/>
                <w:color w:val="000000"/>
                <w:szCs w:val="24"/>
              </w:rPr>
            </w:pPr>
            <w:r w:rsidRPr="007335F2">
              <w:rPr>
                <w:rFonts w:ascii="Calibri" w:hAnsi="Calibri"/>
                <w:b/>
                <w:noProof/>
                <w:color w:val="000000"/>
              </w:rPr>
              <w:t>Právní předpis EU</w:t>
            </w:r>
          </w:p>
          <w:p w:rsidR="00334B17" w:rsidRPr="007335F2" w:rsidRDefault="00334B17">
            <w:pPr>
              <w:jc w:val="left"/>
              <w:rPr>
                <w:rFonts w:ascii="Calibri" w:eastAsia="Times New Roman" w:hAnsi="Calibri"/>
                <w:b/>
                <w:bCs/>
                <w:noProof/>
                <w:color w:val="000000"/>
                <w:szCs w:val="24"/>
              </w:rPr>
            </w:pPr>
          </w:p>
          <w:p w:rsidR="00334B17" w:rsidRPr="007335F2" w:rsidRDefault="00334B17">
            <w:pPr>
              <w:jc w:val="left"/>
              <w:rPr>
                <w:rFonts w:ascii="Calibri" w:eastAsia="Times New Roman" w:hAnsi="Calibri"/>
                <w:b/>
                <w:bCs/>
                <w:noProof/>
                <w:color w:val="000000"/>
                <w:szCs w:val="24"/>
              </w:rPr>
            </w:pPr>
          </w:p>
          <w:p w:rsidR="00334B17" w:rsidRPr="007335F2" w:rsidRDefault="00334B17">
            <w:pPr>
              <w:jc w:val="left"/>
              <w:rPr>
                <w:rFonts w:ascii="Calibri" w:eastAsia="Times New Roman" w:hAnsi="Calibri"/>
                <w:b/>
                <w:bCs/>
                <w:noProof/>
                <w:color w:val="000000"/>
                <w:sz w:val="28"/>
                <w:szCs w:val="28"/>
              </w:rPr>
            </w:pPr>
            <w:r w:rsidRPr="007335F2">
              <w:rPr>
                <w:rFonts w:ascii="Calibri" w:hAnsi="Calibri"/>
                <w:b/>
                <w:noProof/>
                <w:color w:val="000000"/>
              </w:rPr>
              <w:t>Požadovaný údaj</w:t>
            </w:r>
          </w:p>
        </w:tc>
        <w:tc>
          <w:tcPr>
            <w:tcW w:w="1223"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nařízení Rady č. 11 o odstranění diskriminace v oblasti přepravních sazeb a podmínek</w:t>
            </w:r>
          </w:p>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Úř. věst. 052 (16.8.1960, s. 1121)</w:t>
            </w:r>
          </w:p>
        </w:tc>
        <w:tc>
          <w:tcPr>
            <w:tcW w:w="1161"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směrnice Rady 92/106/EHS o zavedení společných pravidel pro určité druhy kombinované přepravy zboží mezi členskými státy</w:t>
            </w:r>
          </w:p>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Úř. věst. L 368 (17.12.1992, s. 38)</w:t>
            </w:r>
          </w:p>
        </w:tc>
        <w:tc>
          <w:tcPr>
            <w:tcW w:w="1244" w:type="dxa"/>
            <w:hideMark/>
          </w:tcPr>
          <w:p w:rsidR="00334B17" w:rsidRPr="007335F2" w:rsidRDefault="00334B17">
            <w:pPr>
              <w:jc w:val="left"/>
              <w:rPr>
                <w:rFonts w:asciiTheme="minorHAnsi" w:eastAsia="Times New Roman" w:hAnsiTheme="minorHAnsi"/>
                <w:b/>
                <w:bCs/>
                <w:noProof/>
                <w:color w:val="000000"/>
                <w:sz w:val="16"/>
                <w:szCs w:val="16"/>
              </w:rPr>
            </w:pPr>
            <w:r w:rsidRPr="007335F2">
              <w:rPr>
                <w:rFonts w:asciiTheme="minorHAnsi" w:hAnsiTheme="minorHAnsi"/>
                <w:b/>
                <w:noProof/>
                <w:color w:val="000000"/>
                <w:sz w:val="16"/>
              </w:rPr>
              <w:t xml:space="preserve">[návrh COM(2017) 648 final – 2017/0290 (COD), </w:t>
            </w:r>
            <w:r w:rsidRPr="007335F2">
              <w:rPr>
                <w:rStyle w:val="st"/>
                <w:rFonts w:asciiTheme="minorHAnsi" w:hAnsiTheme="minorHAnsi"/>
                <w:b/>
                <w:noProof/>
                <w:sz w:val="16"/>
              </w:rPr>
              <w:t>kterým se mění směrnice 92/106/EHS]</w:t>
            </w:r>
          </w:p>
        </w:tc>
        <w:tc>
          <w:tcPr>
            <w:tcW w:w="1084"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nařízení (ES) č. 1072/2009 o společných pravidlech pro přístup na trh mezinárodní silniční nákladní dopravy</w:t>
            </w:r>
          </w:p>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Úř. věst. L 300 (14.11.2009, s. 72)</w:t>
            </w:r>
          </w:p>
        </w:tc>
        <w:tc>
          <w:tcPr>
            <w:tcW w:w="1225"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[návrh COM(2017)0281 final – 2017/0123 (COD), kterým se mění nařízení (ES) č. 1071/2009 a nařízení (ES) č. 1072/2009]</w:t>
            </w:r>
          </w:p>
        </w:tc>
        <w:tc>
          <w:tcPr>
            <w:tcW w:w="1376"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prováděcí nařízení Komise (EU) 2015/1998, kterým se stanoví prováděcí opatření ke společným základním normám letecké bezpečnosti</w:t>
            </w:r>
          </w:p>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Úř. věst. L 299 (14.11.2015, s. 1)</w:t>
            </w:r>
          </w:p>
        </w:tc>
        <w:tc>
          <w:tcPr>
            <w:tcW w:w="1317"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směrnice 2008/68/ES o pozemní přepravě nebezpečných věcí</w:t>
            </w:r>
            <w:r w:rsidRPr="007335F2">
              <w:rPr>
                <w:rFonts w:ascii="Calibri" w:eastAsia="Times New Roman" w:hAnsi="Calibri"/>
                <w:b/>
                <w:bCs/>
                <w:noProof/>
                <w:color w:val="000000"/>
                <w:sz w:val="16"/>
                <w:szCs w:val="16"/>
              </w:rPr>
              <w:br/>
            </w:r>
            <w:r w:rsidRPr="007335F2">
              <w:rPr>
                <w:rFonts w:ascii="Calibri" w:eastAsia="Times New Roman" w:hAnsi="Calibri"/>
                <w:b/>
                <w:bCs/>
                <w:noProof/>
                <w:color w:val="000000"/>
                <w:sz w:val="16"/>
                <w:szCs w:val="16"/>
              </w:rPr>
              <w:br/>
            </w:r>
            <w:r w:rsidRPr="007335F2">
              <w:rPr>
                <w:rFonts w:ascii="Calibri" w:hAnsi="Calibri"/>
                <w:b/>
                <w:noProof/>
                <w:color w:val="000000"/>
                <w:sz w:val="16"/>
              </w:rPr>
              <w:t>Úř. věst. L 260 (30.9.2008, s. 13)</w:t>
            </w:r>
          </w:p>
          <w:p w:rsidR="00334B17" w:rsidRPr="007335F2" w:rsidRDefault="00334B17">
            <w:pPr>
              <w:jc w:val="left"/>
              <w:rPr>
                <w:rFonts w:ascii="Calibri" w:eastAsia="Times New Roman" w:hAnsi="Calibri"/>
                <w:b/>
                <w:bCs/>
                <w:noProof/>
                <w:color w:val="000000"/>
                <w:sz w:val="16"/>
                <w:szCs w:val="16"/>
              </w:rPr>
            </w:pPr>
          </w:p>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Odkazy na ADR, RID, ADN</w:t>
            </w:r>
            <w:r w:rsidRPr="007335F2">
              <w:rPr>
                <w:rStyle w:val="FootnoteReference"/>
                <w:rFonts w:ascii="Calibri" w:hAnsi="Calibri"/>
                <w:b/>
                <w:noProof/>
                <w:color w:val="000000"/>
                <w:sz w:val="16"/>
              </w:rPr>
              <w:footnoteReference w:id="12"/>
            </w:r>
          </w:p>
        </w:tc>
        <w:tc>
          <w:tcPr>
            <w:tcW w:w="1289" w:type="dxa"/>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nařízení (ES) č. 1013/2006 o přepravě odpadů</w:t>
            </w:r>
          </w:p>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Úř. věst. L 190 (12.7.2006, s. 1)</w:t>
            </w:r>
          </w:p>
        </w:tc>
      </w:tr>
      <w:tr w:rsidR="00334B17" w:rsidRPr="007335F2">
        <w:trPr>
          <w:trHeight w:val="412"/>
        </w:trPr>
        <w:tc>
          <w:tcPr>
            <w:tcW w:w="5070"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Jméno a adresa odesílatele</w:t>
            </w:r>
          </w:p>
        </w:tc>
        <w:tc>
          <w:tcPr>
            <w:tcW w:w="1223"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xml:space="preserve">čl. 6 odst. 1 </w:t>
            </w:r>
          </w:p>
        </w:tc>
        <w:tc>
          <w:tcPr>
            <w:tcW w:w="1161"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článek 3 (odkaz na článek 6 nařízení Rady č. 11)</w:t>
            </w:r>
          </w:p>
        </w:tc>
        <w:tc>
          <w:tcPr>
            <w:tcW w:w="124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25"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76"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17"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417"/>
        </w:trPr>
        <w:tc>
          <w:tcPr>
            <w:tcW w:w="5070"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Povaha a hmotnost zboží</w:t>
            </w:r>
          </w:p>
        </w:tc>
        <w:tc>
          <w:tcPr>
            <w:tcW w:w="1223"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6 odst. 1</w:t>
            </w:r>
          </w:p>
        </w:tc>
        <w:tc>
          <w:tcPr>
            <w:tcW w:w="1161"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článek 3 (odkaz na článek 6 nařízení Rady č. 11)</w:t>
            </w:r>
          </w:p>
        </w:tc>
        <w:tc>
          <w:tcPr>
            <w:tcW w:w="124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25"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76"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17"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410"/>
        </w:trPr>
        <w:tc>
          <w:tcPr>
            <w:tcW w:w="5070"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lastRenderedPageBreak/>
              <w:t>Místo a datum přijetí zboží k přepravě</w:t>
            </w:r>
          </w:p>
        </w:tc>
        <w:tc>
          <w:tcPr>
            <w:tcW w:w="1223"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6 odst. 1</w:t>
            </w:r>
          </w:p>
        </w:tc>
        <w:tc>
          <w:tcPr>
            <w:tcW w:w="1161"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článek 3 (odkaz na článek 6 nařízení Rady č. 11)</w:t>
            </w:r>
          </w:p>
        </w:tc>
        <w:tc>
          <w:tcPr>
            <w:tcW w:w="124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25"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76"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17"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416"/>
        </w:trPr>
        <w:tc>
          <w:tcPr>
            <w:tcW w:w="5070"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Místo, do kterého má být zboží dodáno</w:t>
            </w:r>
          </w:p>
        </w:tc>
        <w:tc>
          <w:tcPr>
            <w:tcW w:w="1223"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6 odst. 1</w:t>
            </w:r>
          </w:p>
        </w:tc>
        <w:tc>
          <w:tcPr>
            <w:tcW w:w="1161"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článek 3 (odkaz na článek 6 nařízení Rady č. 11)</w:t>
            </w:r>
          </w:p>
        </w:tc>
        <w:tc>
          <w:tcPr>
            <w:tcW w:w="124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25"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76"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17"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915"/>
        </w:trPr>
        <w:tc>
          <w:tcPr>
            <w:tcW w:w="5070" w:type="dxa"/>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Trasa, kterou se má jet, nebo vzdálenost, kterou je nutno urazit, pokud tyto faktory opravňují sazbu odlišnou od sazby běžně použitelné</w:t>
            </w:r>
          </w:p>
        </w:tc>
        <w:tc>
          <w:tcPr>
            <w:tcW w:w="1223"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6 odst. 1</w:t>
            </w:r>
          </w:p>
        </w:tc>
        <w:tc>
          <w:tcPr>
            <w:tcW w:w="1161"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xml:space="preserve">článek 3 (odkaz na článek 6 nařízení Rady č. 11) </w:t>
            </w:r>
          </w:p>
        </w:tc>
        <w:tc>
          <w:tcPr>
            <w:tcW w:w="1244" w:type="dxa"/>
          </w:tcPr>
          <w:p w:rsidR="00334B17" w:rsidRPr="007335F2" w:rsidRDefault="00334B17">
            <w:pPr>
              <w:jc w:val="left"/>
              <w:rPr>
                <w:rFonts w:ascii="Calibri" w:eastAsia="Times New Roman" w:hAnsi="Calibri"/>
                <w:b/>
                <w:bCs/>
                <w:noProof/>
                <w:color w:val="000000"/>
                <w:sz w:val="16"/>
                <w:szCs w:val="16"/>
              </w:rPr>
            </w:pPr>
          </w:p>
        </w:tc>
        <w:tc>
          <w:tcPr>
            <w:tcW w:w="1084" w:type="dxa"/>
          </w:tcPr>
          <w:p w:rsidR="00334B17" w:rsidRPr="007335F2" w:rsidRDefault="00334B17">
            <w:pPr>
              <w:jc w:val="left"/>
              <w:rPr>
                <w:rFonts w:ascii="Calibri" w:eastAsia="Times New Roman" w:hAnsi="Calibri"/>
                <w:b/>
                <w:bCs/>
                <w:noProof/>
                <w:color w:val="000000"/>
                <w:sz w:val="16"/>
                <w:szCs w:val="16"/>
              </w:rPr>
            </w:pPr>
          </w:p>
        </w:tc>
        <w:tc>
          <w:tcPr>
            <w:tcW w:w="1225" w:type="dxa"/>
          </w:tcPr>
          <w:p w:rsidR="00334B17" w:rsidRPr="007335F2" w:rsidRDefault="00334B17">
            <w:pPr>
              <w:jc w:val="left"/>
              <w:rPr>
                <w:rFonts w:ascii="Calibri" w:eastAsia="Times New Roman" w:hAnsi="Calibri"/>
                <w:b/>
                <w:bCs/>
                <w:noProof/>
                <w:color w:val="000000"/>
                <w:sz w:val="16"/>
                <w:szCs w:val="16"/>
              </w:rPr>
            </w:pPr>
          </w:p>
        </w:tc>
        <w:tc>
          <w:tcPr>
            <w:tcW w:w="1376" w:type="dxa"/>
          </w:tcPr>
          <w:p w:rsidR="00334B17" w:rsidRPr="007335F2" w:rsidRDefault="00334B17">
            <w:pPr>
              <w:jc w:val="left"/>
              <w:rPr>
                <w:rFonts w:ascii="Calibri" w:eastAsia="Times New Roman" w:hAnsi="Calibri"/>
                <w:b/>
                <w:bCs/>
                <w:noProof/>
                <w:color w:val="000000"/>
                <w:sz w:val="16"/>
                <w:szCs w:val="16"/>
              </w:rPr>
            </w:pPr>
          </w:p>
        </w:tc>
        <w:tc>
          <w:tcPr>
            <w:tcW w:w="1317" w:type="dxa"/>
          </w:tcPr>
          <w:p w:rsidR="00334B17" w:rsidRPr="007335F2" w:rsidRDefault="00334B17">
            <w:pPr>
              <w:jc w:val="left"/>
              <w:rPr>
                <w:rFonts w:ascii="Calibri" w:eastAsia="Times New Roman" w:hAnsi="Calibri"/>
                <w:b/>
                <w:bCs/>
                <w:noProof/>
                <w:color w:val="000000"/>
                <w:sz w:val="16"/>
                <w:szCs w:val="16"/>
              </w:rPr>
            </w:pPr>
          </w:p>
        </w:tc>
        <w:tc>
          <w:tcPr>
            <w:tcW w:w="1289" w:type="dxa"/>
          </w:tcPr>
          <w:p w:rsidR="00334B17" w:rsidRPr="007335F2" w:rsidRDefault="00334B17">
            <w:pPr>
              <w:jc w:val="left"/>
              <w:rPr>
                <w:rFonts w:ascii="Calibri" w:eastAsia="Times New Roman" w:hAnsi="Calibri"/>
                <w:b/>
                <w:bCs/>
                <w:noProof/>
                <w:color w:val="000000"/>
                <w:sz w:val="16"/>
                <w:szCs w:val="16"/>
              </w:rPr>
            </w:pPr>
          </w:p>
        </w:tc>
      </w:tr>
      <w:tr w:rsidR="00334B17" w:rsidRPr="007335F2">
        <w:trPr>
          <w:trHeight w:val="915"/>
        </w:trPr>
        <w:tc>
          <w:tcPr>
            <w:tcW w:w="5070"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Případné hraniční přechody</w:t>
            </w:r>
          </w:p>
        </w:tc>
        <w:tc>
          <w:tcPr>
            <w:tcW w:w="1223"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6 odst. 1</w:t>
            </w:r>
          </w:p>
        </w:tc>
        <w:tc>
          <w:tcPr>
            <w:tcW w:w="1161"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xml:space="preserve">článek 3 (odkaz na článek 6 nařízení Rady č. 11 ze dne 27. června 1960) </w:t>
            </w:r>
          </w:p>
        </w:tc>
        <w:tc>
          <w:tcPr>
            <w:tcW w:w="124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25"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76"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17"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300"/>
        </w:trPr>
        <w:tc>
          <w:tcPr>
            <w:tcW w:w="5070"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Železniční stanice nakládky a vykládky</w:t>
            </w:r>
          </w:p>
        </w:tc>
        <w:tc>
          <w:tcPr>
            <w:tcW w:w="1223"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článek 3</w:t>
            </w:r>
          </w:p>
        </w:tc>
        <w:tc>
          <w:tcPr>
            <w:tcW w:w="124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25"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76"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17"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336"/>
        </w:trPr>
        <w:tc>
          <w:tcPr>
            <w:tcW w:w="5070"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Přístavy nakládky a vykládky vnitrozemských vodních cest</w:t>
            </w:r>
          </w:p>
        </w:tc>
        <w:tc>
          <w:tcPr>
            <w:tcW w:w="1223"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článek 3</w:t>
            </w:r>
          </w:p>
        </w:tc>
        <w:tc>
          <w:tcPr>
            <w:tcW w:w="124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25"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76"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17"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412"/>
        </w:trPr>
        <w:tc>
          <w:tcPr>
            <w:tcW w:w="5070"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 xml:space="preserve">Námořní přístavy nakládky a vykládky </w:t>
            </w:r>
          </w:p>
        </w:tc>
        <w:tc>
          <w:tcPr>
            <w:tcW w:w="1223"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článek 3</w:t>
            </w:r>
          </w:p>
        </w:tc>
        <w:tc>
          <w:tcPr>
            <w:tcW w:w="124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25"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76"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17"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701"/>
        </w:trPr>
        <w:tc>
          <w:tcPr>
            <w:tcW w:w="5070"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Razítko vyznačené železničními nebo přístavními orgány v dotčených železničních stanicích nebo v přístavech na vnitrozemských vodních cestách či v námořních přístavech, když byla dokončena daná část cesty vykonaná po železnici nebo po vnitrozemských vodních cestách nebo po moři</w:t>
            </w:r>
          </w:p>
        </w:tc>
        <w:tc>
          <w:tcPr>
            <w:tcW w:w="1223"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článek 3</w:t>
            </w:r>
          </w:p>
        </w:tc>
        <w:tc>
          <w:tcPr>
            <w:tcW w:w="124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25"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76"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17"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915"/>
        </w:trPr>
        <w:tc>
          <w:tcPr>
            <w:tcW w:w="5070"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[Jméno, adresa, kontaktní údaje a podpis přepravce]</w:t>
            </w:r>
          </w:p>
        </w:tc>
        <w:tc>
          <w:tcPr>
            <w:tcW w:w="1223"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xml:space="preserve">[čl. 3 odst. 2 písm. a) (kterým se nahrazuje článek 3 </w:t>
            </w:r>
            <w:r w:rsidRPr="007335F2">
              <w:rPr>
                <w:rFonts w:ascii="Calibri" w:hAnsi="Calibri"/>
                <w:noProof/>
                <w:color w:val="000000"/>
                <w:sz w:val="16"/>
              </w:rPr>
              <w:lastRenderedPageBreak/>
              <w:t>směrnice Rady 92/106/EHS)]</w:t>
            </w:r>
          </w:p>
        </w:tc>
        <w:tc>
          <w:tcPr>
            <w:tcW w:w="108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lastRenderedPageBreak/>
              <w:t> </w:t>
            </w:r>
          </w:p>
        </w:tc>
        <w:tc>
          <w:tcPr>
            <w:tcW w:w="1225"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76"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17"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915"/>
        </w:trPr>
        <w:tc>
          <w:tcPr>
            <w:tcW w:w="5070"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[Místo a datum, kde a kdy kombinovaná přepravní operace v Unii začíná]</w:t>
            </w:r>
          </w:p>
        </w:tc>
        <w:tc>
          <w:tcPr>
            <w:tcW w:w="1223"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3 odst. 2 písm. b) (kterým se nahrazuje článek 3 směrnice Rady 92/106/EHS)]</w:t>
            </w:r>
          </w:p>
        </w:tc>
        <w:tc>
          <w:tcPr>
            <w:tcW w:w="108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25"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76"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17"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915"/>
        </w:trPr>
        <w:tc>
          <w:tcPr>
            <w:tcW w:w="5070"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[Jméno, adresa a další kontaktní údaje příjemce]</w:t>
            </w:r>
          </w:p>
        </w:tc>
        <w:tc>
          <w:tcPr>
            <w:tcW w:w="1223"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3 odst. 2 písm. c) (kterým se nahrazuje článek 3 směrnice Rady 92/106/EHS)]</w:t>
            </w:r>
          </w:p>
        </w:tc>
        <w:tc>
          <w:tcPr>
            <w:tcW w:w="108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25"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76"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17"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915"/>
        </w:trPr>
        <w:tc>
          <w:tcPr>
            <w:tcW w:w="5070"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[Místo a datum, kde a kdy kombinovaná přepravní operace v Unii končí]</w:t>
            </w:r>
          </w:p>
        </w:tc>
        <w:tc>
          <w:tcPr>
            <w:tcW w:w="1223"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3 odst. 2 písm. d) (kterým se nahrazuje článek 3 směrnice Rady 92/106/EHS)]</w:t>
            </w:r>
          </w:p>
        </w:tc>
        <w:tc>
          <w:tcPr>
            <w:tcW w:w="108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25"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76"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17"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1025"/>
        </w:trPr>
        <w:tc>
          <w:tcPr>
            <w:tcW w:w="5070" w:type="dxa"/>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[Vzdálenost vzdušnou čarou mezi místem, kde kombinovaná přepravní operace začíná, a místem, kde kombinovaná přepravní operace v Unii končí]</w:t>
            </w:r>
          </w:p>
        </w:tc>
        <w:tc>
          <w:tcPr>
            <w:tcW w:w="1223"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3 odst. 2 písm. e) (kterým se nahrazuje článek 3 směrnice Rady 92/106/EHS)]</w:t>
            </w:r>
          </w:p>
        </w:tc>
        <w:tc>
          <w:tcPr>
            <w:tcW w:w="1084" w:type="dxa"/>
          </w:tcPr>
          <w:p w:rsidR="00334B17" w:rsidRPr="007335F2" w:rsidRDefault="00334B17">
            <w:pPr>
              <w:jc w:val="left"/>
              <w:rPr>
                <w:rFonts w:ascii="Calibri" w:eastAsia="Times New Roman" w:hAnsi="Calibri"/>
                <w:noProof/>
                <w:color w:val="000000"/>
                <w:sz w:val="16"/>
                <w:szCs w:val="16"/>
              </w:rPr>
            </w:pPr>
          </w:p>
        </w:tc>
        <w:tc>
          <w:tcPr>
            <w:tcW w:w="1225" w:type="dxa"/>
          </w:tcPr>
          <w:p w:rsidR="00334B17" w:rsidRPr="007335F2" w:rsidRDefault="00334B17">
            <w:pPr>
              <w:jc w:val="left"/>
              <w:rPr>
                <w:rFonts w:ascii="Calibri" w:eastAsia="Times New Roman" w:hAnsi="Calibri"/>
                <w:noProof/>
                <w:color w:val="000000"/>
                <w:sz w:val="16"/>
                <w:szCs w:val="16"/>
              </w:rPr>
            </w:pPr>
          </w:p>
        </w:tc>
        <w:tc>
          <w:tcPr>
            <w:tcW w:w="1376" w:type="dxa"/>
          </w:tcPr>
          <w:p w:rsidR="00334B17" w:rsidRPr="007335F2" w:rsidRDefault="00334B17">
            <w:pPr>
              <w:jc w:val="left"/>
              <w:rPr>
                <w:rFonts w:ascii="Calibri" w:eastAsia="Times New Roman" w:hAnsi="Calibri"/>
                <w:noProof/>
                <w:color w:val="000000"/>
                <w:sz w:val="16"/>
                <w:szCs w:val="16"/>
              </w:rPr>
            </w:pPr>
          </w:p>
        </w:tc>
        <w:tc>
          <w:tcPr>
            <w:tcW w:w="1317" w:type="dxa"/>
          </w:tcPr>
          <w:p w:rsidR="00334B17" w:rsidRPr="007335F2" w:rsidRDefault="00334B17">
            <w:pPr>
              <w:jc w:val="left"/>
              <w:rPr>
                <w:rFonts w:ascii="Calibri" w:eastAsia="Times New Roman" w:hAnsi="Calibri"/>
                <w:noProof/>
                <w:color w:val="000000"/>
                <w:sz w:val="16"/>
                <w:szCs w:val="16"/>
              </w:rPr>
            </w:pP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1365"/>
        </w:trPr>
        <w:tc>
          <w:tcPr>
            <w:tcW w:w="5070" w:type="dxa"/>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 xml:space="preserve">[Popis trasy kombinované přepravní operace podepsaný přepravcem obsahující alespoň následující podrobnosti pro každý úsek, včetně každého druhu dopravy, jež představuje nesilniční úsek operace v Unii: </w:t>
            </w:r>
            <w:r w:rsidRPr="007335F2">
              <w:rPr>
                <w:rFonts w:ascii="Calibri" w:eastAsia="Times New Roman" w:hAnsi="Calibri"/>
                <w:b/>
                <w:bCs/>
                <w:noProof/>
                <w:color w:val="000000"/>
                <w:sz w:val="16"/>
                <w:szCs w:val="16"/>
              </w:rPr>
              <w:br/>
            </w:r>
            <w:r w:rsidRPr="007335F2">
              <w:rPr>
                <w:rFonts w:ascii="Calibri" w:hAnsi="Calibri"/>
                <w:b/>
                <w:noProof/>
                <w:color w:val="000000"/>
                <w:sz w:val="16"/>
              </w:rPr>
              <w:t>i) pořadí úseků (tj. první úsek, nesilniční úsek nebo konečný úsek);</w:t>
            </w:r>
            <w:r w:rsidRPr="007335F2">
              <w:rPr>
                <w:rFonts w:ascii="Calibri" w:eastAsia="Times New Roman" w:hAnsi="Calibri"/>
                <w:b/>
                <w:bCs/>
                <w:noProof/>
                <w:color w:val="000000"/>
                <w:sz w:val="16"/>
                <w:szCs w:val="16"/>
              </w:rPr>
              <w:br/>
            </w:r>
            <w:r w:rsidRPr="007335F2">
              <w:rPr>
                <w:rFonts w:ascii="Calibri" w:hAnsi="Calibri"/>
                <w:b/>
                <w:noProof/>
                <w:color w:val="000000"/>
                <w:sz w:val="16"/>
              </w:rPr>
              <w:t>ii) jméno, adresa a kontaktní údaje přepravce;</w:t>
            </w:r>
            <w:r w:rsidRPr="007335F2">
              <w:rPr>
                <w:rFonts w:ascii="Calibri" w:eastAsia="Times New Roman" w:hAnsi="Calibri"/>
                <w:b/>
                <w:bCs/>
                <w:noProof/>
                <w:color w:val="000000"/>
                <w:sz w:val="16"/>
                <w:szCs w:val="16"/>
              </w:rPr>
              <w:br/>
            </w:r>
            <w:r w:rsidRPr="007335F2">
              <w:rPr>
                <w:rFonts w:ascii="Calibri" w:hAnsi="Calibri"/>
                <w:b/>
                <w:noProof/>
                <w:color w:val="000000"/>
                <w:sz w:val="16"/>
              </w:rPr>
              <w:t>iii) druh dopravy a jeho pořadí v operaci]</w:t>
            </w:r>
          </w:p>
        </w:tc>
        <w:tc>
          <w:tcPr>
            <w:tcW w:w="1223" w:type="dxa"/>
          </w:tcPr>
          <w:p w:rsidR="00334B17" w:rsidRPr="007335F2" w:rsidRDefault="00334B17">
            <w:pPr>
              <w:jc w:val="left"/>
              <w:rPr>
                <w:rFonts w:ascii="Calibri" w:eastAsia="Times New Roman" w:hAnsi="Calibri"/>
                <w:noProof/>
                <w:color w:val="000000"/>
                <w:sz w:val="16"/>
                <w:szCs w:val="16"/>
              </w:rPr>
            </w:pPr>
          </w:p>
        </w:tc>
        <w:tc>
          <w:tcPr>
            <w:tcW w:w="1161" w:type="dxa"/>
          </w:tcPr>
          <w:p w:rsidR="00334B17" w:rsidRPr="007335F2" w:rsidRDefault="00334B17">
            <w:pPr>
              <w:jc w:val="left"/>
              <w:rPr>
                <w:rFonts w:ascii="Calibri" w:eastAsia="Times New Roman" w:hAnsi="Calibri"/>
                <w:noProof/>
                <w:color w:val="000000"/>
                <w:sz w:val="16"/>
                <w:szCs w:val="16"/>
              </w:rPr>
            </w:pPr>
          </w:p>
        </w:tc>
        <w:tc>
          <w:tcPr>
            <w:tcW w:w="124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3 odst. 2 písm. f) (kterým se nahrazuje článek 3 směrnice Rady 92/106/EHS)]</w:t>
            </w:r>
          </w:p>
        </w:tc>
        <w:tc>
          <w:tcPr>
            <w:tcW w:w="1084" w:type="dxa"/>
          </w:tcPr>
          <w:p w:rsidR="00334B17" w:rsidRPr="007335F2" w:rsidRDefault="00334B17">
            <w:pPr>
              <w:jc w:val="left"/>
              <w:rPr>
                <w:rFonts w:ascii="Calibri" w:eastAsia="Times New Roman" w:hAnsi="Calibri"/>
                <w:noProof/>
                <w:color w:val="000000"/>
                <w:sz w:val="16"/>
                <w:szCs w:val="16"/>
              </w:rPr>
            </w:pPr>
          </w:p>
        </w:tc>
        <w:tc>
          <w:tcPr>
            <w:tcW w:w="1225" w:type="dxa"/>
          </w:tcPr>
          <w:p w:rsidR="00334B17" w:rsidRPr="007335F2" w:rsidRDefault="00334B17">
            <w:pPr>
              <w:jc w:val="left"/>
              <w:rPr>
                <w:rFonts w:ascii="Calibri" w:eastAsia="Times New Roman" w:hAnsi="Calibri"/>
                <w:noProof/>
                <w:color w:val="000000"/>
                <w:sz w:val="16"/>
                <w:szCs w:val="16"/>
              </w:rPr>
            </w:pPr>
          </w:p>
        </w:tc>
        <w:tc>
          <w:tcPr>
            <w:tcW w:w="1376" w:type="dxa"/>
          </w:tcPr>
          <w:p w:rsidR="00334B17" w:rsidRPr="007335F2" w:rsidRDefault="00334B17">
            <w:pPr>
              <w:jc w:val="left"/>
              <w:rPr>
                <w:rFonts w:ascii="Calibri" w:eastAsia="Times New Roman" w:hAnsi="Calibri"/>
                <w:noProof/>
                <w:color w:val="000000"/>
                <w:sz w:val="16"/>
                <w:szCs w:val="16"/>
              </w:rPr>
            </w:pPr>
          </w:p>
        </w:tc>
        <w:tc>
          <w:tcPr>
            <w:tcW w:w="1317" w:type="dxa"/>
          </w:tcPr>
          <w:p w:rsidR="00334B17" w:rsidRPr="007335F2" w:rsidRDefault="00334B17">
            <w:pPr>
              <w:jc w:val="left"/>
              <w:rPr>
                <w:rFonts w:ascii="Calibri" w:eastAsia="Times New Roman" w:hAnsi="Calibri"/>
                <w:noProof/>
                <w:color w:val="000000"/>
                <w:sz w:val="16"/>
                <w:szCs w:val="16"/>
              </w:rPr>
            </w:pP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1017"/>
        </w:trPr>
        <w:tc>
          <w:tcPr>
            <w:tcW w:w="5070" w:type="dxa"/>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lastRenderedPageBreak/>
              <w:t>[Identifikace přepravované intermodální nákladové jednotky]</w:t>
            </w:r>
          </w:p>
        </w:tc>
        <w:tc>
          <w:tcPr>
            <w:tcW w:w="1223"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3 odst. 2 písm. g) (kterým se nahrazuje článek 3 směrnice Rady 92/106/EHS)]</w:t>
            </w:r>
          </w:p>
        </w:tc>
        <w:tc>
          <w:tcPr>
            <w:tcW w:w="1084" w:type="dxa"/>
          </w:tcPr>
          <w:p w:rsidR="00334B17" w:rsidRPr="007335F2" w:rsidRDefault="00334B17">
            <w:pPr>
              <w:jc w:val="left"/>
              <w:rPr>
                <w:rFonts w:ascii="Calibri" w:eastAsia="Times New Roman" w:hAnsi="Calibri"/>
                <w:noProof/>
                <w:color w:val="000000"/>
                <w:sz w:val="16"/>
                <w:szCs w:val="16"/>
              </w:rPr>
            </w:pPr>
          </w:p>
        </w:tc>
        <w:tc>
          <w:tcPr>
            <w:tcW w:w="1225" w:type="dxa"/>
          </w:tcPr>
          <w:p w:rsidR="00334B17" w:rsidRPr="007335F2" w:rsidRDefault="00334B17">
            <w:pPr>
              <w:jc w:val="left"/>
              <w:rPr>
                <w:rFonts w:ascii="Calibri" w:eastAsia="Times New Roman" w:hAnsi="Calibri"/>
                <w:noProof/>
                <w:color w:val="000000"/>
                <w:sz w:val="16"/>
                <w:szCs w:val="16"/>
              </w:rPr>
            </w:pPr>
          </w:p>
        </w:tc>
        <w:tc>
          <w:tcPr>
            <w:tcW w:w="1376" w:type="dxa"/>
          </w:tcPr>
          <w:p w:rsidR="00334B17" w:rsidRPr="007335F2" w:rsidRDefault="00334B17">
            <w:pPr>
              <w:jc w:val="left"/>
              <w:rPr>
                <w:rFonts w:ascii="Calibri" w:eastAsia="Times New Roman" w:hAnsi="Calibri"/>
                <w:noProof/>
                <w:color w:val="000000"/>
                <w:sz w:val="16"/>
                <w:szCs w:val="16"/>
              </w:rPr>
            </w:pPr>
          </w:p>
        </w:tc>
        <w:tc>
          <w:tcPr>
            <w:tcW w:w="1317" w:type="dxa"/>
          </w:tcPr>
          <w:p w:rsidR="00334B17" w:rsidRPr="007335F2" w:rsidRDefault="00334B17">
            <w:pPr>
              <w:jc w:val="left"/>
              <w:rPr>
                <w:rFonts w:ascii="Calibri" w:eastAsia="Times New Roman" w:hAnsi="Calibri"/>
                <w:noProof/>
                <w:color w:val="000000"/>
                <w:sz w:val="16"/>
                <w:szCs w:val="16"/>
              </w:rPr>
            </w:pP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1365"/>
        </w:trPr>
        <w:tc>
          <w:tcPr>
            <w:tcW w:w="5070" w:type="dxa"/>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 xml:space="preserve">[Pro výchozí úsek silniční dopravy: </w:t>
            </w:r>
            <w:r w:rsidRPr="007335F2">
              <w:rPr>
                <w:rFonts w:ascii="Calibri" w:eastAsia="Times New Roman" w:hAnsi="Calibri"/>
                <w:b/>
                <w:bCs/>
                <w:noProof/>
                <w:color w:val="000000"/>
                <w:sz w:val="16"/>
                <w:szCs w:val="16"/>
              </w:rPr>
              <w:br/>
            </w:r>
            <w:r w:rsidRPr="007335F2">
              <w:rPr>
                <w:rFonts w:ascii="Calibri" w:hAnsi="Calibri"/>
                <w:b/>
                <w:noProof/>
                <w:color w:val="000000"/>
                <w:sz w:val="16"/>
              </w:rPr>
              <w:t xml:space="preserve">i) místo překládky na nesilniční úsek; </w:t>
            </w:r>
            <w:r w:rsidRPr="007335F2">
              <w:rPr>
                <w:rFonts w:ascii="Calibri" w:eastAsia="Times New Roman" w:hAnsi="Calibri"/>
                <w:b/>
                <w:bCs/>
                <w:noProof/>
                <w:color w:val="000000"/>
                <w:sz w:val="16"/>
                <w:szCs w:val="16"/>
              </w:rPr>
              <w:br/>
            </w:r>
            <w:r w:rsidRPr="007335F2">
              <w:rPr>
                <w:rFonts w:ascii="Calibri" w:hAnsi="Calibri"/>
                <w:b/>
                <w:noProof/>
                <w:color w:val="000000"/>
                <w:sz w:val="16"/>
              </w:rPr>
              <w:t xml:space="preserve">ii) vzdálenost výchozího úseku silniční dopravy vzdušnou čarou mezi místem nakládky a prvním překládkovým terminálem; </w:t>
            </w:r>
            <w:r w:rsidRPr="007335F2">
              <w:rPr>
                <w:rFonts w:ascii="Calibri" w:eastAsia="Times New Roman" w:hAnsi="Calibri"/>
                <w:b/>
                <w:bCs/>
                <w:noProof/>
                <w:color w:val="000000"/>
                <w:sz w:val="16"/>
                <w:szCs w:val="16"/>
              </w:rPr>
              <w:br/>
            </w:r>
            <w:r w:rsidRPr="007335F2">
              <w:rPr>
                <w:rFonts w:ascii="Calibri" w:hAnsi="Calibri"/>
                <w:b/>
                <w:noProof/>
                <w:color w:val="000000"/>
                <w:sz w:val="16"/>
              </w:rPr>
              <w:t>iii) je-li výchozí silniční úsek dokončen, podpis přepravce potvrzující, že přepravní operace silničního úseku byla provedena]</w:t>
            </w:r>
          </w:p>
        </w:tc>
        <w:tc>
          <w:tcPr>
            <w:tcW w:w="1223"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3 odst. 2 písm. h) (kterým se nahrazuje článek 3 směrnice Rady 92/106/EHS)]</w:t>
            </w:r>
          </w:p>
        </w:tc>
        <w:tc>
          <w:tcPr>
            <w:tcW w:w="1084" w:type="dxa"/>
          </w:tcPr>
          <w:p w:rsidR="00334B17" w:rsidRPr="007335F2" w:rsidRDefault="00334B17">
            <w:pPr>
              <w:jc w:val="left"/>
              <w:rPr>
                <w:rFonts w:ascii="Calibri" w:eastAsia="Times New Roman" w:hAnsi="Calibri"/>
                <w:noProof/>
                <w:color w:val="000000"/>
                <w:sz w:val="16"/>
                <w:szCs w:val="16"/>
              </w:rPr>
            </w:pPr>
          </w:p>
        </w:tc>
        <w:tc>
          <w:tcPr>
            <w:tcW w:w="1225" w:type="dxa"/>
          </w:tcPr>
          <w:p w:rsidR="00334B17" w:rsidRPr="007335F2" w:rsidRDefault="00334B17">
            <w:pPr>
              <w:jc w:val="left"/>
              <w:rPr>
                <w:rFonts w:ascii="Calibri" w:eastAsia="Times New Roman" w:hAnsi="Calibri"/>
                <w:noProof/>
                <w:color w:val="000000"/>
                <w:sz w:val="16"/>
                <w:szCs w:val="16"/>
              </w:rPr>
            </w:pPr>
          </w:p>
        </w:tc>
        <w:tc>
          <w:tcPr>
            <w:tcW w:w="1376" w:type="dxa"/>
          </w:tcPr>
          <w:p w:rsidR="00334B17" w:rsidRPr="007335F2" w:rsidRDefault="00334B17">
            <w:pPr>
              <w:jc w:val="left"/>
              <w:rPr>
                <w:rFonts w:ascii="Calibri" w:eastAsia="Times New Roman" w:hAnsi="Calibri"/>
                <w:noProof/>
                <w:color w:val="000000"/>
                <w:sz w:val="16"/>
                <w:szCs w:val="16"/>
              </w:rPr>
            </w:pPr>
          </w:p>
        </w:tc>
        <w:tc>
          <w:tcPr>
            <w:tcW w:w="1317" w:type="dxa"/>
          </w:tcPr>
          <w:p w:rsidR="00334B17" w:rsidRPr="007335F2" w:rsidRDefault="00334B17">
            <w:pPr>
              <w:jc w:val="left"/>
              <w:rPr>
                <w:rFonts w:ascii="Calibri" w:eastAsia="Times New Roman" w:hAnsi="Calibri"/>
                <w:noProof/>
                <w:color w:val="000000"/>
                <w:sz w:val="16"/>
                <w:szCs w:val="16"/>
              </w:rPr>
            </w:pP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1222"/>
        </w:trPr>
        <w:tc>
          <w:tcPr>
            <w:tcW w:w="5070" w:type="dxa"/>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 xml:space="preserve">[Pro konečný úsek silniční dopravy: </w:t>
            </w:r>
            <w:r w:rsidRPr="007335F2">
              <w:rPr>
                <w:rFonts w:ascii="Calibri" w:eastAsia="Times New Roman" w:hAnsi="Calibri"/>
                <w:b/>
                <w:bCs/>
                <w:noProof/>
                <w:color w:val="000000"/>
                <w:sz w:val="16"/>
                <w:szCs w:val="16"/>
              </w:rPr>
              <w:br/>
            </w:r>
            <w:r w:rsidRPr="007335F2">
              <w:rPr>
                <w:rFonts w:ascii="Calibri" w:hAnsi="Calibri"/>
                <w:b/>
                <w:noProof/>
                <w:color w:val="000000"/>
                <w:sz w:val="16"/>
              </w:rPr>
              <w:t xml:space="preserve">i) místo, kde je zboží převzato z nesilničního úseku (železnice, vnitrozemské vodní cesty nebo námořní doprava); </w:t>
            </w:r>
            <w:r w:rsidRPr="007335F2">
              <w:rPr>
                <w:rFonts w:ascii="Calibri" w:eastAsia="Times New Roman" w:hAnsi="Calibri"/>
                <w:b/>
                <w:bCs/>
                <w:noProof/>
                <w:color w:val="000000"/>
                <w:sz w:val="16"/>
                <w:szCs w:val="16"/>
              </w:rPr>
              <w:br/>
            </w:r>
            <w:r w:rsidRPr="007335F2">
              <w:rPr>
                <w:rFonts w:ascii="Calibri" w:hAnsi="Calibri"/>
                <w:b/>
                <w:noProof/>
                <w:color w:val="000000"/>
                <w:sz w:val="16"/>
              </w:rPr>
              <w:t>ii) vzdálenost konečného úseku silniční dopravy vzdušnou čarou mezi místem překládky a místem, kde kombinovaná přepravní operace v Unii končí)]</w:t>
            </w:r>
          </w:p>
        </w:tc>
        <w:tc>
          <w:tcPr>
            <w:tcW w:w="1223"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3 odst. 2 písm. i) (kterým se nahrazuje článek 3 směrnice Rady 92/106/EHS)]</w:t>
            </w:r>
          </w:p>
        </w:tc>
        <w:tc>
          <w:tcPr>
            <w:tcW w:w="1084" w:type="dxa"/>
          </w:tcPr>
          <w:p w:rsidR="00334B17" w:rsidRPr="007335F2" w:rsidRDefault="00334B17">
            <w:pPr>
              <w:jc w:val="left"/>
              <w:rPr>
                <w:rFonts w:ascii="Calibri" w:eastAsia="Times New Roman" w:hAnsi="Calibri"/>
                <w:noProof/>
                <w:color w:val="000000"/>
                <w:sz w:val="16"/>
                <w:szCs w:val="16"/>
              </w:rPr>
            </w:pPr>
          </w:p>
        </w:tc>
        <w:tc>
          <w:tcPr>
            <w:tcW w:w="1225" w:type="dxa"/>
          </w:tcPr>
          <w:p w:rsidR="00334B17" w:rsidRPr="007335F2" w:rsidRDefault="00334B17">
            <w:pPr>
              <w:jc w:val="left"/>
              <w:rPr>
                <w:rFonts w:ascii="Calibri" w:eastAsia="Times New Roman" w:hAnsi="Calibri"/>
                <w:noProof/>
                <w:color w:val="000000"/>
                <w:sz w:val="16"/>
                <w:szCs w:val="16"/>
              </w:rPr>
            </w:pPr>
          </w:p>
        </w:tc>
        <w:tc>
          <w:tcPr>
            <w:tcW w:w="1376" w:type="dxa"/>
          </w:tcPr>
          <w:p w:rsidR="00334B17" w:rsidRPr="007335F2" w:rsidRDefault="00334B17">
            <w:pPr>
              <w:jc w:val="left"/>
              <w:rPr>
                <w:rFonts w:ascii="Calibri" w:eastAsia="Times New Roman" w:hAnsi="Calibri"/>
                <w:noProof/>
                <w:color w:val="000000"/>
                <w:sz w:val="16"/>
                <w:szCs w:val="16"/>
              </w:rPr>
            </w:pPr>
          </w:p>
        </w:tc>
        <w:tc>
          <w:tcPr>
            <w:tcW w:w="1317" w:type="dxa"/>
          </w:tcPr>
          <w:p w:rsidR="00334B17" w:rsidRPr="007335F2" w:rsidRDefault="00334B17">
            <w:pPr>
              <w:jc w:val="left"/>
              <w:rPr>
                <w:rFonts w:ascii="Calibri" w:eastAsia="Times New Roman" w:hAnsi="Calibri"/>
                <w:noProof/>
                <w:color w:val="000000"/>
                <w:sz w:val="16"/>
                <w:szCs w:val="16"/>
              </w:rPr>
            </w:pP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1440"/>
        </w:trPr>
        <w:tc>
          <w:tcPr>
            <w:tcW w:w="5070" w:type="dxa"/>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[Pro nesilniční úsek:</w:t>
            </w:r>
            <w:r w:rsidRPr="007335F2">
              <w:rPr>
                <w:rFonts w:ascii="Calibri" w:eastAsia="Times New Roman" w:hAnsi="Calibri"/>
                <w:b/>
                <w:bCs/>
                <w:noProof/>
                <w:color w:val="000000"/>
                <w:sz w:val="16"/>
                <w:szCs w:val="16"/>
              </w:rPr>
              <w:br/>
            </w:r>
            <w:r w:rsidRPr="007335F2">
              <w:rPr>
                <w:rFonts w:ascii="Calibri" w:hAnsi="Calibri"/>
                <w:b/>
                <w:noProof/>
                <w:color w:val="000000"/>
                <w:sz w:val="16"/>
              </w:rPr>
              <w:t>i) je-li nesilniční úsek dokončen, podpis přepravce (nebo přepravců v případě dvou či více nesilničních operací na nesilničním úseku) potvrzující, že přepravní operace na nesilničním úseku byla provedena;</w:t>
            </w:r>
            <w:r w:rsidRPr="007335F2">
              <w:rPr>
                <w:rFonts w:ascii="Calibri" w:eastAsia="Times New Roman" w:hAnsi="Calibri"/>
                <w:b/>
                <w:bCs/>
                <w:noProof/>
                <w:color w:val="000000"/>
                <w:sz w:val="16"/>
                <w:szCs w:val="16"/>
              </w:rPr>
              <w:br/>
            </w:r>
            <w:r w:rsidRPr="007335F2">
              <w:rPr>
                <w:rFonts w:ascii="Calibri" w:hAnsi="Calibri"/>
                <w:b/>
                <w:noProof/>
                <w:color w:val="000000"/>
                <w:sz w:val="16"/>
              </w:rPr>
              <w:t>ii) jsou-li dostupné, podpis nebo pečeť příslušných železničních nebo přístavních orgánů v příslušných dotčených terminálech (železniční stanice nebo přístav) podél operace nesilničního úseku potvrzující, že příslušná část nesilničního úseku byla dokončena]</w:t>
            </w:r>
          </w:p>
        </w:tc>
        <w:tc>
          <w:tcPr>
            <w:tcW w:w="1223"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3 odst. 2 písm. j) (kterým se nahrazuje článek 3 směrnice Rady 92/106/EHS)]</w:t>
            </w:r>
          </w:p>
        </w:tc>
        <w:tc>
          <w:tcPr>
            <w:tcW w:w="1084" w:type="dxa"/>
          </w:tcPr>
          <w:p w:rsidR="00334B17" w:rsidRPr="007335F2" w:rsidRDefault="00334B17">
            <w:pPr>
              <w:jc w:val="left"/>
              <w:rPr>
                <w:rFonts w:ascii="Calibri" w:eastAsia="Times New Roman" w:hAnsi="Calibri"/>
                <w:b/>
                <w:bCs/>
                <w:noProof/>
                <w:color w:val="000000"/>
                <w:sz w:val="16"/>
                <w:szCs w:val="16"/>
              </w:rPr>
            </w:pPr>
          </w:p>
        </w:tc>
        <w:tc>
          <w:tcPr>
            <w:tcW w:w="1225" w:type="dxa"/>
          </w:tcPr>
          <w:p w:rsidR="00334B17" w:rsidRPr="007335F2" w:rsidRDefault="00334B17">
            <w:pPr>
              <w:jc w:val="left"/>
              <w:rPr>
                <w:rFonts w:ascii="Calibri" w:eastAsia="Times New Roman" w:hAnsi="Calibri"/>
                <w:b/>
                <w:bCs/>
                <w:noProof/>
                <w:color w:val="000000"/>
                <w:sz w:val="16"/>
                <w:szCs w:val="16"/>
              </w:rPr>
            </w:pPr>
          </w:p>
        </w:tc>
        <w:tc>
          <w:tcPr>
            <w:tcW w:w="1376" w:type="dxa"/>
          </w:tcPr>
          <w:p w:rsidR="00334B17" w:rsidRPr="007335F2" w:rsidRDefault="00334B17">
            <w:pPr>
              <w:jc w:val="left"/>
              <w:rPr>
                <w:rFonts w:ascii="Calibri" w:eastAsia="Times New Roman" w:hAnsi="Calibri"/>
                <w:noProof/>
                <w:color w:val="000000"/>
                <w:sz w:val="16"/>
                <w:szCs w:val="16"/>
              </w:rPr>
            </w:pPr>
          </w:p>
        </w:tc>
        <w:tc>
          <w:tcPr>
            <w:tcW w:w="1317" w:type="dxa"/>
          </w:tcPr>
          <w:p w:rsidR="00334B17" w:rsidRPr="007335F2" w:rsidRDefault="00334B17">
            <w:pPr>
              <w:jc w:val="left"/>
              <w:rPr>
                <w:rFonts w:ascii="Calibri" w:eastAsia="Times New Roman" w:hAnsi="Calibri"/>
                <w:noProof/>
                <w:color w:val="000000"/>
                <w:sz w:val="16"/>
                <w:szCs w:val="16"/>
              </w:rPr>
            </w:pP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668"/>
        </w:trPr>
        <w:tc>
          <w:tcPr>
            <w:tcW w:w="5070" w:type="dxa"/>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 xml:space="preserve">Jméno, adresa a podpis odesílatele </w:t>
            </w:r>
          </w:p>
        </w:tc>
        <w:tc>
          <w:tcPr>
            <w:tcW w:w="1223"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8 odst. 3 písm. a)</w:t>
            </w:r>
          </w:p>
        </w:tc>
        <w:tc>
          <w:tcPr>
            <w:tcW w:w="1225"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8 odst. 3 písm. a) (nejsou navrhovány žádné změny)]</w:t>
            </w:r>
          </w:p>
        </w:tc>
        <w:tc>
          <w:tcPr>
            <w:tcW w:w="1376"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17"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706"/>
        </w:trPr>
        <w:tc>
          <w:tcPr>
            <w:tcW w:w="5070" w:type="dxa"/>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Jméno, adresa a podpis podnikatele v silniční nákladní dopravě</w:t>
            </w:r>
          </w:p>
        </w:tc>
        <w:tc>
          <w:tcPr>
            <w:tcW w:w="1223"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8 odst. 3 písm. b)</w:t>
            </w:r>
          </w:p>
        </w:tc>
        <w:tc>
          <w:tcPr>
            <w:tcW w:w="1225"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8 odst. 3 písm. b) (nejsou navrhovány žádné změny)]</w:t>
            </w:r>
          </w:p>
        </w:tc>
        <w:tc>
          <w:tcPr>
            <w:tcW w:w="1376"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17"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701"/>
        </w:trPr>
        <w:tc>
          <w:tcPr>
            <w:tcW w:w="5070" w:type="dxa"/>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lastRenderedPageBreak/>
              <w:t>Jméno a adresa příjemce; po dodání nákladu i jeho podpis a datum dodání</w:t>
            </w:r>
          </w:p>
        </w:tc>
        <w:tc>
          <w:tcPr>
            <w:tcW w:w="1223"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8 odst. 3 písm. c)</w:t>
            </w:r>
          </w:p>
        </w:tc>
        <w:tc>
          <w:tcPr>
            <w:tcW w:w="1225"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8 odst. 3 písm. c) (nejsou navrhovány žádné změny)]</w:t>
            </w:r>
          </w:p>
        </w:tc>
        <w:tc>
          <w:tcPr>
            <w:tcW w:w="1376" w:type="dxa"/>
          </w:tcPr>
          <w:p w:rsidR="00334B17" w:rsidRPr="007335F2" w:rsidRDefault="00334B17">
            <w:pPr>
              <w:jc w:val="left"/>
              <w:rPr>
                <w:rFonts w:ascii="Calibri" w:eastAsia="Times New Roman" w:hAnsi="Calibri"/>
                <w:noProof/>
                <w:color w:val="000000"/>
                <w:sz w:val="16"/>
                <w:szCs w:val="16"/>
              </w:rPr>
            </w:pPr>
          </w:p>
        </w:tc>
        <w:tc>
          <w:tcPr>
            <w:tcW w:w="1317" w:type="dxa"/>
          </w:tcPr>
          <w:p w:rsidR="00334B17" w:rsidRPr="007335F2" w:rsidRDefault="00334B17">
            <w:pPr>
              <w:jc w:val="left"/>
              <w:rPr>
                <w:rFonts w:ascii="Calibri" w:eastAsia="Times New Roman" w:hAnsi="Calibri"/>
                <w:noProof/>
                <w:color w:val="000000"/>
                <w:sz w:val="16"/>
                <w:szCs w:val="16"/>
              </w:rPr>
            </w:pP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697"/>
        </w:trPr>
        <w:tc>
          <w:tcPr>
            <w:tcW w:w="5070" w:type="dxa"/>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Místo a datum přejímky nákladu a místo určené pro dodání</w:t>
            </w:r>
          </w:p>
        </w:tc>
        <w:tc>
          <w:tcPr>
            <w:tcW w:w="1223"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8 odst. 3 písm. d)</w:t>
            </w:r>
          </w:p>
        </w:tc>
        <w:tc>
          <w:tcPr>
            <w:tcW w:w="1225"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8 odst. 3 písm. d) (nejsou navrhovány žádné změny)]</w:t>
            </w:r>
          </w:p>
        </w:tc>
        <w:tc>
          <w:tcPr>
            <w:tcW w:w="1376" w:type="dxa"/>
          </w:tcPr>
          <w:p w:rsidR="00334B17" w:rsidRPr="007335F2" w:rsidRDefault="00334B17">
            <w:pPr>
              <w:jc w:val="left"/>
              <w:rPr>
                <w:rFonts w:ascii="Calibri" w:eastAsia="Times New Roman" w:hAnsi="Calibri"/>
                <w:noProof/>
                <w:color w:val="000000"/>
                <w:sz w:val="16"/>
                <w:szCs w:val="16"/>
              </w:rPr>
            </w:pPr>
          </w:p>
        </w:tc>
        <w:tc>
          <w:tcPr>
            <w:tcW w:w="1317" w:type="dxa"/>
          </w:tcPr>
          <w:p w:rsidR="00334B17" w:rsidRPr="007335F2" w:rsidRDefault="00334B17">
            <w:pPr>
              <w:jc w:val="left"/>
              <w:rPr>
                <w:rFonts w:ascii="Calibri" w:eastAsia="Times New Roman" w:hAnsi="Calibri"/>
                <w:noProof/>
                <w:color w:val="000000"/>
                <w:sz w:val="16"/>
                <w:szCs w:val="16"/>
              </w:rPr>
            </w:pP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883"/>
        </w:trPr>
        <w:tc>
          <w:tcPr>
            <w:tcW w:w="5070" w:type="dxa"/>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Běžný popis nákladu a způsobu balení, v případě nebezpečných věcí pak jejich všeobecně známý popis, jakož i počet balení a jejich zvláštní označení a čísla</w:t>
            </w:r>
          </w:p>
        </w:tc>
        <w:tc>
          <w:tcPr>
            <w:tcW w:w="1223"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8 odst. 3 písm. e)</w:t>
            </w:r>
          </w:p>
        </w:tc>
        <w:tc>
          <w:tcPr>
            <w:tcW w:w="1225"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8 odst. 3 písm. e) (nejsou navrhovány žádné změny)]</w:t>
            </w:r>
          </w:p>
        </w:tc>
        <w:tc>
          <w:tcPr>
            <w:tcW w:w="1376"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17" w:type="dxa"/>
          </w:tcPr>
          <w:p w:rsidR="00334B17" w:rsidRPr="007335F2" w:rsidRDefault="00334B17">
            <w:pPr>
              <w:jc w:val="left"/>
              <w:rPr>
                <w:rFonts w:ascii="Calibri" w:eastAsia="Times New Roman" w:hAnsi="Calibri"/>
                <w:noProof/>
                <w:color w:val="000000"/>
                <w:sz w:val="16"/>
                <w:szCs w:val="16"/>
              </w:rPr>
            </w:pP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663"/>
        </w:trPr>
        <w:tc>
          <w:tcPr>
            <w:tcW w:w="5070" w:type="dxa"/>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Hrubá hmotnost nákladu nebo jiné vyjádření jeho množství</w:t>
            </w:r>
          </w:p>
        </w:tc>
        <w:tc>
          <w:tcPr>
            <w:tcW w:w="1223"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8 odst. 3 písm. f)</w:t>
            </w:r>
          </w:p>
        </w:tc>
        <w:tc>
          <w:tcPr>
            <w:tcW w:w="1225"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8 odst. 3 písm. f) (nejsou navrhovány žádné změny)]</w:t>
            </w:r>
          </w:p>
        </w:tc>
        <w:tc>
          <w:tcPr>
            <w:tcW w:w="1376"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17" w:type="dxa"/>
          </w:tcPr>
          <w:p w:rsidR="00334B17" w:rsidRPr="007335F2" w:rsidRDefault="00334B17">
            <w:pPr>
              <w:jc w:val="left"/>
              <w:rPr>
                <w:rFonts w:ascii="Calibri" w:eastAsia="Times New Roman" w:hAnsi="Calibri"/>
                <w:noProof/>
                <w:color w:val="000000"/>
                <w:sz w:val="16"/>
                <w:szCs w:val="16"/>
              </w:rPr>
            </w:pP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687"/>
        </w:trPr>
        <w:tc>
          <w:tcPr>
            <w:tcW w:w="5070" w:type="dxa"/>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Registrační značka motorového vozidla a návěsu</w:t>
            </w:r>
          </w:p>
        </w:tc>
        <w:tc>
          <w:tcPr>
            <w:tcW w:w="1223"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8 odst. 3 písm. g)</w:t>
            </w:r>
          </w:p>
        </w:tc>
        <w:tc>
          <w:tcPr>
            <w:tcW w:w="1225"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[čl. 8 odst. 3 písm. g) (nejsou navrhovány žádné změny)]</w:t>
            </w:r>
          </w:p>
        </w:tc>
        <w:tc>
          <w:tcPr>
            <w:tcW w:w="1376"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17" w:type="dxa"/>
          </w:tcPr>
          <w:p w:rsidR="00334B17" w:rsidRPr="007335F2" w:rsidRDefault="00334B17">
            <w:pPr>
              <w:jc w:val="left"/>
              <w:rPr>
                <w:rFonts w:ascii="Calibri" w:eastAsia="Times New Roman" w:hAnsi="Calibri"/>
                <w:noProof/>
                <w:color w:val="000000"/>
                <w:sz w:val="16"/>
                <w:szCs w:val="16"/>
              </w:rPr>
            </w:pP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687"/>
        </w:trPr>
        <w:tc>
          <w:tcPr>
            <w:tcW w:w="5070" w:type="dxa"/>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Jedinečný alfanumerický identifikátor schváleného agenta přidělený příslušným orgánem</w:t>
            </w:r>
          </w:p>
        </w:tc>
        <w:tc>
          <w:tcPr>
            <w:tcW w:w="1223"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25"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76"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příloha 6.3.2.6 písm. a)</w:t>
            </w:r>
          </w:p>
        </w:tc>
        <w:tc>
          <w:tcPr>
            <w:tcW w:w="1317" w:type="dxa"/>
          </w:tcPr>
          <w:p w:rsidR="00334B17" w:rsidRPr="007335F2" w:rsidRDefault="00334B17">
            <w:pPr>
              <w:jc w:val="left"/>
              <w:rPr>
                <w:rFonts w:ascii="Calibri" w:eastAsia="Times New Roman" w:hAnsi="Calibri"/>
                <w:noProof/>
                <w:color w:val="000000"/>
                <w:sz w:val="16"/>
                <w:szCs w:val="16"/>
              </w:rPr>
            </w:pP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458"/>
        </w:trPr>
        <w:tc>
          <w:tcPr>
            <w:tcW w:w="5070" w:type="dxa"/>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Jedinečný identifikátor zásilky, například číslo leteckého nákladního listu vydaného tranzitním dopravcem nebo leteckého manifestu</w:t>
            </w:r>
          </w:p>
        </w:tc>
        <w:tc>
          <w:tcPr>
            <w:tcW w:w="1223"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25"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76"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příloha 6.3.2.6 písm. b)</w:t>
            </w:r>
          </w:p>
        </w:tc>
        <w:tc>
          <w:tcPr>
            <w:tcW w:w="1317" w:type="dxa"/>
          </w:tcPr>
          <w:p w:rsidR="00334B17" w:rsidRPr="007335F2" w:rsidRDefault="00334B17">
            <w:pPr>
              <w:jc w:val="left"/>
              <w:rPr>
                <w:rFonts w:ascii="Calibri" w:eastAsia="Times New Roman" w:hAnsi="Calibri"/>
                <w:b/>
                <w:bCs/>
                <w:noProof/>
                <w:color w:val="000000"/>
                <w:sz w:val="16"/>
                <w:szCs w:val="16"/>
              </w:rPr>
            </w:pPr>
          </w:p>
        </w:tc>
        <w:tc>
          <w:tcPr>
            <w:tcW w:w="1289" w:type="dxa"/>
          </w:tcPr>
          <w:p w:rsidR="00334B17" w:rsidRPr="007335F2" w:rsidRDefault="00334B17">
            <w:pPr>
              <w:jc w:val="left"/>
              <w:rPr>
                <w:rFonts w:ascii="Calibri" w:eastAsia="Times New Roman" w:hAnsi="Calibri"/>
                <w:b/>
                <w:bCs/>
                <w:noProof/>
                <w:color w:val="000000"/>
                <w:sz w:val="16"/>
                <w:szCs w:val="16"/>
              </w:rPr>
            </w:pPr>
          </w:p>
        </w:tc>
      </w:tr>
      <w:tr w:rsidR="00334B17" w:rsidRPr="007335F2">
        <w:trPr>
          <w:trHeight w:val="280"/>
        </w:trPr>
        <w:tc>
          <w:tcPr>
            <w:tcW w:w="5070" w:type="dxa"/>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 xml:space="preserve">Obsah zásilky (**) </w:t>
            </w:r>
          </w:p>
        </w:tc>
        <w:tc>
          <w:tcPr>
            <w:tcW w:w="1223"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25"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76"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příloha 6.3.2.6 písm. c)</w:t>
            </w:r>
          </w:p>
        </w:tc>
        <w:tc>
          <w:tcPr>
            <w:tcW w:w="1317" w:type="dxa"/>
          </w:tcPr>
          <w:p w:rsidR="00334B17" w:rsidRPr="007335F2" w:rsidRDefault="00334B17">
            <w:pPr>
              <w:jc w:val="left"/>
              <w:rPr>
                <w:rFonts w:ascii="Calibri" w:eastAsia="Times New Roman" w:hAnsi="Calibri"/>
                <w:b/>
                <w:bCs/>
                <w:noProof/>
                <w:color w:val="000000"/>
                <w:sz w:val="16"/>
                <w:szCs w:val="16"/>
              </w:rPr>
            </w:pPr>
          </w:p>
        </w:tc>
        <w:tc>
          <w:tcPr>
            <w:tcW w:w="1289" w:type="dxa"/>
          </w:tcPr>
          <w:p w:rsidR="00334B17" w:rsidRPr="007335F2" w:rsidRDefault="00334B17">
            <w:pPr>
              <w:jc w:val="left"/>
              <w:rPr>
                <w:rFonts w:ascii="Calibri" w:eastAsia="Times New Roman" w:hAnsi="Calibri"/>
                <w:b/>
                <w:bCs/>
                <w:noProof/>
                <w:color w:val="000000"/>
                <w:sz w:val="16"/>
                <w:szCs w:val="16"/>
              </w:rPr>
            </w:pPr>
          </w:p>
        </w:tc>
      </w:tr>
      <w:tr w:rsidR="00334B17" w:rsidRPr="007335F2">
        <w:trPr>
          <w:trHeight w:val="280"/>
        </w:trPr>
        <w:tc>
          <w:tcPr>
            <w:tcW w:w="5070" w:type="dxa"/>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 xml:space="preserve">Bezpečnostní status zásilky s údajem: </w:t>
            </w:r>
            <w:r w:rsidRPr="007335F2">
              <w:rPr>
                <w:rFonts w:ascii="Calibri" w:eastAsia="Times New Roman" w:hAnsi="Calibri"/>
                <w:b/>
                <w:bCs/>
                <w:noProof/>
                <w:color w:val="000000"/>
                <w:sz w:val="16"/>
                <w:szCs w:val="16"/>
              </w:rPr>
              <w:br/>
            </w:r>
            <w:r w:rsidRPr="007335F2">
              <w:rPr>
                <w:rFonts w:ascii="Calibri" w:hAnsi="Calibri"/>
                <w:b/>
                <w:noProof/>
                <w:color w:val="000000"/>
                <w:sz w:val="16"/>
              </w:rPr>
              <w:t>– „SPX“ označujícím bezpečnou zásilku pro letadla pro přepravu cestujících, letadla určená pouze pro přepravu nákladu a letadla určená pouze pro přepravu pošty, nebo</w:t>
            </w:r>
            <w:r w:rsidRPr="007335F2">
              <w:rPr>
                <w:rFonts w:ascii="Calibri" w:eastAsia="Times New Roman" w:hAnsi="Calibri"/>
                <w:b/>
                <w:bCs/>
                <w:noProof/>
                <w:color w:val="000000"/>
                <w:sz w:val="16"/>
                <w:szCs w:val="16"/>
              </w:rPr>
              <w:br/>
            </w:r>
            <w:r w:rsidRPr="007335F2">
              <w:rPr>
                <w:rFonts w:ascii="Calibri" w:hAnsi="Calibri"/>
                <w:b/>
                <w:noProof/>
                <w:color w:val="000000"/>
                <w:sz w:val="16"/>
              </w:rPr>
              <w:t>– „SCO“ označujícím bezpečnou zásilku jen pro letadla určená pouze pro přepravu nákladu a letadla určená pouze pro přepravu pošty, nebo</w:t>
            </w:r>
            <w:r w:rsidRPr="007335F2">
              <w:rPr>
                <w:rFonts w:ascii="Calibri" w:eastAsia="Times New Roman" w:hAnsi="Calibri"/>
                <w:b/>
                <w:bCs/>
                <w:noProof/>
                <w:color w:val="000000"/>
                <w:sz w:val="16"/>
                <w:szCs w:val="16"/>
              </w:rPr>
              <w:br/>
            </w:r>
            <w:r w:rsidRPr="007335F2">
              <w:rPr>
                <w:rFonts w:ascii="Calibri" w:hAnsi="Calibri"/>
                <w:b/>
                <w:noProof/>
                <w:color w:val="000000"/>
                <w:sz w:val="16"/>
              </w:rPr>
              <w:t xml:space="preserve">– „SHR“ označujícím bezpečnou zásilku pro letadla pro přepravu </w:t>
            </w:r>
            <w:r w:rsidRPr="007335F2">
              <w:rPr>
                <w:rFonts w:ascii="Calibri" w:hAnsi="Calibri"/>
                <w:b/>
                <w:noProof/>
                <w:color w:val="000000"/>
                <w:sz w:val="16"/>
              </w:rPr>
              <w:lastRenderedPageBreak/>
              <w:t>cestujících, letadla určená pouze pro přepravu nákladu a letadla určená pouze pro přepravu pošty v souladu s požadavky pro vysoké riziko</w:t>
            </w:r>
          </w:p>
        </w:tc>
        <w:tc>
          <w:tcPr>
            <w:tcW w:w="1223"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lastRenderedPageBreak/>
              <w:t> </w:t>
            </w:r>
          </w:p>
        </w:tc>
        <w:tc>
          <w:tcPr>
            <w:tcW w:w="1161"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25"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76"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příloha 6.3.2.6 písm. d)</w:t>
            </w:r>
          </w:p>
        </w:tc>
        <w:tc>
          <w:tcPr>
            <w:tcW w:w="1317" w:type="dxa"/>
          </w:tcPr>
          <w:p w:rsidR="00334B17" w:rsidRPr="007335F2" w:rsidRDefault="00334B17">
            <w:pPr>
              <w:jc w:val="left"/>
              <w:rPr>
                <w:rFonts w:ascii="Calibri" w:eastAsia="Times New Roman" w:hAnsi="Calibri"/>
                <w:b/>
                <w:bCs/>
                <w:noProof/>
                <w:color w:val="000000"/>
                <w:sz w:val="16"/>
                <w:szCs w:val="16"/>
              </w:rPr>
            </w:pPr>
          </w:p>
        </w:tc>
        <w:tc>
          <w:tcPr>
            <w:tcW w:w="1289" w:type="dxa"/>
          </w:tcPr>
          <w:p w:rsidR="00334B17" w:rsidRPr="007335F2" w:rsidRDefault="00334B17">
            <w:pPr>
              <w:jc w:val="left"/>
              <w:rPr>
                <w:rFonts w:ascii="Calibri" w:eastAsia="Times New Roman" w:hAnsi="Calibri"/>
                <w:b/>
                <w:bCs/>
                <w:noProof/>
                <w:color w:val="000000"/>
                <w:sz w:val="16"/>
                <w:szCs w:val="16"/>
              </w:rPr>
            </w:pPr>
          </w:p>
        </w:tc>
      </w:tr>
      <w:tr w:rsidR="00334B17" w:rsidRPr="007335F2">
        <w:trPr>
          <w:trHeight w:val="280"/>
        </w:trPr>
        <w:tc>
          <w:tcPr>
            <w:tcW w:w="5070" w:type="dxa"/>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 xml:space="preserve">Důvod vydání bezpečnostního statusu s údajem: </w:t>
            </w:r>
            <w:r w:rsidRPr="007335F2">
              <w:rPr>
                <w:rFonts w:ascii="Calibri" w:eastAsia="Times New Roman" w:hAnsi="Calibri"/>
                <w:b/>
                <w:bCs/>
                <w:noProof/>
                <w:color w:val="000000"/>
                <w:sz w:val="16"/>
                <w:szCs w:val="16"/>
              </w:rPr>
              <w:br/>
            </w:r>
            <w:r w:rsidRPr="007335F2">
              <w:rPr>
                <w:rFonts w:ascii="Calibri" w:hAnsi="Calibri"/>
                <w:b/>
                <w:noProof/>
                <w:color w:val="000000"/>
                <w:sz w:val="16"/>
              </w:rPr>
              <w:t xml:space="preserve">– „KC“ označujícím zásilku obdrženou od známého odesílatele, nebo </w:t>
            </w:r>
            <w:r w:rsidRPr="007335F2">
              <w:rPr>
                <w:rFonts w:ascii="Calibri" w:eastAsia="Times New Roman" w:hAnsi="Calibri"/>
                <w:b/>
                <w:bCs/>
                <w:noProof/>
                <w:color w:val="000000"/>
                <w:sz w:val="16"/>
                <w:szCs w:val="16"/>
              </w:rPr>
              <w:br/>
            </w:r>
            <w:r w:rsidRPr="007335F2">
              <w:rPr>
                <w:rFonts w:ascii="Calibri" w:hAnsi="Calibri"/>
                <w:b/>
                <w:noProof/>
                <w:color w:val="000000"/>
                <w:sz w:val="16"/>
              </w:rPr>
              <w:t xml:space="preserve">– „AC“ označujícím zásilku obdrženou od stálého odesílatele, nebo </w:t>
            </w:r>
            <w:r w:rsidRPr="007335F2">
              <w:rPr>
                <w:rFonts w:ascii="Calibri" w:eastAsia="Times New Roman" w:hAnsi="Calibri"/>
                <w:b/>
                <w:bCs/>
                <w:noProof/>
                <w:color w:val="000000"/>
                <w:sz w:val="16"/>
                <w:szCs w:val="16"/>
              </w:rPr>
              <w:br/>
            </w:r>
            <w:r w:rsidRPr="007335F2">
              <w:rPr>
                <w:rFonts w:ascii="Calibri" w:hAnsi="Calibri"/>
                <w:b/>
                <w:noProof/>
                <w:color w:val="000000"/>
                <w:sz w:val="16"/>
              </w:rPr>
              <w:t xml:space="preserve">– „RA“ označujícím zásilku vybranou schváleným agentem, nebo </w:t>
            </w:r>
            <w:r w:rsidRPr="007335F2">
              <w:rPr>
                <w:rFonts w:ascii="Calibri" w:eastAsia="Times New Roman" w:hAnsi="Calibri"/>
                <w:b/>
                <w:bCs/>
                <w:noProof/>
                <w:color w:val="000000"/>
                <w:sz w:val="16"/>
                <w:szCs w:val="16"/>
              </w:rPr>
              <w:br/>
            </w:r>
            <w:r w:rsidRPr="007335F2">
              <w:rPr>
                <w:rFonts w:ascii="Calibri" w:hAnsi="Calibri"/>
                <w:b/>
                <w:noProof/>
                <w:color w:val="000000"/>
                <w:sz w:val="16"/>
              </w:rPr>
              <w:t>– použitý prostředek nebo metodu detekční kontroly, nebo</w:t>
            </w:r>
            <w:r w:rsidRPr="007335F2">
              <w:rPr>
                <w:rFonts w:ascii="Calibri" w:eastAsia="Times New Roman" w:hAnsi="Calibri"/>
                <w:b/>
                <w:bCs/>
                <w:noProof/>
                <w:color w:val="000000"/>
                <w:sz w:val="16"/>
                <w:szCs w:val="16"/>
              </w:rPr>
              <w:br/>
            </w:r>
            <w:r w:rsidRPr="007335F2">
              <w:rPr>
                <w:rFonts w:ascii="Calibri" w:hAnsi="Calibri"/>
                <w:b/>
                <w:noProof/>
                <w:color w:val="000000"/>
                <w:sz w:val="16"/>
              </w:rPr>
              <w:t>– důvody pro osvobození zásilky od detekční kontroly</w:t>
            </w:r>
          </w:p>
        </w:tc>
        <w:tc>
          <w:tcPr>
            <w:tcW w:w="1223"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25"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76"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příloha 6.3.2.6 písm. e)</w:t>
            </w:r>
          </w:p>
        </w:tc>
        <w:tc>
          <w:tcPr>
            <w:tcW w:w="1317" w:type="dxa"/>
          </w:tcPr>
          <w:p w:rsidR="00334B17" w:rsidRPr="007335F2" w:rsidRDefault="00334B17">
            <w:pPr>
              <w:jc w:val="left"/>
              <w:rPr>
                <w:rFonts w:ascii="Calibri" w:eastAsia="Times New Roman" w:hAnsi="Calibri"/>
                <w:b/>
                <w:bCs/>
                <w:noProof/>
                <w:color w:val="000000"/>
                <w:sz w:val="16"/>
                <w:szCs w:val="16"/>
              </w:rPr>
            </w:pPr>
          </w:p>
        </w:tc>
        <w:tc>
          <w:tcPr>
            <w:tcW w:w="1289" w:type="dxa"/>
          </w:tcPr>
          <w:p w:rsidR="00334B17" w:rsidRPr="007335F2" w:rsidRDefault="00334B17">
            <w:pPr>
              <w:jc w:val="left"/>
              <w:rPr>
                <w:rFonts w:ascii="Calibri" w:eastAsia="Times New Roman" w:hAnsi="Calibri"/>
                <w:b/>
                <w:bCs/>
                <w:noProof/>
                <w:color w:val="000000"/>
                <w:sz w:val="16"/>
                <w:szCs w:val="16"/>
              </w:rPr>
            </w:pPr>
          </w:p>
        </w:tc>
      </w:tr>
      <w:tr w:rsidR="00334B17" w:rsidRPr="007335F2">
        <w:trPr>
          <w:trHeight w:val="280"/>
        </w:trPr>
        <w:tc>
          <w:tcPr>
            <w:tcW w:w="5070" w:type="dxa"/>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Jméno osoby, která vydala bezpečnostní status, nebo rovnocenná identifikace, datum a čas vydání</w:t>
            </w:r>
          </w:p>
        </w:tc>
        <w:tc>
          <w:tcPr>
            <w:tcW w:w="1223"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25"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76"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příloha 6.3.2.6 písm. f)</w:t>
            </w:r>
          </w:p>
        </w:tc>
        <w:tc>
          <w:tcPr>
            <w:tcW w:w="1317" w:type="dxa"/>
          </w:tcPr>
          <w:p w:rsidR="00334B17" w:rsidRPr="007335F2" w:rsidRDefault="00334B17">
            <w:pPr>
              <w:jc w:val="left"/>
              <w:rPr>
                <w:rFonts w:ascii="Calibri" w:eastAsia="Times New Roman" w:hAnsi="Calibri"/>
                <w:b/>
                <w:bCs/>
                <w:noProof/>
                <w:color w:val="000000"/>
                <w:sz w:val="16"/>
                <w:szCs w:val="16"/>
              </w:rPr>
            </w:pPr>
          </w:p>
        </w:tc>
        <w:tc>
          <w:tcPr>
            <w:tcW w:w="1289" w:type="dxa"/>
          </w:tcPr>
          <w:p w:rsidR="00334B17" w:rsidRPr="007335F2" w:rsidRDefault="00334B17">
            <w:pPr>
              <w:jc w:val="left"/>
              <w:rPr>
                <w:rFonts w:ascii="Calibri" w:eastAsia="Times New Roman" w:hAnsi="Calibri"/>
                <w:b/>
                <w:bCs/>
                <w:noProof/>
                <w:color w:val="000000"/>
                <w:sz w:val="16"/>
                <w:szCs w:val="16"/>
              </w:rPr>
            </w:pPr>
          </w:p>
        </w:tc>
      </w:tr>
      <w:tr w:rsidR="00334B17" w:rsidRPr="007335F2">
        <w:trPr>
          <w:trHeight w:val="280"/>
        </w:trPr>
        <w:tc>
          <w:tcPr>
            <w:tcW w:w="5070" w:type="dxa"/>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Jedinečný identifikátor přidělený příslušným orgánem schválenému agentovi, který uznal bezpečnostní status udělený zásilce jiným schváleným agentem</w:t>
            </w:r>
          </w:p>
        </w:tc>
        <w:tc>
          <w:tcPr>
            <w:tcW w:w="1223"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25"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76"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příloha 6.3.2.6 písm. g)</w:t>
            </w:r>
          </w:p>
        </w:tc>
        <w:tc>
          <w:tcPr>
            <w:tcW w:w="1317" w:type="dxa"/>
          </w:tcPr>
          <w:p w:rsidR="00334B17" w:rsidRPr="007335F2" w:rsidRDefault="00334B17">
            <w:pPr>
              <w:jc w:val="left"/>
              <w:rPr>
                <w:rFonts w:ascii="Calibri" w:eastAsia="Times New Roman" w:hAnsi="Calibri"/>
                <w:b/>
                <w:bCs/>
                <w:noProof/>
                <w:color w:val="000000"/>
                <w:sz w:val="16"/>
                <w:szCs w:val="16"/>
              </w:rPr>
            </w:pPr>
          </w:p>
        </w:tc>
        <w:tc>
          <w:tcPr>
            <w:tcW w:w="1289" w:type="dxa"/>
          </w:tcPr>
          <w:p w:rsidR="00334B17" w:rsidRPr="007335F2" w:rsidRDefault="00334B17">
            <w:pPr>
              <w:jc w:val="left"/>
              <w:rPr>
                <w:rFonts w:ascii="Calibri" w:eastAsia="Times New Roman" w:hAnsi="Calibri"/>
                <w:b/>
                <w:bCs/>
                <w:noProof/>
                <w:color w:val="000000"/>
                <w:sz w:val="16"/>
                <w:szCs w:val="16"/>
              </w:rPr>
            </w:pPr>
          </w:p>
        </w:tc>
      </w:tr>
      <w:tr w:rsidR="00334B17" w:rsidRPr="007335F2">
        <w:trPr>
          <w:trHeight w:val="280"/>
        </w:trPr>
        <w:tc>
          <w:tcPr>
            <w:tcW w:w="5070" w:type="dxa"/>
          </w:tcPr>
          <w:p w:rsidR="00334B17" w:rsidRPr="007335F2" w:rsidRDefault="00334B17">
            <w:pPr>
              <w:jc w:val="left"/>
              <w:rPr>
                <w:rFonts w:asciiTheme="minorHAnsi" w:eastAsia="Times New Roman" w:hAnsiTheme="minorHAnsi" w:cstheme="minorHAnsi"/>
                <w:b/>
                <w:bCs/>
                <w:noProof/>
                <w:color w:val="000000"/>
                <w:sz w:val="16"/>
                <w:szCs w:val="16"/>
              </w:rPr>
            </w:pPr>
            <w:r w:rsidRPr="007335F2">
              <w:rPr>
                <w:rFonts w:asciiTheme="minorHAnsi" w:hAnsiTheme="minorHAnsi" w:cstheme="minorHAnsi"/>
                <w:b/>
                <w:noProof/>
                <w:sz w:val="16"/>
              </w:rPr>
              <w:t>Všeobecné údaje předepsané pro přepravní doklad</w:t>
            </w:r>
          </w:p>
        </w:tc>
        <w:tc>
          <w:tcPr>
            <w:tcW w:w="1223" w:type="dxa"/>
          </w:tcPr>
          <w:p w:rsidR="00334B17" w:rsidRPr="007335F2" w:rsidRDefault="00334B17">
            <w:pPr>
              <w:jc w:val="left"/>
              <w:rPr>
                <w:rFonts w:ascii="Calibri" w:eastAsia="Times New Roman" w:hAnsi="Calibri"/>
                <w:noProof/>
                <w:color w:val="000000"/>
                <w:sz w:val="16"/>
                <w:szCs w:val="16"/>
              </w:rPr>
            </w:pPr>
            <w:r w:rsidRPr="007335F2">
              <w:rPr>
                <w:noProof/>
                <w:sz w:val="16"/>
              </w:rPr>
              <w:t xml:space="preserve"> </w:t>
            </w:r>
          </w:p>
        </w:tc>
        <w:tc>
          <w:tcPr>
            <w:tcW w:w="1161" w:type="dxa"/>
          </w:tcPr>
          <w:p w:rsidR="00334B17" w:rsidRPr="007335F2" w:rsidRDefault="00334B17">
            <w:pPr>
              <w:jc w:val="left"/>
              <w:rPr>
                <w:rFonts w:ascii="Calibri" w:eastAsia="Times New Roman" w:hAnsi="Calibri"/>
                <w:noProof/>
                <w:color w:val="000000"/>
                <w:sz w:val="16"/>
                <w:szCs w:val="16"/>
              </w:rPr>
            </w:pPr>
            <w:r w:rsidRPr="007335F2">
              <w:rPr>
                <w:noProof/>
                <w:sz w:val="16"/>
              </w:rPr>
              <w:t xml:space="preserve"> </w:t>
            </w:r>
          </w:p>
        </w:tc>
        <w:tc>
          <w:tcPr>
            <w:tcW w:w="1244" w:type="dxa"/>
          </w:tcPr>
          <w:p w:rsidR="00334B17" w:rsidRPr="007335F2" w:rsidRDefault="00334B17">
            <w:pPr>
              <w:jc w:val="left"/>
              <w:rPr>
                <w:rFonts w:ascii="Calibri" w:eastAsia="Times New Roman" w:hAnsi="Calibri"/>
                <w:noProof/>
                <w:color w:val="000000"/>
                <w:sz w:val="16"/>
                <w:szCs w:val="16"/>
              </w:rPr>
            </w:pPr>
            <w:r w:rsidRPr="007335F2">
              <w:rPr>
                <w:noProof/>
                <w:sz w:val="16"/>
              </w:rPr>
              <w:t xml:space="preserve"> </w:t>
            </w:r>
          </w:p>
        </w:tc>
        <w:tc>
          <w:tcPr>
            <w:tcW w:w="1084" w:type="dxa"/>
          </w:tcPr>
          <w:p w:rsidR="00334B17" w:rsidRPr="007335F2" w:rsidRDefault="00334B17">
            <w:pPr>
              <w:jc w:val="left"/>
              <w:rPr>
                <w:rFonts w:ascii="Calibri" w:eastAsia="Times New Roman" w:hAnsi="Calibri"/>
                <w:noProof/>
                <w:color w:val="000000"/>
                <w:sz w:val="16"/>
                <w:szCs w:val="16"/>
              </w:rPr>
            </w:pPr>
            <w:r w:rsidRPr="007335F2">
              <w:rPr>
                <w:noProof/>
                <w:sz w:val="16"/>
              </w:rPr>
              <w:t xml:space="preserve"> </w:t>
            </w:r>
          </w:p>
        </w:tc>
        <w:tc>
          <w:tcPr>
            <w:tcW w:w="1225" w:type="dxa"/>
          </w:tcPr>
          <w:p w:rsidR="00334B17" w:rsidRPr="007335F2" w:rsidRDefault="00334B17">
            <w:pPr>
              <w:jc w:val="left"/>
              <w:rPr>
                <w:rFonts w:ascii="Calibri" w:eastAsia="Times New Roman" w:hAnsi="Calibri"/>
                <w:noProof/>
                <w:color w:val="000000"/>
                <w:sz w:val="16"/>
                <w:szCs w:val="16"/>
              </w:rPr>
            </w:pPr>
            <w:r w:rsidRPr="007335F2">
              <w:rPr>
                <w:noProof/>
                <w:sz w:val="16"/>
              </w:rPr>
              <w:t xml:space="preserve"> </w:t>
            </w:r>
          </w:p>
        </w:tc>
        <w:tc>
          <w:tcPr>
            <w:tcW w:w="1376" w:type="dxa"/>
          </w:tcPr>
          <w:p w:rsidR="00334B17" w:rsidRPr="007335F2" w:rsidRDefault="00334B17">
            <w:pPr>
              <w:jc w:val="left"/>
              <w:rPr>
                <w:rFonts w:ascii="Calibri" w:eastAsia="Times New Roman" w:hAnsi="Calibri"/>
                <w:noProof/>
                <w:color w:val="000000"/>
                <w:sz w:val="16"/>
                <w:szCs w:val="16"/>
              </w:rPr>
            </w:pPr>
            <w:r w:rsidRPr="007335F2">
              <w:rPr>
                <w:noProof/>
                <w:sz w:val="16"/>
              </w:rPr>
              <w:t xml:space="preserve"> </w:t>
            </w:r>
          </w:p>
        </w:tc>
        <w:tc>
          <w:tcPr>
            <w:tcW w:w="1317" w:type="dxa"/>
          </w:tcPr>
          <w:p w:rsidR="00334B17" w:rsidRPr="007335F2" w:rsidRDefault="00334B17">
            <w:pPr>
              <w:jc w:val="left"/>
              <w:rPr>
                <w:rFonts w:ascii="Calibri" w:eastAsia="Times New Roman" w:hAnsi="Calibri"/>
                <w:b/>
                <w:bCs/>
                <w:noProof/>
                <w:color w:val="000000"/>
                <w:sz w:val="16"/>
                <w:szCs w:val="16"/>
              </w:rPr>
            </w:pPr>
            <w:r w:rsidRPr="007335F2">
              <w:rPr>
                <w:noProof/>
                <w:sz w:val="16"/>
              </w:rPr>
              <w:t>5.4.1.1.1</w:t>
            </w:r>
          </w:p>
        </w:tc>
        <w:tc>
          <w:tcPr>
            <w:tcW w:w="1289" w:type="dxa"/>
          </w:tcPr>
          <w:p w:rsidR="00334B17" w:rsidRPr="007335F2" w:rsidRDefault="00334B17">
            <w:pPr>
              <w:jc w:val="left"/>
              <w:rPr>
                <w:noProof/>
                <w:sz w:val="16"/>
                <w:szCs w:val="16"/>
              </w:rPr>
            </w:pPr>
          </w:p>
        </w:tc>
      </w:tr>
      <w:tr w:rsidR="00334B17" w:rsidRPr="007335F2">
        <w:trPr>
          <w:trHeight w:val="425"/>
        </w:trPr>
        <w:tc>
          <w:tcPr>
            <w:tcW w:w="5070" w:type="dxa"/>
          </w:tcPr>
          <w:p w:rsidR="00334B17" w:rsidRPr="007335F2" w:rsidRDefault="00334B17">
            <w:pPr>
              <w:jc w:val="left"/>
              <w:rPr>
                <w:rFonts w:ascii="Calibri" w:eastAsia="Times New Roman" w:hAnsi="Calibri"/>
                <w:b/>
                <w:bCs/>
                <w:noProof/>
                <w:sz w:val="16"/>
                <w:szCs w:val="16"/>
              </w:rPr>
            </w:pPr>
            <w:r w:rsidRPr="007335F2">
              <w:rPr>
                <w:rFonts w:ascii="Calibri" w:hAnsi="Calibri"/>
                <w:b/>
                <w:noProof/>
                <w:sz w:val="16"/>
              </w:rPr>
              <w:t xml:space="preserve">Všeobecné údaje vyžadované pro přepravu v tankerech </w:t>
            </w:r>
          </w:p>
        </w:tc>
        <w:tc>
          <w:tcPr>
            <w:tcW w:w="1223" w:type="dxa"/>
          </w:tcPr>
          <w:p w:rsidR="00334B17" w:rsidRPr="007335F2" w:rsidRDefault="00334B17">
            <w:pPr>
              <w:jc w:val="left"/>
              <w:rPr>
                <w:rFonts w:ascii="Calibri" w:eastAsia="Times New Roman" w:hAnsi="Calibri"/>
                <w:noProof/>
                <w:color w:val="000000"/>
                <w:sz w:val="16"/>
                <w:szCs w:val="16"/>
              </w:rPr>
            </w:pPr>
          </w:p>
        </w:tc>
        <w:tc>
          <w:tcPr>
            <w:tcW w:w="1161" w:type="dxa"/>
          </w:tcPr>
          <w:p w:rsidR="00334B17" w:rsidRPr="007335F2" w:rsidRDefault="00334B17">
            <w:pPr>
              <w:jc w:val="left"/>
              <w:rPr>
                <w:rFonts w:ascii="Calibri" w:eastAsia="Times New Roman" w:hAnsi="Calibri"/>
                <w:noProof/>
                <w:color w:val="000000"/>
                <w:sz w:val="16"/>
                <w:szCs w:val="16"/>
              </w:rPr>
            </w:pPr>
          </w:p>
        </w:tc>
        <w:tc>
          <w:tcPr>
            <w:tcW w:w="1244" w:type="dxa"/>
          </w:tcPr>
          <w:p w:rsidR="00334B17" w:rsidRPr="007335F2" w:rsidRDefault="00334B17">
            <w:pPr>
              <w:jc w:val="left"/>
              <w:rPr>
                <w:rFonts w:ascii="Calibri" w:eastAsia="Times New Roman" w:hAnsi="Calibri"/>
                <w:noProof/>
                <w:color w:val="000000"/>
                <w:sz w:val="16"/>
                <w:szCs w:val="16"/>
              </w:rPr>
            </w:pPr>
          </w:p>
        </w:tc>
        <w:tc>
          <w:tcPr>
            <w:tcW w:w="1084" w:type="dxa"/>
          </w:tcPr>
          <w:p w:rsidR="00334B17" w:rsidRPr="007335F2" w:rsidRDefault="00334B17">
            <w:pPr>
              <w:jc w:val="left"/>
              <w:rPr>
                <w:rFonts w:ascii="Calibri" w:eastAsia="Times New Roman" w:hAnsi="Calibri"/>
                <w:noProof/>
                <w:color w:val="000000"/>
                <w:sz w:val="16"/>
                <w:szCs w:val="16"/>
              </w:rPr>
            </w:pPr>
          </w:p>
        </w:tc>
        <w:tc>
          <w:tcPr>
            <w:tcW w:w="1225" w:type="dxa"/>
          </w:tcPr>
          <w:p w:rsidR="00334B17" w:rsidRPr="007335F2" w:rsidRDefault="00334B17">
            <w:pPr>
              <w:jc w:val="left"/>
              <w:rPr>
                <w:rFonts w:ascii="Calibri" w:eastAsia="Times New Roman" w:hAnsi="Calibri"/>
                <w:noProof/>
                <w:color w:val="000000"/>
                <w:sz w:val="16"/>
                <w:szCs w:val="16"/>
              </w:rPr>
            </w:pPr>
          </w:p>
        </w:tc>
        <w:tc>
          <w:tcPr>
            <w:tcW w:w="1376" w:type="dxa"/>
          </w:tcPr>
          <w:p w:rsidR="00334B17" w:rsidRPr="007335F2" w:rsidRDefault="00334B17">
            <w:pPr>
              <w:jc w:val="left"/>
              <w:rPr>
                <w:rFonts w:ascii="Calibri" w:eastAsia="Times New Roman" w:hAnsi="Calibri"/>
                <w:noProof/>
                <w:color w:val="000000"/>
                <w:sz w:val="16"/>
                <w:szCs w:val="16"/>
              </w:rPr>
            </w:pPr>
          </w:p>
        </w:tc>
        <w:tc>
          <w:tcPr>
            <w:tcW w:w="1317"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xml:space="preserve">5.4.1.1.2 – pouze ADN </w:t>
            </w: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425"/>
        </w:trPr>
        <w:tc>
          <w:tcPr>
            <w:tcW w:w="5070" w:type="dxa"/>
          </w:tcPr>
          <w:p w:rsidR="00334B17" w:rsidRPr="007335F2" w:rsidRDefault="00334B17">
            <w:pPr>
              <w:jc w:val="left"/>
              <w:rPr>
                <w:rFonts w:ascii="Calibri" w:eastAsia="Times New Roman" w:hAnsi="Calibri"/>
                <w:b/>
                <w:bCs/>
                <w:noProof/>
                <w:sz w:val="16"/>
                <w:szCs w:val="16"/>
              </w:rPr>
            </w:pPr>
            <w:r w:rsidRPr="007335F2">
              <w:rPr>
                <w:rFonts w:ascii="Calibri" w:hAnsi="Calibri"/>
                <w:b/>
                <w:noProof/>
                <w:sz w:val="16"/>
              </w:rPr>
              <w:t>Zvláštní informace, jež musí být zahrnuty pro některé typy nebezpečných věcí nebo některé prostředky pro uzavření či v případě dopravního řetězce zahrnujícího různé druhy dopravy podle zvláštních ustanovení v kapitole 5.4 příslušných příloh k ADR, RID a ADN</w:t>
            </w:r>
          </w:p>
        </w:tc>
        <w:tc>
          <w:tcPr>
            <w:tcW w:w="1223" w:type="dxa"/>
          </w:tcPr>
          <w:p w:rsidR="00334B17" w:rsidRPr="007335F2" w:rsidRDefault="00334B17">
            <w:pPr>
              <w:jc w:val="left"/>
              <w:rPr>
                <w:rFonts w:ascii="Calibri" w:eastAsia="Times New Roman" w:hAnsi="Calibri"/>
                <w:noProof/>
                <w:color w:val="000000"/>
                <w:sz w:val="16"/>
                <w:szCs w:val="16"/>
              </w:rPr>
            </w:pPr>
          </w:p>
        </w:tc>
        <w:tc>
          <w:tcPr>
            <w:tcW w:w="1161" w:type="dxa"/>
          </w:tcPr>
          <w:p w:rsidR="00334B17" w:rsidRPr="007335F2" w:rsidRDefault="00334B17">
            <w:pPr>
              <w:jc w:val="left"/>
              <w:rPr>
                <w:rFonts w:ascii="Calibri" w:eastAsia="Times New Roman" w:hAnsi="Calibri"/>
                <w:noProof/>
                <w:color w:val="000000"/>
                <w:sz w:val="16"/>
                <w:szCs w:val="16"/>
              </w:rPr>
            </w:pPr>
          </w:p>
        </w:tc>
        <w:tc>
          <w:tcPr>
            <w:tcW w:w="1244" w:type="dxa"/>
          </w:tcPr>
          <w:p w:rsidR="00334B17" w:rsidRPr="007335F2" w:rsidRDefault="00334B17">
            <w:pPr>
              <w:jc w:val="left"/>
              <w:rPr>
                <w:rFonts w:ascii="Calibri" w:eastAsia="Times New Roman" w:hAnsi="Calibri"/>
                <w:noProof/>
                <w:color w:val="000000"/>
                <w:sz w:val="16"/>
                <w:szCs w:val="16"/>
              </w:rPr>
            </w:pPr>
          </w:p>
        </w:tc>
        <w:tc>
          <w:tcPr>
            <w:tcW w:w="1084" w:type="dxa"/>
          </w:tcPr>
          <w:p w:rsidR="00334B17" w:rsidRPr="007335F2" w:rsidRDefault="00334B17">
            <w:pPr>
              <w:jc w:val="left"/>
              <w:rPr>
                <w:rFonts w:ascii="Calibri" w:eastAsia="Times New Roman" w:hAnsi="Calibri"/>
                <w:noProof/>
                <w:color w:val="000000"/>
                <w:sz w:val="16"/>
                <w:szCs w:val="16"/>
              </w:rPr>
            </w:pPr>
          </w:p>
        </w:tc>
        <w:tc>
          <w:tcPr>
            <w:tcW w:w="1225" w:type="dxa"/>
          </w:tcPr>
          <w:p w:rsidR="00334B17" w:rsidRPr="007335F2" w:rsidRDefault="00334B17">
            <w:pPr>
              <w:jc w:val="left"/>
              <w:rPr>
                <w:rFonts w:ascii="Calibri" w:eastAsia="Times New Roman" w:hAnsi="Calibri"/>
                <w:noProof/>
                <w:color w:val="000000"/>
                <w:sz w:val="16"/>
                <w:szCs w:val="16"/>
              </w:rPr>
            </w:pPr>
          </w:p>
        </w:tc>
        <w:tc>
          <w:tcPr>
            <w:tcW w:w="1376" w:type="dxa"/>
          </w:tcPr>
          <w:p w:rsidR="00334B17" w:rsidRPr="007335F2" w:rsidRDefault="00334B17">
            <w:pPr>
              <w:jc w:val="left"/>
              <w:rPr>
                <w:rFonts w:ascii="Calibri" w:eastAsia="Times New Roman" w:hAnsi="Calibri"/>
                <w:noProof/>
                <w:color w:val="000000"/>
                <w:sz w:val="16"/>
                <w:szCs w:val="16"/>
              </w:rPr>
            </w:pPr>
          </w:p>
        </w:tc>
        <w:tc>
          <w:tcPr>
            <w:tcW w:w="1317"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xml:space="preserve">5.4.1.1.3 až 5.4.1.1.21 – ADR a RID </w:t>
            </w:r>
          </w:p>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5.4.1.1.3 až 5.4.1.1.22 – ADN</w:t>
            </w: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286"/>
        </w:trPr>
        <w:tc>
          <w:tcPr>
            <w:tcW w:w="5070" w:type="dxa"/>
          </w:tcPr>
          <w:p w:rsidR="00334B17" w:rsidRPr="007335F2" w:rsidRDefault="00334B17">
            <w:pPr>
              <w:jc w:val="left"/>
              <w:rPr>
                <w:rFonts w:ascii="Calibri" w:eastAsia="Times New Roman" w:hAnsi="Calibri"/>
                <w:b/>
                <w:bCs/>
                <w:noProof/>
                <w:sz w:val="16"/>
                <w:szCs w:val="16"/>
              </w:rPr>
            </w:pPr>
            <w:r w:rsidRPr="007335F2">
              <w:rPr>
                <w:rFonts w:ascii="Calibri" w:hAnsi="Calibri"/>
                <w:b/>
                <w:noProof/>
                <w:sz w:val="16"/>
              </w:rPr>
              <w:t xml:space="preserve">Dodatečné a zvláštní informace požadované pro některé třídy nebezpečných věcí </w:t>
            </w:r>
          </w:p>
        </w:tc>
        <w:tc>
          <w:tcPr>
            <w:tcW w:w="1223" w:type="dxa"/>
          </w:tcPr>
          <w:p w:rsidR="00334B17" w:rsidRPr="007335F2" w:rsidRDefault="00334B17">
            <w:pPr>
              <w:jc w:val="left"/>
              <w:rPr>
                <w:rFonts w:ascii="Calibri" w:eastAsia="Times New Roman" w:hAnsi="Calibri"/>
                <w:noProof/>
                <w:color w:val="000000"/>
                <w:sz w:val="16"/>
                <w:szCs w:val="16"/>
              </w:rPr>
            </w:pPr>
          </w:p>
        </w:tc>
        <w:tc>
          <w:tcPr>
            <w:tcW w:w="1161" w:type="dxa"/>
          </w:tcPr>
          <w:p w:rsidR="00334B17" w:rsidRPr="007335F2" w:rsidRDefault="00334B17">
            <w:pPr>
              <w:jc w:val="left"/>
              <w:rPr>
                <w:rFonts w:ascii="Calibri" w:eastAsia="Times New Roman" w:hAnsi="Calibri"/>
                <w:noProof/>
                <w:color w:val="000000"/>
                <w:sz w:val="16"/>
                <w:szCs w:val="16"/>
              </w:rPr>
            </w:pPr>
          </w:p>
        </w:tc>
        <w:tc>
          <w:tcPr>
            <w:tcW w:w="1244" w:type="dxa"/>
          </w:tcPr>
          <w:p w:rsidR="00334B17" w:rsidRPr="007335F2" w:rsidRDefault="00334B17">
            <w:pPr>
              <w:jc w:val="left"/>
              <w:rPr>
                <w:rFonts w:ascii="Calibri" w:eastAsia="Times New Roman" w:hAnsi="Calibri"/>
                <w:noProof/>
                <w:color w:val="000000"/>
                <w:sz w:val="16"/>
                <w:szCs w:val="16"/>
              </w:rPr>
            </w:pPr>
          </w:p>
        </w:tc>
        <w:tc>
          <w:tcPr>
            <w:tcW w:w="1084" w:type="dxa"/>
          </w:tcPr>
          <w:p w:rsidR="00334B17" w:rsidRPr="007335F2" w:rsidRDefault="00334B17">
            <w:pPr>
              <w:jc w:val="left"/>
              <w:rPr>
                <w:rFonts w:ascii="Calibri" w:eastAsia="Times New Roman" w:hAnsi="Calibri"/>
                <w:noProof/>
                <w:color w:val="000000"/>
                <w:sz w:val="16"/>
                <w:szCs w:val="16"/>
              </w:rPr>
            </w:pPr>
          </w:p>
        </w:tc>
        <w:tc>
          <w:tcPr>
            <w:tcW w:w="1225" w:type="dxa"/>
          </w:tcPr>
          <w:p w:rsidR="00334B17" w:rsidRPr="007335F2" w:rsidRDefault="00334B17">
            <w:pPr>
              <w:jc w:val="left"/>
              <w:rPr>
                <w:rFonts w:ascii="Calibri" w:eastAsia="Times New Roman" w:hAnsi="Calibri"/>
                <w:noProof/>
                <w:color w:val="000000"/>
                <w:sz w:val="16"/>
                <w:szCs w:val="16"/>
              </w:rPr>
            </w:pPr>
          </w:p>
        </w:tc>
        <w:tc>
          <w:tcPr>
            <w:tcW w:w="1376" w:type="dxa"/>
          </w:tcPr>
          <w:p w:rsidR="00334B17" w:rsidRPr="007335F2" w:rsidRDefault="00334B17">
            <w:pPr>
              <w:jc w:val="left"/>
              <w:rPr>
                <w:rFonts w:ascii="Calibri" w:eastAsia="Times New Roman" w:hAnsi="Calibri"/>
                <w:noProof/>
                <w:color w:val="000000"/>
                <w:sz w:val="16"/>
                <w:szCs w:val="16"/>
              </w:rPr>
            </w:pPr>
          </w:p>
        </w:tc>
        <w:tc>
          <w:tcPr>
            <w:tcW w:w="1317"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5.4.1.2</w:t>
            </w: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141"/>
        </w:trPr>
        <w:tc>
          <w:tcPr>
            <w:tcW w:w="5070" w:type="dxa"/>
          </w:tcPr>
          <w:p w:rsidR="00334B17" w:rsidRPr="007335F2" w:rsidRDefault="00334B17">
            <w:pPr>
              <w:jc w:val="left"/>
              <w:rPr>
                <w:rFonts w:ascii="Calibri" w:eastAsia="Times New Roman" w:hAnsi="Calibri"/>
                <w:b/>
                <w:bCs/>
                <w:noProof/>
                <w:sz w:val="16"/>
                <w:szCs w:val="16"/>
              </w:rPr>
            </w:pPr>
            <w:r w:rsidRPr="007335F2">
              <w:rPr>
                <w:rFonts w:ascii="Calibri" w:hAnsi="Calibri"/>
                <w:b/>
                <w:noProof/>
                <w:sz w:val="16"/>
              </w:rPr>
              <w:t>Bezpečné zboží</w:t>
            </w:r>
          </w:p>
        </w:tc>
        <w:tc>
          <w:tcPr>
            <w:tcW w:w="1223"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25"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76"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17"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5.4.1.5</w:t>
            </w: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141"/>
        </w:trPr>
        <w:tc>
          <w:tcPr>
            <w:tcW w:w="5070" w:type="dxa"/>
          </w:tcPr>
          <w:p w:rsidR="00334B17" w:rsidRPr="007335F2" w:rsidRDefault="00334B17">
            <w:pPr>
              <w:jc w:val="left"/>
              <w:rPr>
                <w:rFonts w:ascii="Calibri" w:eastAsia="Times New Roman" w:hAnsi="Calibri"/>
                <w:b/>
                <w:bCs/>
                <w:noProof/>
                <w:sz w:val="16"/>
                <w:szCs w:val="16"/>
              </w:rPr>
            </w:pPr>
            <w:r w:rsidRPr="007335F2">
              <w:rPr>
                <w:rFonts w:ascii="Calibri" w:hAnsi="Calibri"/>
                <w:b/>
                <w:noProof/>
                <w:sz w:val="16"/>
              </w:rPr>
              <w:t>Certifikát kontejnerového balení</w:t>
            </w:r>
          </w:p>
        </w:tc>
        <w:tc>
          <w:tcPr>
            <w:tcW w:w="1223"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161"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4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08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225"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76"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w:t>
            </w:r>
          </w:p>
        </w:tc>
        <w:tc>
          <w:tcPr>
            <w:tcW w:w="1317"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5.4.2</w:t>
            </w: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73"/>
        </w:trPr>
        <w:tc>
          <w:tcPr>
            <w:tcW w:w="5070" w:type="dxa"/>
          </w:tcPr>
          <w:p w:rsidR="00334B17" w:rsidRPr="007335F2" w:rsidRDefault="00334B17">
            <w:pPr>
              <w:jc w:val="left"/>
              <w:rPr>
                <w:rFonts w:ascii="Calibri" w:eastAsia="Times New Roman" w:hAnsi="Calibri"/>
                <w:b/>
                <w:bCs/>
                <w:noProof/>
                <w:sz w:val="16"/>
                <w:szCs w:val="16"/>
              </w:rPr>
            </w:pPr>
            <w:r w:rsidRPr="007335F2">
              <w:rPr>
                <w:rFonts w:ascii="Calibri" w:hAnsi="Calibri"/>
                <w:b/>
                <w:noProof/>
                <w:sz w:val="16"/>
              </w:rPr>
              <w:t>Písemné pokyny</w:t>
            </w:r>
          </w:p>
        </w:tc>
        <w:tc>
          <w:tcPr>
            <w:tcW w:w="1223" w:type="dxa"/>
          </w:tcPr>
          <w:p w:rsidR="00334B17" w:rsidRPr="007335F2" w:rsidRDefault="00334B17">
            <w:pPr>
              <w:jc w:val="left"/>
              <w:rPr>
                <w:rFonts w:ascii="Calibri" w:eastAsia="Times New Roman" w:hAnsi="Calibri"/>
                <w:noProof/>
                <w:color w:val="000000"/>
                <w:sz w:val="16"/>
                <w:szCs w:val="16"/>
              </w:rPr>
            </w:pPr>
          </w:p>
        </w:tc>
        <w:tc>
          <w:tcPr>
            <w:tcW w:w="1161" w:type="dxa"/>
          </w:tcPr>
          <w:p w:rsidR="00334B17" w:rsidRPr="007335F2" w:rsidRDefault="00334B17">
            <w:pPr>
              <w:jc w:val="left"/>
              <w:rPr>
                <w:rFonts w:ascii="Calibri" w:eastAsia="Times New Roman" w:hAnsi="Calibri"/>
                <w:noProof/>
                <w:color w:val="000000"/>
                <w:sz w:val="16"/>
                <w:szCs w:val="16"/>
              </w:rPr>
            </w:pPr>
          </w:p>
        </w:tc>
        <w:tc>
          <w:tcPr>
            <w:tcW w:w="1244" w:type="dxa"/>
          </w:tcPr>
          <w:p w:rsidR="00334B17" w:rsidRPr="007335F2" w:rsidRDefault="00334B17">
            <w:pPr>
              <w:jc w:val="left"/>
              <w:rPr>
                <w:rFonts w:ascii="Calibri" w:eastAsia="Times New Roman" w:hAnsi="Calibri"/>
                <w:noProof/>
                <w:color w:val="000000"/>
                <w:sz w:val="16"/>
                <w:szCs w:val="16"/>
              </w:rPr>
            </w:pPr>
          </w:p>
        </w:tc>
        <w:tc>
          <w:tcPr>
            <w:tcW w:w="1084" w:type="dxa"/>
          </w:tcPr>
          <w:p w:rsidR="00334B17" w:rsidRPr="007335F2" w:rsidRDefault="00334B17">
            <w:pPr>
              <w:jc w:val="left"/>
              <w:rPr>
                <w:rFonts w:ascii="Calibri" w:eastAsia="Times New Roman" w:hAnsi="Calibri"/>
                <w:noProof/>
                <w:color w:val="000000"/>
                <w:sz w:val="16"/>
                <w:szCs w:val="16"/>
              </w:rPr>
            </w:pPr>
          </w:p>
        </w:tc>
        <w:tc>
          <w:tcPr>
            <w:tcW w:w="1225" w:type="dxa"/>
          </w:tcPr>
          <w:p w:rsidR="00334B17" w:rsidRPr="007335F2" w:rsidRDefault="00334B17">
            <w:pPr>
              <w:jc w:val="left"/>
              <w:rPr>
                <w:rFonts w:ascii="Calibri" w:eastAsia="Times New Roman" w:hAnsi="Calibri"/>
                <w:noProof/>
                <w:color w:val="000000"/>
                <w:sz w:val="16"/>
                <w:szCs w:val="16"/>
              </w:rPr>
            </w:pPr>
          </w:p>
        </w:tc>
        <w:tc>
          <w:tcPr>
            <w:tcW w:w="1376" w:type="dxa"/>
          </w:tcPr>
          <w:p w:rsidR="00334B17" w:rsidRPr="007335F2" w:rsidRDefault="00334B17">
            <w:pPr>
              <w:jc w:val="left"/>
              <w:rPr>
                <w:rFonts w:ascii="Calibri" w:eastAsia="Times New Roman" w:hAnsi="Calibri"/>
                <w:noProof/>
                <w:color w:val="000000"/>
                <w:sz w:val="16"/>
                <w:szCs w:val="16"/>
              </w:rPr>
            </w:pPr>
          </w:p>
        </w:tc>
        <w:tc>
          <w:tcPr>
            <w:tcW w:w="1317"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5.4.3</w:t>
            </w:r>
          </w:p>
        </w:tc>
        <w:tc>
          <w:tcPr>
            <w:tcW w:w="1289" w:type="dxa"/>
          </w:tcPr>
          <w:p w:rsidR="00334B17" w:rsidRPr="007335F2" w:rsidRDefault="00334B17">
            <w:pPr>
              <w:jc w:val="left"/>
              <w:rPr>
                <w:rFonts w:ascii="Calibri" w:eastAsia="Times New Roman" w:hAnsi="Calibri"/>
                <w:noProof/>
                <w:color w:val="000000"/>
                <w:sz w:val="16"/>
                <w:szCs w:val="16"/>
              </w:rPr>
            </w:pPr>
          </w:p>
        </w:tc>
      </w:tr>
      <w:tr w:rsidR="00334B17" w:rsidRPr="007335F2">
        <w:trPr>
          <w:trHeight w:val="73"/>
        </w:trPr>
        <w:tc>
          <w:tcPr>
            <w:tcW w:w="5070" w:type="dxa"/>
          </w:tcPr>
          <w:p w:rsidR="00334B17" w:rsidRPr="007335F2" w:rsidRDefault="00334B17">
            <w:pPr>
              <w:jc w:val="left"/>
              <w:rPr>
                <w:rFonts w:ascii="Calibri" w:eastAsia="Times New Roman" w:hAnsi="Calibri"/>
                <w:b/>
                <w:bCs/>
                <w:noProof/>
                <w:sz w:val="16"/>
                <w:szCs w:val="16"/>
              </w:rPr>
            </w:pPr>
            <w:r w:rsidRPr="007335F2">
              <w:rPr>
                <w:rFonts w:ascii="Calibri" w:hAnsi="Calibri"/>
                <w:b/>
                <w:noProof/>
                <w:sz w:val="16"/>
              </w:rPr>
              <w:t>Informace obsažené v oznámení pro přepravu odpadů, jež podléhají postupu předchozího písemného oznámení a souhlasu podle článku 4 nařízení (ES) č. 1013/2006</w:t>
            </w:r>
          </w:p>
        </w:tc>
        <w:tc>
          <w:tcPr>
            <w:tcW w:w="1223" w:type="dxa"/>
          </w:tcPr>
          <w:p w:rsidR="00334B17" w:rsidRPr="007335F2" w:rsidRDefault="00334B17">
            <w:pPr>
              <w:jc w:val="left"/>
              <w:rPr>
                <w:rFonts w:ascii="Calibri" w:eastAsia="Times New Roman" w:hAnsi="Calibri"/>
                <w:noProof/>
                <w:color w:val="000000"/>
                <w:sz w:val="16"/>
                <w:szCs w:val="16"/>
              </w:rPr>
            </w:pPr>
          </w:p>
        </w:tc>
        <w:tc>
          <w:tcPr>
            <w:tcW w:w="1161" w:type="dxa"/>
          </w:tcPr>
          <w:p w:rsidR="00334B17" w:rsidRPr="007335F2" w:rsidRDefault="00334B17">
            <w:pPr>
              <w:jc w:val="left"/>
              <w:rPr>
                <w:rFonts w:ascii="Calibri" w:eastAsia="Times New Roman" w:hAnsi="Calibri"/>
                <w:noProof/>
                <w:color w:val="000000"/>
                <w:sz w:val="16"/>
                <w:szCs w:val="16"/>
              </w:rPr>
            </w:pPr>
          </w:p>
        </w:tc>
        <w:tc>
          <w:tcPr>
            <w:tcW w:w="1244" w:type="dxa"/>
          </w:tcPr>
          <w:p w:rsidR="00334B17" w:rsidRPr="007335F2" w:rsidRDefault="00334B17">
            <w:pPr>
              <w:jc w:val="left"/>
              <w:rPr>
                <w:rFonts w:ascii="Calibri" w:eastAsia="Times New Roman" w:hAnsi="Calibri"/>
                <w:noProof/>
                <w:color w:val="000000"/>
                <w:sz w:val="16"/>
                <w:szCs w:val="16"/>
              </w:rPr>
            </w:pPr>
          </w:p>
        </w:tc>
        <w:tc>
          <w:tcPr>
            <w:tcW w:w="1084" w:type="dxa"/>
          </w:tcPr>
          <w:p w:rsidR="00334B17" w:rsidRPr="007335F2" w:rsidRDefault="00334B17">
            <w:pPr>
              <w:jc w:val="left"/>
              <w:rPr>
                <w:rFonts w:ascii="Calibri" w:eastAsia="Times New Roman" w:hAnsi="Calibri"/>
                <w:noProof/>
                <w:color w:val="000000"/>
                <w:sz w:val="16"/>
                <w:szCs w:val="16"/>
              </w:rPr>
            </w:pPr>
          </w:p>
        </w:tc>
        <w:tc>
          <w:tcPr>
            <w:tcW w:w="1225" w:type="dxa"/>
          </w:tcPr>
          <w:p w:rsidR="00334B17" w:rsidRPr="007335F2" w:rsidRDefault="00334B17">
            <w:pPr>
              <w:jc w:val="left"/>
              <w:rPr>
                <w:rFonts w:ascii="Calibri" w:eastAsia="Times New Roman" w:hAnsi="Calibri"/>
                <w:noProof/>
                <w:color w:val="000000"/>
                <w:sz w:val="16"/>
                <w:szCs w:val="16"/>
              </w:rPr>
            </w:pPr>
          </w:p>
        </w:tc>
        <w:tc>
          <w:tcPr>
            <w:tcW w:w="1376" w:type="dxa"/>
          </w:tcPr>
          <w:p w:rsidR="00334B17" w:rsidRPr="007335F2" w:rsidRDefault="00334B17">
            <w:pPr>
              <w:jc w:val="left"/>
              <w:rPr>
                <w:rFonts w:ascii="Calibri" w:eastAsia="Times New Roman" w:hAnsi="Calibri"/>
                <w:noProof/>
                <w:color w:val="000000"/>
                <w:sz w:val="16"/>
                <w:szCs w:val="16"/>
              </w:rPr>
            </w:pPr>
          </w:p>
        </w:tc>
        <w:tc>
          <w:tcPr>
            <w:tcW w:w="1317" w:type="dxa"/>
          </w:tcPr>
          <w:p w:rsidR="00334B17" w:rsidRPr="007335F2" w:rsidRDefault="00334B17">
            <w:pPr>
              <w:jc w:val="left"/>
              <w:rPr>
                <w:rFonts w:ascii="Calibri" w:eastAsia="Times New Roman" w:hAnsi="Calibri"/>
                <w:noProof/>
                <w:color w:val="000000"/>
                <w:sz w:val="16"/>
                <w:szCs w:val="16"/>
              </w:rPr>
            </w:pPr>
          </w:p>
        </w:tc>
        <w:tc>
          <w:tcPr>
            <w:tcW w:w="1289"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příloha IA</w:t>
            </w:r>
          </w:p>
        </w:tc>
      </w:tr>
      <w:tr w:rsidR="00334B17" w:rsidRPr="007335F2">
        <w:trPr>
          <w:trHeight w:val="73"/>
        </w:trPr>
        <w:tc>
          <w:tcPr>
            <w:tcW w:w="5070" w:type="dxa"/>
          </w:tcPr>
          <w:p w:rsidR="00334B17" w:rsidRPr="007335F2" w:rsidRDefault="00334B17">
            <w:pPr>
              <w:jc w:val="left"/>
              <w:rPr>
                <w:rFonts w:ascii="Calibri" w:eastAsia="Times New Roman" w:hAnsi="Calibri"/>
                <w:b/>
                <w:bCs/>
                <w:noProof/>
                <w:sz w:val="16"/>
                <w:szCs w:val="16"/>
              </w:rPr>
            </w:pPr>
            <w:r w:rsidRPr="007335F2">
              <w:rPr>
                <w:rFonts w:ascii="Calibri" w:hAnsi="Calibri"/>
                <w:b/>
                <w:noProof/>
                <w:sz w:val="16"/>
              </w:rPr>
              <w:lastRenderedPageBreak/>
              <w:t>Informace obsažené v průvodním dokladu pro přepravu odpadů, jež podléhají postupu předchozího písemného oznámení a souhlasu podle článku 4 nařízení (ES) č. 1013/2006</w:t>
            </w:r>
          </w:p>
        </w:tc>
        <w:tc>
          <w:tcPr>
            <w:tcW w:w="1223" w:type="dxa"/>
          </w:tcPr>
          <w:p w:rsidR="00334B17" w:rsidRPr="007335F2" w:rsidRDefault="00334B17">
            <w:pPr>
              <w:jc w:val="left"/>
              <w:rPr>
                <w:rFonts w:ascii="Calibri" w:eastAsia="Times New Roman" w:hAnsi="Calibri"/>
                <w:noProof/>
                <w:color w:val="000000"/>
                <w:sz w:val="16"/>
                <w:szCs w:val="16"/>
              </w:rPr>
            </w:pPr>
          </w:p>
        </w:tc>
        <w:tc>
          <w:tcPr>
            <w:tcW w:w="1161" w:type="dxa"/>
          </w:tcPr>
          <w:p w:rsidR="00334B17" w:rsidRPr="007335F2" w:rsidRDefault="00334B17">
            <w:pPr>
              <w:jc w:val="left"/>
              <w:rPr>
                <w:rFonts w:ascii="Calibri" w:eastAsia="Times New Roman" w:hAnsi="Calibri"/>
                <w:noProof/>
                <w:color w:val="000000"/>
                <w:sz w:val="16"/>
                <w:szCs w:val="16"/>
              </w:rPr>
            </w:pPr>
          </w:p>
        </w:tc>
        <w:tc>
          <w:tcPr>
            <w:tcW w:w="1244" w:type="dxa"/>
          </w:tcPr>
          <w:p w:rsidR="00334B17" w:rsidRPr="007335F2" w:rsidRDefault="00334B17">
            <w:pPr>
              <w:jc w:val="left"/>
              <w:rPr>
                <w:rFonts w:ascii="Calibri" w:eastAsia="Times New Roman" w:hAnsi="Calibri"/>
                <w:noProof/>
                <w:color w:val="000000"/>
                <w:sz w:val="16"/>
                <w:szCs w:val="16"/>
              </w:rPr>
            </w:pPr>
          </w:p>
        </w:tc>
        <w:tc>
          <w:tcPr>
            <w:tcW w:w="1084" w:type="dxa"/>
          </w:tcPr>
          <w:p w:rsidR="00334B17" w:rsidRPr="007335F2" w:rsidRDefault="00334B17">
            <w:pPr>
              <w:jc w:val="left"/>
              <w:rPr>
                <w:rFonts w:ascii="Calibri" w:eastAsia="Times New Roman" w:hAnsi="Calibri"/>
                <w:noProof/>
                <w:color w:val="000000"/>
                <w:sz w:val="16"/>
                <w:szCs w:val="16"/>
              </w:rPr>
            </w:pPr>
          </w:p>
        </w:tc>
        <w:tc>
          <w:tcPr>
            <w:tcW w:w="1225" w:type="dxa"/>
          </w:tcPr>
          <w:p w:rsidR="00334B17" w:rsidRPr="007335F2" w:rsidRDefault="00334B17">
            <w:pPr>
              <w:jc w:val="left"/>
              <w:rPr>
                <w:rFonts w:ascii="Calibri" w:eastAsia="Times New Roman" w:hAnsi="Calibri"/>
                <w:noProof/>
                <w:color w:val="000000"/>
                <w:sz w:val="16"/>
                <w:szCs w:val="16"/>
              </w:rPr>
            </w:pPr>
          </w:p>
        </w:tc>
        <w:tc>
          <w:tcPr>
            <w:tcW w:w="1376" w:type="dxa"/>
          </w:tcPr>
          <w:p w:rsidR="00334B17" w:rsidRPr="007335F2" w:rsidRDefault="00334B17">
            <w:pPr>
              <w:jc w:val="left"/>
              <w:rPr>
                <w:rFonts w:ascii="Calibri" w:eastAsia="Times New Roman" w:hAnsi="Calibri"/>
                <w:noProof/>
                <w:color w:val="000000"/>
                <w:sz w:val="16"/>
                <w:szCs w:val="16"/>
              </w:rPr>
            </w:pPr>
          </w:p>
        </w:tc>
        <w:tc>
          <w:tcPr>
            <w:tcW w:w="1317" w:type="dxa"/>
          </w:tcPr>
          <w:p w:rsidR="00334B17" w:rsidRPr="007335F2" w:rsidRDefault="00334B17">
            <w:pPr>
              <w:jc w:val="left"/>
              <w:rPr>
                <w:rFonts w:ascii="Calibri" w:eastAsia="Times New Roman" w:hAnsi="Calibri"/>
                <w:noProof/>
                <w:color w:val="000000"/>
                <w:sz w:val="16"/>
                <w:szCs w:val="16"/>
              </w:rPr>
            </w:pPr>
          </w:p>
        </w:tc>
        <w:tc>
          <w:tcPr>
            <w:tcW w:w="1289"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příloha IB</w:t>
            </w:r>
          </w:p>
        </w:tc>
      </w:tr>
      <w:tr w:rsidR="00334B17" w:rsidRPr="007335F2">
        <w:trPr>
          <w:trHeight w:val="73"/>
        </w:trPr>
        <w:tc>
          <w:tcPr>
            <w:tcW w:w="5070" w:type="dxa"/>
          </w:tcPr>
          <w:p w:rsidR="00334B17" w:rsidRPr="007335F2" w:rsidRDefault="00334B17">
            <w:pPr>
              <w:jc w:val="left"/>
              <w:rPr>
                <w:rFonts w:ascii="Calibri" w:eastAsia="Times New Roman" w:hAnsi="Calibri"/>
                <w:b/>
                <w:bCs/>
                <w:noProof/>
                <w:sz w:val="16"/>
                <w:szCs w:val="16"/>
              </w:rPr>
            </w:pPr>
            <w:r w:rsidRPr="007335F2">
              <w:rPr>
                <w:rFonts w:ascii="Calibri" w:hAnsi="Calibri"/>
                <w:b/>
                <w:noProof/>
                <w:sz w:val="16"/>
              </w:rPr>
              <w:t>Informace obsažené v doprovodném dokumentu pro přepravu odpadů, jež podléhají obecným požadavkům na informace článku 18 nařízení (ES) č. 1013/2006</w:t>
            </w:r>
          </w:p>
        </w:tc>
        <w:tc>
          <w:tcPr>
            <w:tcW w:w="1223" w:type="dxa"/>
          </w:tcPr>
          <w:p w:rsidR="00334B17" w:rsidRPr="007335F2" w:rsidRDefault="00334B17">
            <w:pPr>
              <w:jc w:val="left"/>
              <w:rPr>
                <w:rFonts w:ascii="Calibri" w:eastAsia="Times New Roman" w:hAnsi="Calibri"/>
                <w:noProof/>
                <w:color w:val="000000"/>
                <w:sz w:val="16"/>
                <w:szCs w:val="16"/>
              </w:rPr>
            </w:pPr>
          </w:p>
        </w:tc>
        <w:tc>
          <w:tcPr>
            <w:tcW w:w="1161" w:type="dxa"/>
          </w:tcPr>
          <w:p w:rsidR="00334B17" w:rsidRPr="007335F2" w:rsidRDefault="00334B17">
            <w:pPr>
              <w:jc w:val="left"/>
              <w:rPr>
                <w:rFonts w:ascii="Calibri" w:eastAsia="Times New Roman" w:hAnsi="Calibri"/>
                <w:noProof/>
                <w:color w:val="000000"/>
                <w:sz w:val="16"/>
                <w:szCs w:val="16"/>
              </w:rPr>
            </w:pPr>
          </w:p>
        </w:tc>
        <w:tc>
          <w:tcPr>
            <w:tcW w:w="1244" w:type="dxa"/>
          </w:tcPr>
          <w:p w:rsidR="00334B17" w:rsidRPr="007335F2" w:rsidRDefault="00334B17">
            <w:pPr>
              <w:jc w:val="left"/>
              <w:rPr>
                <w:rFonts w:ascii="Calibri" w:eastAsia="Times New Roman" w:hAnsi="Calibri"/>
                <w:noProof/>
                <w:color w:val="000000"/>
                <w:sz w:val="16"/>
                <w:szCs w:val="16"/>
              </w:rPr>
            </w:pPr>
          </w:p>
        </w:tc>
        <w:tc>
          <w:tcPr>
            <w:tcW w:w="1084" w:type="dxa"/>
          </w:tcPr>
          <w:p w:rsidR="00334B17" w:rsidRPr="007335F2" w:rsidRDefault="00334B17">
            <w:pPr>
              <w:jc w:val="left"/>
              <w:rPr>
                <w:rFonts w:ascii="Calibri" w:eastAsia="Times New Roman" w:hAnsi="Calibri"/>
                <w:noProof/>
                <w:color w:val="000000"/>
                <w:sz w:val="16"/>
                <w:szCs w:val="16"/>
              </w:rPr>
            </w:pPr>
          </w:p>
        </w:tc>
        <w:tc>
          <w:tcPr>
            <w:tcW w:w="1225" w:type="dxa"/>
          </w:tcPr>
          <w:p w:rsidR="00334B17" w:rsidRPr="007335F2" w:rsidRDefault="00334B17">
            <w:pPr>
              <w:jc w:val="left"/>
              <w:rPr>
                <w:rFonts w:ascii="Calibri" w:eastAsia="Times New Roman" w:hAnsi="Calibri"/>
                <w:noProof/>
                <w:color w:val="000000"/>
                <w:sz w:val="16"/>
                <w:szCs w:val="16"/>
              </w:rPr>
            </w:pPr>
          </w:p>
        </w:tc>
        <w:tc>
          <w:tcPr>
            <w:tcW w:w="1376" w:type="dxa"/>
          </w:tcPr>
          <w:p w:rsidR="00334B17" w:rsidRPr="007335F2" w:rsidRDefault="00334B17">
            <w:pPr>
              <w:jc w:val="left"/>
              <w:rPr>
                <w:rFonts w:ascii="Calibri" w:eastAsia="Times New Roman" w:hAnsi="Calibri"/>
                <w:noProof/>
                <w:color w:val="000000"/>
                <w:sz w:val="16"/>
                <w:szCs w:val="16"/>
              </w:rPr>
            </w:pPr>
          </w:p>
        </w:tc>
        <w:tc>
          <w:tcPr>
            <w:tcW w:w="1317" w:type="dxa"/>
          </w:tcPr>
          <w:p w:rsidR="00334B17" w:rsidRPr="007335F2" w:rsidRDefault="00334B17">
            <w:pPr>
              <w:jc w:val="left"/>
              <w:rPr>
                <w:rFonts w:ascii="Calibri" w:eastAsia="Times New Roman" w:hAnsi="Calibri"/>
                <w:noProof/>
                <w:color w:val="000000"/>
                <w:sz w:val="16"/>
                <w:szCs w:val="16"/>
              </w:rPr>
            </w:pPr>
          </w:p>
        </w:tc>
        <w:tc>
          <w:tcPr>
            <w:tcW w:w="1289"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příloha VII</w:t>
            </w:r>
          </w:p>
        </w:tc>
      </w:tr>
    </w:tbl>
    <w:p w:rsidR="007335F2" w:rsidRDefault="007335F2">
      <w:pPr>
        <w:rPr>
          <w:noProof/>
        </w:rPr>
        <w:sectPr w:rsidR="007335F2" w:rsidSect="007335F2">
          <w:pgSz w:w="16839" w:h="11907" w:orient="landscape" w:code="9"/>
          <w:pgMar w:top="1418" w:right="1134" w:bottom="1418" w:left="1134" w:header="709" w:footer="709" w:gutter="0"/>
          <w:cols w:space="720"/>
          <w:docGrid w:linePitch="360"/>
        </w:sectPr>
      </w:pPr>
    </w:p>
    <w:p w:rsidR="002F38CC" w:rsidRPr="007335F2" w:rsidRDefault="002F38CC">
      <w:pPr>
        <w:spacing w:before="0" w:after="200" w:line="276" w:lineRule="auto"/>
        <w:jc w:val="left"/>
        <w:rPr>
          <w:b/>
          <w:noProof/>
        </w:rPr>
      </w:pPr>
    </w:p>
    <w:p w:rsidR="00334B17" w:rsidRPr="007335F2" w:rsidRDefault="00334B17">
      <w:pPr>
        <w:spacing w:before="0" w:after="200" w:line="276" w:lineRule="auto"/>
        <w:jc w:val="left"/>
        <w:rPr>
          <w:noProof/>
        </w:rPr>
      </w:pPr>
      <w:r w:rsidRPr="007335F2">
        <w:rPr>
          <w:noProof/>
        </w:rPr>
        <w:t xml:space="preserve">Právní předpisy členských států </w:t>
      </w:r>
    </w:p>
    <w:p w:rsidR="00334B17" w:rsidRPr="007335F2" w:rsidRDefault="00334B17">
      <w:pPr>
        <w:rPr>
          <w:noProof/>
        </w:rPr>
      </w:pPr>
      <w:r w:rsidRPr="007335F2">
        <w:rPr>
          <w:noProof/>
        </w:rPr>
        <w:t xml:space="preserve">Tabulka níže uvádí příslušné vnitrostátní právní předpisy členských států, které se zabývají problematikou, již upravuje třetí část hlava VI Smlouvy, a které vyžadují poskytnutí informací zcela či zčásti shodných s informacemi stanovenými v bodě A této přílohy. </w:t>
      </w:r>
    </w:p>
    <w:p w:rsidR="00334B17" w:rsidRPr="007335F2" w:rsidRDefault="00334B17">
      <w:pPr>
        <w:rPr>
          <w:noProof/>
        </w:rPr>
      </w:pPr>
      <w:r w:rsidRPr="007335F2">
        <w:rPr>
          <w:b/>
          <w:noProof/>
        </w:rPr>
        <w:t>[Členský stát]</w:t>
      </w:r>
      <w:r w:rsidRPr="007335F2">
        <w:rPr>
          <w:noProof/>
        </w:rPr>
        <w:t xml:space="preserve"> </w:t>
      </w:r>
    </w:p>
    <w:tbl>
      <w:tblPr>
        <w:tblStyle w:val="TableGrid"/>
        <w:tblW w:w="9939" w:type="dxa"/>
        <w:tblLook w:val="04A0" w:firstRow="1" w:lastRow="0" w:firstColumn="1" w:lastColumn="0" w:noHBand="0" w:noVBand="1"/>
      </w:tblPr>
      <w:tblGrid>
        <w:gridCol w:w="5070"/>
        <w:gridCol w:w="1289"/>
        <w:gridCol w:w="1161"/>
        <w:gridCol w:w="1335"/>
        <w:gridCol w:w="1084"/>
      </w:tblGrid>
      <w:tr w:rsidR="00334B17" w:rsidRPr="007335F2">
        <w:trPr>
          <w:trHeight w:val="1216"/>
        </w:trPr>
        <w:tc>
          <w:tcPr>
            <w:tcW w:w="5070" w:type="dxa"/>
            <w:noWrap/>
            <w:hideMark/>
          </w:tcPr>
          <w:p w:rsidR="00334B17" w:rsidRPr="007335F2" w:rsidRDefault="00334B17">
            <w:pPr>
              <w:jc w:val="left"/>
              <w:rPr>
                <w:rFonts w:ascii="Calibri" w:eastAsia="Times New Roman" w:hAnsi="Calibri"/>
                <w:b/>
                <w:bCs/>
                <w:noProof/>
                <w:color w:val="000000"/>
                <w:szCs w:val="24"/>
              </w:rPr>
            </w:pPr>
            <w:r w:rsidRPr="007335F2">
              <w:rPr>
                <w:rFonts w:ascii="Calibri" w:hAnsi="Calibri"/>
                <w:b/>
                <w:noProof/>
                <w:color w:val="000000"/>
              </w:rPr>
              <w:t>Právní předpisy</w:t>
            </w:r>
          </w:p>
          <w:p w:rsidR="00334B17" w:rsidRPr="007335F2" w:rsidRDefault="00334B17">
            <w:pPr>
              <w:jc w:val="left"/>
              <w:rPr>
                <w:rFonts w:ascii="Calibri" w:eastAsia="Times New Roman" w:hAnsi="Calibri"/>
                <w:b/>
                <w:bCs/>
                <w:noProof/>
                <w:color w:val="000000"/>
                <w:szCs w:val="24"/>
              </w:rPr>
            </w:pPr>
          </w:p>
          <w:p w:rsidR="00334B17" w:rsidRPr="007335F2" w:rsidRDefault="00334B17">
            <w:pPr>
              <w:jc w:val="left"/>
              <w:rPr>
                <w:rFonts w:ascii="Calibri" w:eastAsia="Times New Roman" w:hAnsi="Calibri"/>
                <w:b/>
                <w:bCs/>
                <w:noProof/>
                <w:color w:val="000000"/>
                <w:szCs w:val="24"/>
              </w:rPr>
            </w:pPr>
          </w:p>
          <w:p w:rsidR="00334B17" w:rsidRPr="007335F2" w:rsidRDefault="00334B17">
            <w:pPr>
              <w:jc w:val="left"/>
              <w:rPr>
                <w:rFonts w:ascii="Calibri" w:eastAsia="Times New Roman" w:hAnsi="Calibri"/>
                <w:b/>
                <w:bCs/>
                <w:noProof/>
                <w:color w:val="000000"/>
                <w:sz w:val="28"/>
                <w:szCs w:val="28"/>
              </w:rPr>
            </w:pPr>
            <w:r w:rsidRPr="007335F2">
              <w:rPr>
                <w:rFonts w:ascii="Calibri" w:hAnsi="Calibri"/>
                <w:b/>
                <w:noProof/>
                <w:color w:val="000000"/>
              </w:rPr>
              <w:t>Požadovaný údaj</w:t>
            </w:r>
          </w:p>
        </w:tc>
        <w:tc>
          <w:tcPr>
            <w:tcW w:w="1289"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[Odkaz na právní předpisy]</w:t>
            </w:r>
          </w:p>
        </w:tc>
        <w:tc>
          <w:tcPr>
            <w:tcW w:w="1161"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[Odkaz na právní předpisy]</w:t>
            </w:r>
          </w:p>
        </w:tc>
        <w:tc>
          <w:tcPr>
            <w:tcW w:w="1335"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w:t>
            </w:r>
          </w:p>
        </w:tc>
        <w:tc>
          <w:tcPr>
            <w:tcW w:w="1084"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[Odkaz na právní předpisy]</w:t>
            </w:r>
          </w:p>
        </w:tc>
      </w:tr>
      <w:tr w:rsidR="00334B17" w:rsidRPr="007335F2">
        <w:trPr>
          <w:trHeight w:val="412"/>
        </w:trPr>
        <w:tc>
          <w:tcPr>
            <w:tcW w:w="5070"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[Požadovaný údaj stanovený v příslušném článku právního aktu]</w:t>
            </w:r>
          </w:p>
        </w:tc>
        <w:tc>
          <w:tcPr>
            <w:tcW w:w="1289"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xml:space="preserve">[Odkaz na článek] </w:t>
            </w:r>
          </w:p>
        </w:tc>
        <w:tc>
          <w:tcPr>
            <w:tcW w:w="1161"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[Odkaz na článek]</w:t>
            </w:r>
          </w:p>
        </w:tc>
        <w:tc>
          <w:tcPr>
            <w:tcW w:w="1335" w:type="dxa"/>
            <w:hideMark/>
          </w:tcPr>
          <w:p w:rsidR="00334B17" w:rsidRPr="007335F2" w:rsidRDefault="00334B17">
            <w:pPr>
              <w:jc w:val="left"/>
              <w:rPr>
                <w:rFonts w:ascii="Calibri" w:eastAsia="Times New Roman" w:hAnsi="Calibri"/>
                <w:noProof/>
                <w:color w:val="000000"/>
                <w:sz w:val="16"/>
                <w:szCs w:val="16"/>
              </w:rPr>
            </w:pPr>
          </w:p>
        </w:tc>
        <w:tc>
          <w:tcPr>
            <w:tcW w:w="108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[Odkaz na článek]</w:t>
            </w:r>
          </w:p>
        </w:tc>
      </w:tr>
      <w:tr w:rsidR="00334B17" w:rsidRPr="007335F2">
        <w:trPr>
          <w:trHeight w:val="412"/>
        </w:trPr>
        <w:tc>
          <w:tcPr>
            <w:tcW w:w="5070" w:type="dxa"/>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w:t>
            </w:r>
          </w:p>
        </w:tc>
        <w:tc>
          <w:tcPr>
            <w:tcW w:w="1289"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b/>
                <w:noProof/>
                <w:color w:val="000000"/>
                <w:sz w:val="16"/>
              </w:rPr>
              <w:t>[…]</w:t>
            </w:r>
          </w:p>
        </w:tc>
        <w:tc>
          <w:tcPr>
            <w:tcW w:w="1161"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b/>
                <w:noProof/>
                <w:color w:val="000000"/>
                <w:sz w:val="16"/>
              </w:rPr>
              <w:t>[…]</w:t>
            </w:r>
          </w:p>
        </w:tc>
        <w:tc>
          <w:tcPr>
            <w:tcW w:w="1335"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b/>
                <w:noProof/>
                <w:color w:val="000000"/>
                <w:sz w:val="16"/>
              </w:rPr>
              <w:t>[…]</w:t>
            </w:r>
          </w:p>
        </w:tc>
        <w:tc>
          <w:tcPr>
            <w:tcW w:w="108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b/>
                <w:noProof/>
                <w:color w:val="000000"/>
                <w:sz w:val="16"/>
              </w:rPr>
              <w:t>[…]</w:t>
            </w:r>
          </w:p>
        </w:tc>
      </w:tr>
      <w:tr w:rsidR="00334B17" w:rsidRPr="007335F2">
        <w:trPr>
          <w:trHeight w:val="412"/>
        </w:trPr>
        <w:tc>
          <w:tcPr>
            <w:tcW w:w="5070"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[Požadovaný údaj stanovený v příslušném článku právního aktu]</w:t>
            </w:r>
          </w:p>
        </w:tc>
        <w:tc>
          <w:tcPr>
            <w:tcW w:w="1289"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xml:space="preserve">[Odkaz na článek] </w:t>
            </w:r>
          </w:p>
        </w:tc>
        <w:tc>
          <w:tcPr>
            <w:tcW w:w="1161"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[Odkaz na článek]</w:t>
            </w:r>
          </w:p>
        </w:tc>
        <w:tc>
          <w:tcPr>
            <w:tcW w:w="1335"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b/>
                <w:noProof/>
                <w:color w:val="000000"/>
                <w:sz w:val="16"/>
              </w:rPr>
              <w:t>[…]</w:t>
            </w:r>
          </w:p>
        </w:tc>
        <w:tc>
          <w:tcPr>
            <w:tcW w:w="108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[Odkaz na článek]</w:t>
            </w:r>
          </w:p>
        </w:tc>
      </w:tr>
    </w:tbl>
    <w:p w:rsidR="00334B17" w:rsidRPr="007335F2" w:rsidRDefault="00334B17">
      <w:pPr>
        <w:rPr>
          <w:noProof/>
        </w:rPr>
      </w:pPr>
    </w:p>
    <w:p w:rsidR="00334B17" w:rsidRPr="007335F2" w:rsidRDefault="00334B17">
      <w:pPr>
        <w:rPr>
          <w:noProof/>
        </w:rPr>
      </w:pPr>
      <w:r w:rsidRPr="007335F2">
        <w:rPr>
          <w:b/>
          <w:noProof/>
        </w:rPr>
        <w:t>[Členský stát]</w:t>
      </w:r>
      <w:r w:rsidRPr="007335F2">
        <w:rPr>
          <w:noProof/>
        </w:rPr>
        <w:t xml:space="preserve"> </w:t>
      </w:r>
    </w:p>
    <w:tbl>
      <w:tblPr>
        <w:tblStyle w:val="TableGrid"/>
        <w:tblW w:w="9939" w:type="dxa"/>
        <w:tblLook w:val="04A0" w:firstRow="1" w:lastRow="0" w:firstColumn="1" w:lastColumn="0" w:noHBand="0" w:noVBand="1"/>
      </w:tblPr>
      <w:tblGrid>
        <w:gridCol w:w="5070"/>
        <w:gridCol w:w="1289"/>
        <w:gridCol w:w="1161"/>
        <w:gridCol w:w="1335"/>
        <w:gridCol w:w="1084"/>
      </w:tblGrid>
      <w:tr w:rsidR="00334B17" w:rsidRPr="007335F2">
        <w:trPr>
          <w:trHeight w:val="1216"/>
        </w:trPr>
        <w:tc>
          <w:tcPr>
            <w:tcW w:w="5070" w:type="dxa"/>
            <w:noWrap/>
            <w:hideMark/>
          </w:tcPr>
          <w:p w:rsidR="00334B17" w:rsidRPr="007335F2" w:rsidRDefault="00334B17">
            <w:pPr>
              <w:jc w:val="left"/>
              <w:rPr>
                <w:rFonts w:ascii="Calibri" w:eastAsia="Times New Roman" w:hAnsi="Calibri"/>
                <w:b/>
                <w:bCs/>
                <w:noProof/>
                <w:color w:val="000000"/>
                <w:szCs w:val="24"/>
              </w:rPr>
            </w:pPr>
            <w:r w:rsidRPr="007335F2">
              <w:rPr>
                <w:rFonts w:ascii="Calibri" w:hAnsi="Calibri"/>
                <w:b/>
                <w:noProof/>
                <w:color w:val="000000"/>
              </w:rPr>
              <w:t>Právní předpisy</w:t>
            </w:r>
          </w:p>
          <w:p w:rsidR="00334B17" w:rsidRPr="007335F2" w:rsidRDefault="00334B17">
            <w:pPr>
              <w:jc w:val="left"/>
              <w:rPr>
                <w:rFonts w:ascii="Calibri" w:eastAsia="Times New Roman" w:hAnsi="Calibri"/>
                <w:b/>
                <w:bCs/>
                <w:noProof/>
                <w:color w:val="000000"/>
                <w:szCs w:val="24"/>
              </w:rPr>
            </w:pPr>
          </w:p>
          <w:p w:rsidR="00334B17" w:rsidRPr="007335F2" w:rsidRDefault="00334B17">
            <w:pPr>
              <w:jc w:val="left"/>
              <w:rPr>
                <w:rFonts w:ascii="Calibri" w:eastAsia="Times New Roman" w:hAnsi="Calibri"/>
                <w:b/>
                <w:bCs/>
                <w:noProof/>
                <w:color w:val="000000"/>
                <w:szCs w:val="24"/>
              </w:rPr>
            </w:pPr>
          </w:p>
          <w:p w:rsidR="00334B17" w:rsidRPr="007335F2" w:rsidRDefault="00334B17">
            <w:pPr>
              <w:jc w:val="left"/>
              <w:rPr>
                <w:rFonts w:ascii="Calibri" w:eastAsia="Times New Roman" w:hAnsi="Calibri"/>
                <w:b/>
                <w:bCs/>
                <w:noProof/>
                <w:color w:val="000000"/>
                <w:sz w:val="28"/>
                <w:szCs w:val="28"/>
              </w:rPr>
            </w:pPr>
            <w:r w:rsidRPr="007335F2">
              <w:rPr>
                <w:rFonts w:ascii="Calibri" w:hAnsi="Calibri"/>
                <w:b/>
                <w:noProof/>
                <w:color w:val="000000"/>
              </w:rPr>
              <w:t>Požadovaný údaj</w:t>
            </w:r>
          </w:p>
        </w:tc>
        <w:tc>
          <w:tcPr>
            <w:tcW w:w="1289"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[Odkaz na právní předpisy]</w:t>
            </w:r>
          </w:p>
        </w:tc>
        <w:tc>
          <w:tcPr>
            <w:tcW w:w="1161"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[Odkaz na právní předpisy]</w:t>
            </w:r>
          </w:p>
        </w:tc>
        <w:tc>
          <w:tcPr>
            <w:tcW w:w="1335"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w:t>
            </w:r>
          </w:p>
        </w:tc>
        <w:tc>
          <w:tcPr>
            <w:tcW w:w="1084"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[Odkaz na právní předpisy]</w:t>
            </w:r>
          </w:p>
        </w:tc>
      </w:tr>
      <w:tr w:rsidR="00334B17" w:rsidRPr="007335F2">
        <w:trPr>
          <w:trHeight w:val="412"/>
        </w:trPr>
        <w:tc>
          <w:tcPr>
            <w:tcW w:w="5070"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[Požadovaný údaj stanovený v příslušném článku právního aktu]</w:t>
            </w:r>
          </w:p>
        </w:tc>
        <w:tc>
          <w:tcPr>
            <w:tcW w:w="1289"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xml:space="preserve">[Odkaz na článek] </w:t>
            </w:r>
          </w:p>
        </w:tc>
        <w:tc>
          <w:tcPr>
            <w:tcW w:w="1161"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[Odkaz na článek]</w:t>
            </w:r>
          </w:p>
        </w:tc>
        <w:tc>
          <w:tcPr>
            <w:tcW w:w="1335" w:type="dxa"/>
            <w:hideMark/>
          </w:tcPr>
          <w:p w:rsidR="00334B17" w:rsidRPr="007335F2" w:rsidRDefault="00334B17">
            <w:pPr>
              <w:jc w:val="left"/>
              <w:rPr>
                <w:rFonts w:ascii="Calibri" w:eastAsia="Times New Roman" w:hAnsi="Calibri"/>
                <w:noProof/>
                <w:color w:val="000000"/>
                <w:sz w:val="16"/>
                <w:szCs w:val="16"/>
              </w:rPr>
            </w:pPr>
          </w:p>
        </w:tc>
        <w:tc>
          <w:tcPr>
            <w:tcW w:w="108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[Odkaz na článek]</w:t>
            </w:r>
          </w:p>
        </w:tc>
      </w:tr>
      <w:tr w:rsidR="00334B17" w:rsidRPr="007335F2">
        <w:trPr>
          <w:trHeight w:val="412"/>
        </w:trPr>
        <w:tc>
          <w:tcPr>
            <w:tcW w:w="5070" w:type="dxa"/>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w:t>
            </w:r>
          </w:p>
        </w:tc>
        <w:tc>
          <w:tcPr>
            <w:tcW w:w="1289"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b/>
                <w:noProof/>
                <w:color w:val="000000"/>
                <w:sz w:val="16"/>
              </w:rPr>
              <w:t>[…]</w:t>
            </w:r>
          </w:p>
        </w:tc>
        <w:tc>
          <w:tcPr>
            <w:tcW w:w="1161"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b/>
                <w:noProof/>
                <w:color w:val="000000"/>
                <w:sz w:val="16"/>
              </w:rPr>
              <w:t>[…]</w:t>
            </w:r>
          </w:p>
        </w:tc>
        <w:tc>
          <w:tcPr>
            <w:tcW w:w="1335"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b/>
                <w:noProof/>
                <w:color w:val="000000"/>
                <w:sz w:val="16"/>
              </w:rPr>
              <w:t>[…]</w:t>
            </w:r>
          </w:p>
        </w:tc>
        <w:tc>
          <w:tcPr>
            <w:tcW w:w="1084" w:type="dxa"/>
          </w:tcPr>
          <w:p w:rsidR="00334B17" w:rsidRPr="007335F2" w:rsidRDefault="00334B17">
            <w:pPr>
              <w:jc w:val="left"/>
              <w:rPr>
                <w:rFonts w:ascii="Calibri" w:eastAsia="Times New Roman" w:hAnsi="Calibri"/>
                <w:noProof/>
                <w:color w:val="000000"/>
                <w:sz w:val="16"/>
                <w:szCs w:val="16"/>
              </w:rPr>
            </w:pPr>
            <w:r w:rsidRPr="007335F2">
              <w:rPr>
                <w:rFonts w:ascii="Calibri" w:hAnsi="Calibri"/>
                <w:b/>
                <w:noProof/>
                <w:color w:val="000000"/>
                <w:sz w:val="16"/>
              </w:rPr>
              <w:t>[…]</w:t>
            </w:r>
          </w:p>
        </w:tc>
      </w:tr>
      <w:tr w:rsidR="00334B17" w:rsidRPr="007335F2">
        <w:trPr>
          <w:trHeight w:val="412"/>
        </w:trPr>
        <w:tc>
          <w:tcPr>
            <w:tcW w:w="5070" w:type="dxa"/>
            <w:hideMark/>
          </w:tcPr>
          <w:p w:rsidR="00334B17" w:rsidRPr="007335F2" w:rsidRDefault="00334B17">
            <w:pPr>
              <w:jc w:val="left"/>
              <w:rPr>
                <w:rFonts w:ascii="Calibri" w:eastAsia="Times New Roman" w:hAnsi="Calibri"/>
                <w:b/>
                <w:bCs/>
                <w:noProof/>
                <w:color w:val="000000"/>
                <w:sz w:val="16"/>
                <w:szCs w:val="16"/>
              </w:rPr>
            </w:pPr>
            <w:r w:rsidRPr="007335F2">
              <w:rPr>
                <w:rFonts w:ascii="Calibri" w:hAnsi="Calibri"/>
                <w:b/>
                <w:noProof/>
                <w:color w:val="000000"/>
                <w:sz w:val="16"/>
              </w:rPr>
              <w:t>[Požadovaný údaj stanovený v příslušném článku právního aktu]</w:t>
            </w:r>
          </w:p>
        </w:tc>
        <w:tc>
          <w:tcPr>
            <w:tcW w:w="1289"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xml:space="preserve">[Odkaz na článek] </w:t>
            </w:r>
          </w:p>
        </w:tc>
        <w:tc>
          <w:tcPr>
            <w:tcW w:w="1161"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[Odkaz na článek]</w:t>
            </w:r>
          </w:p>
        </w:tc>
        <w:tc>
          <w:tcPr>
            <w:tcW w:w="1335"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b/>
                <w:noProof/>
                <w:color w:val="000000"/>
                <w:sz w:val="16"/>
              </w:rPr>
              <w:t>[…]</w:t>
            </w:r>
          </w:p>
        </w:tc>
        <w:tc>
          <w:tcPr>
            <w:tcW w:w="1084" w:type="dxa"/>
            <w:hideMark/>
          </w:tcPr>
          <w:p w:rsidR="00334B17" w:rsidRPr="007335F2" w:rsidRDefault="00334B17">
            <w:pPr>
              <w:jc w:val="left"/>
              <w:rPr>
                <w:rFonts w:ascii="Calibri" w:eastAsia="Times New Roman" w:hAnsi="Calibri"/>
                <w:noProof/>
                <w:color w:val="000000"/>
                <w:sz w:val="16"/>
                <w:szCs w:val="16"/>
              </w:rPr>
            </w:pPr>
            <w:r w:rsidRPr="007335F2">
              <w:rPr>
                <w:rFonts w:ascii="Calibri" w:hAnsi="Calibri"/>
                <w:noProof/>
                <w:color w:val="000000"/>
                <w:sz w:val="16"/>
              </w:rPr>
              <w:t> [Odkaz na článek]</w:t>
            </w:r>
          </w:p>
        </w:tc>
      </w:tr>
    </w:tbl>
    <w:p w:rsidR="007335F2" w:rsidRDefault="007335F2">
      <w:pPr>
        <w:rPr>
          <w:noProof/>
        </w:rPr>
      </w:pPr>
    </w:p>
    <w:p w:rsidR="007335F2" w:rsidRDefault="007335F2">
      <w:pPr>
        <w:spacing w:before="0" w:after="200" w:line="276" w:lineRule="auto"/>
        <w:jc w:val="left"/>
        <w:rPr>
          <w:noProof/>
        </w:rPr>
      </w:pPr>
      <w:r>
        <w:rPr>
          <w:noProof/>
        </w:rPr>
        <w:br w:type="page"/>
      </w:r>
    </w:p>
    <w:p w:rsidR="00334B17" w:rsidRPr="007335F2" w:rsidRDefault="00334B17">
      <w:pPr>
        <w:rPr>
          <w:noProof/>
        </w:rPr>
      </w:pPr>
    </w:p>
    <w:p w:rsidR="00334B17" w:rsidRPr="007335F2" w:rsidRDefault="002F38CC">
      <w:pPr>
        <w:pStyle w:val="Annexetitre"/>
        <w:rPr>
          <w:b w:val="0"/>
          <w:noProof/>
          <w:u w:val="none"/>
        </w:rPr>
      </w:pPr>
      <w:r w:rsidRPr="007335F2">
        <w:rPr>
          <w:b w:val="0"/>
          <w:noProof/>
          <w:u w:val="none"/>
        </w:rPr>
        <w:t>PŘÍLOHA II</w:t>
      </w:r>
      <w:r w:rsidR="00334B17" w:rsidRPr="007335F2">
        <w:rPr>
          <w:b w:val="0"/>
          <w:noProof/>
          <w:u w:val="none"/>
        </w:rPr>
        <w:br/>
        <w:t>POŽADAVKY TÝKAJÍCÍ SE OZNÁMENÝCH SUBJEKTŮ</w:t>
      </w:r>
    </w:p>
    <w:p w:rsidR="00334B17" w:rsidRPr="007335F2" w:rsidRDefault="00334B17" w:rsidP="007335F2">
      <w:pPr>
        <w:pStyle w:val="Text1"/>
        <w:spacing w:before="360" w:line="360" w:lineRule="auto"/>
        <w:ind w:left="851" w:hanging="851"/>
        <w:jc w:val="left"/>
        <w:rPr>
          <w:noProof/>
        </w:rPr>
      </w:pPr>
      <w:r w:rsidRPr="007335F2">
        <w:rPr>
          <w:noProof/>
        </w:rPr>
        <w:t>1.</w:t>
      </w:r>
      <w:r w:rsidR="002F38CC" w:rsidRPr="007335F2">
        <w:rPr>
          <w:noProof/>
        </w:rPr>
        <w:tab/>
      </w:r>
      <w:r w:rsidRPr="007335F2">
        <w:rPr>
          <w:noProof/>
        </w:rPr>
        <w:t>Pro účely oznámení musí subjekt posuzování shody splňovat požadavky stanovené v odstavcích 2 až 11.</w:t>
      </w:r>
    </w:p>
    <w:p w:rsidR="00334B17" w:rsidRPr="007335F2" w:rsidRDefault="00334B17" w:rsidP="007335F2">
      <w:pPr>
        <w:pStyle w:val="Text1"/>
        <w:spacing w:line="360" w:lineRule="auto"/>
        <w:ind w:hanging="851"/>
        <w:jc w:val="left"/>
        <w:rPr>
          <w:noProof/>
        </w:rPr>
      </w:pPr>
      <w:r w:rsidRPr="007335F2">
        <w:rPr>
          <w:noProof/>
        </w:rPr>
        <w:t>2.</w:t>
      </w:r>
      <w:r w:rsidR="002F38CC" w:rsidRPr="007335F2">
        <w:rPr>
          <w:noProof/>
        </w:rPr>
        <w:tab/>
      </w:r>
      <w:r w:rsidRPr="007335F2">
        <w:rPr>
          <w:noProof/>
        </w:rPr>
        <w:t>Subjekt posuzování shody musí být zřízen podle vnitrostátních právních předpisů některého členského státu a mít právní subjektivitu.</w:t>
      </w:r>
    </w:p>
    <w:p w:rsidR="00334B17" w:rsidRPr="007335F2" w:rsidRDefault="00334B17" w:rsidP="007335F2">
      <w:pPr>
        <w:pStyle w:val="Text1"/>
        <w:spacing w:line="360" w:lineRule="auto"/>
        <w:ind w:hanging="851"/>
        <w:jc w:val="left"/>
        <w:rPr>
          <w:noProof/>
        </w:rPr>
      </w:pPr>
      <w:r w:rsidRPr="007335F2">
        <w:rPr>
          <w:noProof/>
        </w:rPr>
        <w:t>3.</w:t>
      </w:r>
      <w:r w:rsidR="002F38CC" w:rsidRPr="007335F2">
        <w:rPr>
          <w:noProof/>
        </w:rPr>
        <w:tab/>
      </w:r>
      <w:r w:rsidRPr="007335F2">
        <w:rPr>
          <w:noProof/>
        </w:rPr>
        <w:t>Subjekt posuzování shody musí být třetí stranou nezávislou na organizaci nebo platformě eFTI či poskytovateli služeb platformy, které posuzuje.</w:t>
      </w:r>
    </w:p>
    <w:p w:rsidR="00334B17" w:rsidRPr="007335F2" w:rsidRDefault="00334B17" w:rsidP="007335F2">
      <w:pPr>
        <w:pStyle w:val="Text1"/>
        <w:spacing w:line="360" w:lineRule="auto"/>
        <w:ind w:firstLine="1"/>
        <w:jc w:val="left"/>
        <w:rPr>
          <w:noProof/>
        </w:rPr>
      </w:pPr>
      <w:r w:rsidRPr="007335F2">
        <w:rPr>
          <w:noProof/>
        </w:rPr>
        <w:t>Za tento subjekt může být považován subjekt patřící k hospodářskému sdružení nebo profesnímu svazu, které zastupují podniky zapojené do navrhování, výroby, dodávání, montáže, používání nebo údržby platformy eFTI nebo poskytovatele služeb platformy, jež tento subjekt posuzuje, pokud je prokázána jeho nezávislost a neexistence jakéhokoli střetu zájmů.</w:t>
      </w:r>
    </w:p>
    <w:p w:rsidR="00334B17" w:rsidRPr="007335F2" w:rsidRDefault="00334B17" w:rsidP="007335F2">
      <w:pPr>
        <w:pStyle w:val="Text1"/>
        <w:spacing w:line="360" w:lineRule="auto"/>
        <w:ind w:hanging="851"/>
        <w:jc w:val="left"/>
        <w:rPr>
          <w:noProof/>
        </w:rPr>
      </w:pPr>
      <w:r w:rsidRPr="007335F2">
        <w:rPr>
          <w:noProof/>
        </w:rPr>
        <w:t>4.</w:t>
      </w:r>
      <w:r w:rsidR="002F38CC" w:rsidRPr="007335F2">
        <w:rPr>
          <w:noProof/>
        </w:rPr>
        <w:tab/>
      </w:r>
      <w:r w:rsidRPr="007335F2">
        <w:rPr>
          <w:noProof/>
        </w:rPr>
        <w:t xml:space="preserve">Subjekt posuzování shody, jeho nejvyšší vedení a pracovníci odpovědní za plnění úkolů posuzování shody nesmí být konstruktéry, výrobci, dodavateli, osobami provádějícími instalaci, odběrateli, vlastníky, uživateli ani servisními osobami platformy eFTI ani poskytovatele služeb platformy, jež posuzují, ani zástupci jakékoli z těchto stran. </w:t>
      </w:r>
    </w:p>
    <w:p w:rsidR="002F38CC" w:rsidRPr="007335F2" w:rsidRDefault="002F38CC">
      <w:pPr>
        <w:spacing w:before="0" w:after="200" w:line="276" w:lineRule="auto"/>
        <w:jc w:val="left"/>
        <w:rPr>
          <w:noProof/>
        </w:rPr>
      </w:pPr>
      <w:r w:rsidRPr="007335F2">
        <w:rPr>
          <w:noProof/>
        </w:rPr>
        <w:br w:type="page"/>
      </w:r>
    </w:p>
    <w:p w:rsidR="00334B17" w:rsidRPr="007335F2" w:rsidRDefault="00334B17" w:rsidP="007335F2">
      <w:pPr>
        <w:pStyle w:val="Text1"/>
        <w:spacing w:line="360" w:lineRule="auto"/>
        <w:ind w:firstLine="1"/>
        <w:jc w:val="left"/>
        <w:rPr>
          <w:noProof/>
        </w:rPr>
      </w:pPr>
      <w:r w:rsidRPr="007335F2">
        <w:rPr>
          <w:noProof/>
        </w:rPr>
        <w:lastRenderedPageBreak/>
        <w:t>Subjekt posuzování shody, jeho nejvyšší vedení a pracovníci odpovědní za plnění úkolů posuzování shody se nesmějí přímo podílet na navrhování, výrobě nebo konstrukci, nabízení na trhu, instalaci, používání ani údržbě platformy eFTI ani poskytovatele služeb platformy, a rovněž nesmějí zastupovat strany, které se těmito činnostmi zabývají. Nesmějí provádět žádnou činnost, která by mohla ohrozit jejich nezávislý úsudek a integritu ve vztahu k činnostem v rámci posuzování shody, k jejichž vykonávání jsou tyto osoby oznámeny. To platí zejména pro poradenské služby.</w:t>
      </w:r>
    </w:p>
    <w:p w:rsidR="00334B17" w:rsidRPr="007335F2" w:rsidRDefault="00334B17" w:rsidP="007335F2">
      <w:pPr>
        <w:pStyle w:val="Text1"/>
        <w:spacing w:line="360" w:lineRule="auto"/>
        <w:jc w:val="left"/>
        <w:rPr>
          <w:noProof/>
        </w:rPr>
      </w:pPr>
      <w:r w:rsidRPr="007335F2">
        <w:rPr>
          <w:noProof/>
        </w:rPr>
        <w:t>Subjekty posuzování shody musí zaručit, že činnosti jejich poboček nebo subdodavatelů neohrozí důvěrnost, objektivitu a nestrannost jejich činností posuzování shody.</w:t>
      </w:r>
    </w:p>
    <w:p w:rsidR="00334B17" w:rsidRPr="007335F2" w:rsidRDefault="002F38CC" w:rsidP="007335F2">
      <w:pPr>
        <w:pStyle w:val="Text1"/>
        <w:spacing w:line="360" w:lineRule="auto"/>
        <w:ind w:hanging="850"/>
        <w:jc w:val="left"/>
        <w:rPr>
          <w:noProof/>
        </w:rPr>
      </w:pPr>
      <w:r w:rsidRPr="007335F2">
        <w:rPr>
          <w:noProof/>
        </w:rPr>
        <w:t>5.</w:t>
      </w:r>
      <w:r w:rsidRPr="007335F2">
        <w:rPr>
          <w:noProof/>
        </w:rPr>
        <w:tab/>
      </w:r>
      <w:r w:rsidR="00334B17" w:rsidRPr="007335F2">
        <w:rPr>
          <w:noProof/>
        </w:rPr>
        <w:t>Subjekty posuzování shody a jejich pracovníci vykonávají činnosti posuzování shody na nejvyšší úrovni profesionální důvěryhodnosti a požadované odborné způsobilosti v konkrétní oblasti a nesmí být vystaveni žádným tlakům a podnětům, zejména finančním, které by mohly ovlivnit jejich úsudek nebo výsledky jejich činností posuzování shody, zejména ze strany osob nebo skupin osob, které mají na výsledcích těchto činností zájem.</w:t>
      </w:r>
    </w:p>
    <w:p w:rsidR="002F38CC" w:rsidRPr="007335F2" w:rsidRDefault="002F38CC">
      <w:pPr>
        <w:spacing w:before="0" w:after="200" w:line="276" w:lineRule="auto"/>
        <w:jc w:val="left"/>
        <w:rPr>
          <w:noProof/>
        </w:rPr>
      </w:pPr>
      <w:r w:rsidRPr="007335F2">
        <w:rPr>
          <w:noProof/>
        </w:rPr>
        <w:br w:type="page"/>
      </w:r>
    </w:p>
    <w:p w:rsidR="00334B17" w:rsidRPr="007335F2" w:rsidRDefault="002F38CC" w:rsidP="007335F2">
      <w:pPr>
        <w:pStyle w:val="Text1"/>
        <w:spacing w:line="360" w:lineRule="auto"/>
        <w:ind w:hanging="850"/>
        <w:jc w:val="left"/>
        <w:rPr>
          <w:noProof/>
        </w:rPr>
      </w:pPr>
      <w:r w:rsidRPr="007335F2">
        <w:rPr>
          <w:noProof/>
        </w:rPr>
        <w:lastRenderedPageBreak/>
        <w:t>6.</w:t>
      </w:r>
      <w:r w:rsidRPr="007335F2">
        <w:rPr>
          <w:noProof/>
        </w:rPr>
        <w:tab/>
      </w:r>
      <w:r w:rsidR="00334B17" w:rsidRPr="007335F2">
        <w:rPr>
          <w:noProof/>
        </w:rPr>
        <w:t>Subjekt posuzování shody musí být schopen plnit všechny úkoly posuzování shody, které mu ukládají články 12 a 13 a pro něž byl oznámen, ať už tyto úkoly plní subjekt posuzování shody sám, nebo jsou plněny jeho jménem a na jeho odpovědnost.</w:t>
      </w:r>
    </w:p>
    <w:p w:rsidR="00334B17" w:rsidRPr="007335F2" w:rsidRDefault="00334B17" w:rsidP="007335F2">
      <w:pPr>
        <w:pStyle w:val="Text1"/>
        <w:spacing w:line="360" w:lineRule="auto"/>
        <w:jc w:val="left"/>
        <w:rPr>
          <w:noProof/>
        </w:rPr>
      </w:pPr>
      <w:r w:rsidRPr="007335F2">
        <w:rPr>
          <w:noProof/>
        </w:rPr>
        <w:t>Subjekt posuzování shody musí mít vždy a pro každý postup certifikace, pro něž byl oznámen, k dispozici nezbytné:</w:t>
      </w:r>
    </w:p>
    <w:p w:rsidR="00334B17" w:rsidRPr="007335F2" w:rsidRDefault="002F38CC" w:rsidP="007335F2">
      <w:pPr>
        <w:pStyle w:val="Text1"/>
        <w:spacing w:line="360" w:lineRule="auto"/>
        <w:ind w:left="1418" w:hanging="568"/>
        <w:jc w:val="left"/>
        <w:rPr>
          <w:noProof/>
        </w:rPr>
      </w:pPr>
      <w:r w:rsidRPr="007335F2">
        <w:rPr>
          <w:noProof/>
        </w:rPr>
        <w:t>a)</w:t>
      </w:r>
      <w:r w:rsidRPr="007335F2">
        <w:rPr>
          <w:noProof/>
        </w:rPr>
        <w:tab/>
      </w:r>
      <w:r w:rsidR="00334B17" w:rsidRPr="007335F2">
        <w:rPr>
          <w:noProof/>
        </w:rPr>
        <w:t>pracovníky s technickými znalostmi a dostatečnými zkušenostmi potřebnými k plnění úkolů posuzování shody;</w:t>
      </w:r>
    </w:p>
    <w:p w:rsidR="00334B17" w:rsidRPr="007335F2" w:rsidRDefault="002F38CC" w:rsidP="007335F2">
      <w:pPr>
        <w:pStyle w:val="Text1"/>
        <w:spacing w:line="360" w:lineRule="auto"/>
        <w:ind w:left="1418" w:hanging="568"/>
        <w:jc w:val="left"/>
        <w:rPr>
          <w:noProof/>
        </w:rPr>
      </w:pPr>
      <w:r w:rsidRPr="007335F2">
        <w:rPr>
          <w:noProof/>
        </w:rPr>
        <w:t>b)</w:t>
      </w:r>
      <w:r w:rsidRPr="007335F2">
        <w:rPr>
          <w:noProof/>
        </w:rPr>
        <w:tab/>
      </w:r>
      <w:r w:rsidR="00334B17" w:rsidRPr="007335F2">
        <w:rPr>
          <w:noProof/>
        </w:rPr>
        <w:t>popisy postupů, podle nichž se posuzování shody provádí, aby byla zajištěna transparentnost těchto postupů a možnost jejich zopakování. Musí mít zavedenu náležitou politiku a postupy pro rozlišování mezi úkoly, jež plní jako oznámený subjekt, a dalšími činnostmi;</w:t>
      </w:r>
    </w:p>
    <w:p w:rsidR="00334B17" w:rsidRPr="007335F2" w:rsidRDefault="002F38CC" w:rsidP="007335F2">
      <w:pPr>
        <w:pStyle w:val="Text1"/>
        <w:spacing w:line="360" w:lineRule="auto"/>
        <w:ind w:left="1418" w:hanging="568"/>
        <w:jc w:val="left"/>
        <w:rPr>
          <w:noProof/>
        </w:rPr>
      </w:pPr>
      <w:r w:rsidRPr="007335F2">
        <w:rPr>
          <w:noProof/>
        </w:rPr>
        <w:t>c)</w:t>
      </w:r>
      <w:r w:rsidRPr="007335F2">
        <w:rPr>
          <w:noProof/>
        </w:rPr>
        <w:tab/>
      </w:r>
      <w:r w:rsidR="00334B17" w:rsidRPr="007335F2">
        <w:rPr>
          <w:noProof/>
        </w:rPr>
        <w:t>postupy pro provádění činností, jež řádně zohledňují velikost, odvětví, strukturu podniků a míru složitosti dané technologie.</w:t>
      </w:r>
    </w:p>
    <w:p w:rsidR="00334B17" w:rsidRPr="007335F2" w:rsidRDefault="00334B17" w:rsidP="007335F2">
      <w:pPr>
        <w:pStyle w:val="Text1"/>
        <w:spacing w:line="360" w:lineRule="auto"/>
        <w:jc w:val="left"/>
        <w:rPr>
          <w:noProof/>
        </w:rPr>
      </w:pPr>
      <w:r w:rsidRPr="007335F2">
        <w:rPr>
          <w:noProof/>
        </w:rPr>
        <w:t>Subjekt posuzování shody musí mít prostředky nezbytné k řádnému plnění technických a administrativních úkolů spojených s činnostmi posuzování shody.</w:t>
      </w:r>
    </w:p>
    <w:p w:rsidR="002F38CC" w:rsidRPr="007335F2" w:rsidRDefault="002F38CC">
      <w:pPr>
        <w:spacing w:before="0" w:after="200" w:line="276" w:lineRule="auto"/>
        <w:jc w:val="left"/>
        <w:rPr>
          <w:noProof/>
        </w:rPr>
      </w:pPr>
      <w:r w:rsidRPr="007335F2">
        <w:rPr>
          <w:noProof/>
        </w:rPr>
        <w:br w:type="page"/>
      </w:r>
    </w:p>
    <w:p w:rsidR="00334B17" w:rsidRPr="007335F2" w:rsidRDefault="002F38CC" w:rsidP="007335F2">
      <w:pPr>
        <w:pStyle w:val="Text1"/>
        <w:spacing w:line="360" w:lineRule="auto"/>
        <w:ind w:hanging="850"/>
        <w:jc w:val="left"/>
        <w:rPr>
          <w:noProof/>
        </w:rPr>
      </w:pPr>
      <w:r w:rsidRPr="007335F2">
        <w:rPr>
          <w:noProof/>
        </w:rPr>
        <w:lastRenderedPageBreak/>
        <w:t>7.</w:t>
      </w:r>
      <w:r w:rsidRPr="007335F2">
        <w:rPr>
          <w:noProof/>
        </w:rPr>
        <w:tab/>
      </w:r>
      <w:r w:rsidR="00334B17" w:rsidRPr="007335F2">
        <w:rPr>
          <w:noProof/>
        </w:rPr>
        <w:t>Pracovníci odpovědní za plnění činností posuzování shody musí mít:</w:t>
      </w:r>
    </w:p>
    <w:p w:rsidR="00334B17" w:rsidRPr="007335F2" w:rsidRDefault="002F38CC" w:rsidP="007335F2">
      <w:pPr>
        <w:pStyle w:val="Text1"/>
        <w:spacing w:line="360" w:lineRule="auto"/>
        <w:ind w:left="1418" w:hanging="568"/>
        <w:jc w:val="left"/>
        <w:rPr>
          <w:noProof/>
        </w:rPr>
      </w:pPr>
      <w:r w:rsidRPr="007335F2">
        <w:rPr>
          <w:noProof/>
        </w:rPr>
        <w:t>a)</w:t>
      </w:r>
      <w:r w:rsidRPr="007335F2">
        <w:rPr>
          <w:noProof/>
        </w:rPr>
        <w:tab/>
      </w:r>
      <w:r w:rsidR="00334B17" w:rsidRPr="007335F2">
        <w:rPr>
          <w:noProof/>
        </w:rPr>
        <w:t>dobrou technickou a odbornou přípravu zahrnující všechny činnosti posuzování shody, pro něž byl subjekt posuzování shody oznámen;</w:t>
      </w:r>
    </w:p>
    <w:p w:rsidR="00334B17" w:rsidRPr="007335F2" w:rsidRDefault="002F38CC" w:rsidP="007335F2">
      <w:pPr>
        <w:pStyle w:val="Text1"/>
        <w:spacing w:line="360" w:lineRule="auto"/>
        <w:ind w:left="1418" w:hanging="568"/>
        <w:jc w:val="left"/>
        <w:rPr>
          <w:noProof/>
        </w:rPr>
      </w:pPr>
      <w:r w:rsidRPr="007335F2">
        <w:rPr>
          <w:noProof/>
        </w:rPr>
        <w:t>b)</w:t>
      </w:r>
      <w:r w:rsidRPr="007335F2">
        <w:rPr>
          <w:noProof/>
        </w:rPr>
        <w:tab/>
      </w:r>
      <w:r w:rsidR="00334B17" w:rsidRPr="007335F2">
        <w:rPr>
          <w:noProof/>
        </w:rPr>
        <w:t>uspokojivou znalost požadavků souvisejících s posuzováním, které provádějí, a odpovídající pravomoc toto posuzování provádět;</w:t>
      </w:r>
    </w:p>
    <w:p w:rsidR="00334B17" w:rsidRPr="007335F2" w:rsidRDefault="002F38CC" w:rsidP="007335F2">
      <w:pPr>
        <w:pStyle w:val="Text1"/>
        <w:spacing w:line="360" w:lineRule="auto"/>
        <w:ind w:left="1418" w:hanging="568"/>
        <w:jc w:val="left"/>
        <w:rPr>
          <w:noProof/>
        </w:rPr>
      </w:pPr>
      <w:r w:rsidRPr="007335F2">
        <w:rPr>
          <w:noProof/>
        </w:rPr>
        <w:t>c)</w:t>
      </w:r>
      <w:r w:rsidRPr="007335F2">
        <w:rPr>
          <w:noProof/>
        </w:rPr>
        <w:tab/>
      </w:r>
      <w:r w:rsidR="00334B17" w:rsidRPr="007335F2">
        <w:rPr>
          <w:noProof/>
        </w:rPr>
        <w:t>náležitou znalost požadavků stanovených v článku 9 a porozumění těmto požadavkům;</w:t>
      </w:r>
    </w:p>
    <w:p w:rsidR="00334B17" w:rsidRPr="007335F2" w:rsidRDefault="002F38CC" w:rsidP="007335F2">
      <w:pPr>
        <w:pStyle w:val="Text1"/>
        <w:spacing w:line="360" w:lineRule="auto"/>
        <w:ind w:left="1418" w:hanging="568"/>
        <w:jc w:val="left"/>
        <w:rPr>
          <w:noProof/>
        </w:rPr>
      </w:pPr>
      <w:r w:rsidRPr="007335F2">
        <w:rPr>
          <w:noProof/>
        </w:rPr>
        <w:t>d)</w:t>
      </w:r>
      <w:r w:rsidRPr="007335F2">
        <w:rPr>
          <w:noProof/>
        </w:rPr>
        <w:tab/>
      </w:r>
      <w:r w:rsidR="00334B17" w:rsidRPr="007335F2">
        <w:rPr>
          <w:noProof/>
        </w:rPr>
        <w:t>schopnost vypracovávat osvědčení o shodě, záznamy, protokoly a zprávy prokazující, že posouzení byla provedena.</w:t>
      </w:r>
    </w:p>
    <w:p w:rsidR="00334B17" w:rsidRPr="007335F2" w:rsidRDefault="002F38CC" w:rsidP="007335F2">
      <w:pPr>
        <w:pStyle w:val="Text1"/>
        <w:spacing w:line="360" w:lineRule="auto"/>
        <w:ind w:hanging="850"/>
        <w:jc w:val="left"/>
        <w:rPr>
          <w:noProof/>
        </w:rPr>
      </w:pPr>
      <w:r w:rsidRPr="007335F2">
        <w:rPr>
          <w:noProof/>
        </w:rPr>
        <w:t>8.</w:t>
      </w:r>
      <w:r w:rsidRPr="007335F2">
        <w:rPr>
          <w:noProof/>
        </w:rPr>
        <w:tab/>
      </w:r>
      <w:r w:rsidR="00334B17" w:rsidRPr="007335F2">
        <w:rPr>
          <w:noProof/>
        </w:rPr>
        <w:t>Musí být zaručena nestrannost subjektů posuzování shody, jejich nejvyššího vedení a pracovníků odpovědných za vykonávání úkolů posuzování shody.</w:t>
      </w:r>
    </w:p>
    <w:p w:rsidR="00334B17" w:rsidRPr="007335F2" w:rsidRDefault="00334B17" w:rsidP="007335F2">
      <w:pPr>
        <w:pStyle w:val="Text1"/>
        <w:spacing w:line="360" w:lineRule="auto"/>
        <w:ind w:firstLine="1"/>
        <w:jc w:val="left"/>
        <w:rPr>
          <w:noProof/>
        </w:rPr>
      </w:pPr>
      <w:r w:rsidRPr="007335F2">
        <w:rPr>
          <w:noProof/>
        </w:rPr>
        <w:t>Odměňování nejvyššího vedení a pracovníků subjektu posuzování shody, kteří provádějí posuzování shody, nesmí záviset na počtu provedených posouzení ani na výsledcích těchto posouzení.</w:t>
      </w:r>
    </w:p>
    <w:p w:rsidR="002F38CC" w:rsidRPr="007335F2" w:rsidRDefault="002F38CC">
      <w:pPr>
        <w:spacing w:before="0" w:after="200" w:line="276" w:lineRule="auto"/>
        <w:jc w:val="left"/>
        <w:rPr>
          <w:noProof/>
        </w:rPr>
      </w:pPr>
      <w:r w:rsidRPr="007335F2">
        <w:rPr>
          <w:noProof/>
        </w:rPr>
        <w:br w:type="page"/>
      </w:r>
    </w:p>
    <w:p w:rsidR="00334B17" w:rsidRPr="007335F2" w:rsidRDefault="002F38CC" w:rsidP="007335F2">
      <w:pPr>
        <w:pStyle w:val="Text1"/>
        <w:spacing w:line="360" w:lineRule="auto"/>
        <w:ind w:hanging="850"/>
        <w:jc w:val="left"/>
        <w:rPr>
          <w:noProof/>
        </w:rPr>
      </w:pPr>
      <w:r w:rsidRPr="007335F2">
        <w:rPr>
          <w:noProof/>
        </w:rPr>
        <w:lastRenderedPageBreak/>
        <w:t>9.</w:t>
      </w:r>
      <w:r w:rsidRPr="007335F2">
        <w:rPr>
          <w:noProof/>
        </w:rPr>
        <w:tab/>
      </w:r>
      <w:r w:rsidR="00334B17" w:rsidRPr="007335F2">
        <w:rPr>
          <w:noProof/>
        </w:rPr>
        <w:t>Subjekty posuzování shody uzavřou pojištění odpovědnosti za škodu, pokud tuto odpovědnost nepřevzal stát v souladu s vnitrostátními právními předpisy nebo pokud není za posuzování shody přímo odpovědný sám členský stát.</w:t>
      </w:r>
    </w:p>
    <w:p w:rsidR="00334B17" w:rsidRPr="007335F2" w:rsidRDefault="002F38CC" w:rsidP="007335F2">
      <w:pPr>
        <w:pStyle w:val="Text1"/>
        <w:spacing w:line="360" w:lineRule="auto"/>
        <w:ind w:hanging="850"/>
        <w:jc w:val="left"/>
        <w:rPr>
          <w:noProof/>
        </w:rPr>
      </w:pPr>
      <w:r w:rsidRPr="007335F2">
        <w:rPr>
          <w:noProof/>
        </w:rPr>
        <w:t>10.</w:t>
      </w:r>
      <w:r w:rsidRPr="007335F2">
        <w:rPr>
          <w:noProof/>
        </w:rPr>
        <w:tab/>
      </w:r>
      <w:r w:rsidR="00334B17" w:rsidRPr="007335F2">
        <w:rPr>
          <w:noProof/>
        </w:rPr>
        <w:t>Pracovníci subjektu posuzování shody jsou povinni zachovávat služební tajemství, pokud jde o veškeré informace, které obdrželi při plnění svých úkolů podle článků 12 a 13 nebo podle jakéhokoli ustanovení vnitrostátních právních předpisů, kterým se provádějí, s výjimkou styku s příslušnými orgány členského státu, v němž vykonávají svou činnost. Vlastnická práva jsou chráněna.</w:t>
      </w:r>
    </w:p>
    <w:p w:rsidR="00334B17" w:rsidRDefault="002F38CC" w:rsidP="007335F2">
      <w:pPr>
        <w:pStyle w:val="Text1"/>
        <w:spacing w:line="360" w:lineRule="auto"/>
        <w:ind w:hanging="850"/>
        <w:jc w:val="left"/>
        <w:rPr>
          <w:noProof/>
        </w:rPr>
      </w:pPr>
      <w:r w:rsidRPr="007335F2">
        <w:rPr>
          <w:noProof/>
        </w:rPr>
        <w:t>11.</w:t>
      </w:r>
      <w:r w:rsidRPr="007335F2">
        <w:rPr>
          <w:noProof/>
        </w:rPr>
        <w:tab/>
      </w:r>
      <w:r w:rsidR="00334B17" w:rsidRPr="007335F2">
        <w:rPr>
          <w:noProof/>
        </w:rPr>
        <w:t>Subjekty posuzování shody se zúčastní příslušných normalizačních činností a příslušných regulačních činností, nebo zajistí, aby jejich pracovníci odpovědní za provádění úkolů posuzování shody byli o nich informováni.</w:t>
      </w:r>
    </w:p>
    <w:p w:rsidR="00334B17" w:rsidRPr="00334B17" w:rsidRDefault="00334B17" w:rsidP="007335F2">
      <w:pPr>
        <w:pStyle w:val="Institutionquisigne"/>
        <w:spacing w:before="120" w:after="120" w:line="360" w:lineRule="auto"/>
        <w:jc w:val="left"/>
      </w:pPr>
    </w:p>
    <w:sectPr w:rsidR="00334B17" w:rsidRPr="00334B17" w:rsidSect="009104DB">
      <w:pgSz w:w="11907" w:h="16839" w:code="9"/>
      <w:pgMar w:top="1134" w:right="1418" w:bottom="1134" w:left="1418"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160ADD" w16cid:durableId="1E8CC1B2"/>
  <w16cid:commentId w16cid:paraId="3A9CAE54" w16cid:durableId="1E8CC1B3"/>
  <w16cid:commentId w16cid:paraId="27D8A7B5" w16cid:durableId="1E8CC1B4"/>
  <w16cid:commentId w16cid:paraId="16D1340B" w16cid:durableId="1E8CC5C7"/>
  <w16cid:commentId w16cid:paraId="40F75C5B" w16cid:durableId="1E8CC7C2"/>
  <w16cid:commentId w16cid:paraId="6495ABDD" w16cid:durableId="1E8CC1B6"/>
  <w16cid:commentId w16cid:paraId="5CEF32C5" w16cid:durableId="1E8CC1B7"/>
  <w16cid:commentId w16cid:paraId="6FEC7A60" w16cid:durableId="1E8CC1B8"/>
  <w16cid:commentId w16cid:paraId="16EA81CE" w16cid:durableId="1E8CC1B9"/>
  <w16cid:commentId w16cid:paraId="37782BEC" w16cid:durableId="1E8CC1BA"/>
  <w16cid:commentId w16cid:paraId="1839BB4D" w16cid:durableId="1E8CC1BB"/>
  <w16cid:commentId w16cid:paraId="3C114EB4" w16cid:durableId="1E8CCFBC"/>
  <w16cid:commentId w16cid:paraId="79D34625" w16cid:durableId="1E8CC1BC"/>
  <w16cid:commentId w16cid:paraId="3936FD17" w16cid:durableId="1E8CC1BD"/>
  <w16cid:commentId w16cid:paraId="0D983ABE" w16cid:durableId="1E8CC1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07A" w:rsidRDefault="0051507A">
      <w:pPr>
        <w:spacing w:before="0" w:after="0"/>
      </w:pPr>
      <w:r>
        <w:separator/>
      </w:r>
    </w:p>
  </w:endnote>
  <w:endnote w:type="continuationSeparator" w:id="0">
    <w:p w:rsidR="0051507A" w:rsidRDefault="005150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07A" w:rsidRDefault="0051507A">
      <w:pPr>
        <w:spacing w:before="0" w:after="0"/>
      </w:pPr>
      <w:r>
        <w:separator/>
      </w:r>
    </w:p>
  </w:footnote>
  <w:footnote w:type="continuationSeparator" w:id="0">
    <w:p w:rsidR="0051507A" w:rsidRDefault="0051507A">
      <w:pPr>
        <w:spacing w:before="0" w:after="0"/>
      </w:pPr>
      <w:r>
        <w:continuationSeparator/>
      </w:r>
    </w:p>
  </w:footnote>
  <w:footnote w:id="1">
    <w:p w:rsidR="0051507A" w:rsidRPr="0051507A" w:rsidRDefault="0051507A" w:rsidP="007335F2">
      <w:pPr>
        <w:pStyle w:val="FootnoteText"/>
        <w:ind w:left="567" w:hanging="567"/>
        <w:jc w:val="left"/>
        <w:rPr>
          <w:sz w:val="24"/>
          <w:szCs w:val="24"/>
        </w:rPr>
      </w:pPr>
      <w:r w:rsidRPr="002F38CC">
        <w:rPr>
          <w:rStyle w:val="FootnoteReference"/>
          <w:sz w:val="24"/>
          <w:szCs w:val="24"/>
        </w:rPr>
        <w:footnoteRef/>
      </w:r>
      <w:r w:rsidRPr="002F38CC">
        <w:rPr>
          <w:sz w:val="24"/>
          <w:szCs w:val="24"/>
        </w:rPr>
        <w:t xml:space="preserve"> </w:t>
      </w:r>
      <w:r w:rsidRPr="002F38CC">
        <w:rPr>
          <w:sz w:val="24"/>
          <w:szCs w:val="24"/>
        </w:rPr>
        <w:tab/>
      </w:r>
      <w:proofErr w:type="spellStart"/>
      <w:r w:rsidRPr="002F38CC">
        <w:rPr>
          <w:sz w:val="24"/>
          <w:szCs w:val="24"/>
        </w:rPr>
        <w:t>Úř</w:t>
      </w:r>
      <w:proofErr w:type="spellEnd"/>
      <w:r w:rsidRPr="002F38CC">
        <w:rPr>
          <w:sz w:val="24"/>
          <w:szCs w:val="24"/>
        </w:rPr>
        <w:t xml:space="preserve">. </w:t>
      </w:r>
      <w:proofErr w:type="spellStart"/>
      <w:proofErr w:type="gramStart"/>
      <w:r w:rsidRPr="0051507A">
        <w:rPr>
          <w:sz w:val="24"/>
          <w:szCs w:val="24"/>
        </w:rPr>
        <w:t>věst</w:t>
      </w:r>
      <w:proofErr w:type="spellEnd"/>
      <w:proofErr w:type="gramEnd"/>
      <w:r w:rsidRPr="0051507A">
        <w:rPr>
          <w:sz w:val="24"/>
          <w:szCs w:val="24"/>
        </w:rPr>
        <w:t xml:space="preserve">. C 62, </w:t>
      </w:r>
      <w:proofErr w:type="gramStart"/>
      <w:r w:rsidRPr="0051507A">
        <w:rPr>
          <w:sz w:val="24"/>
          <w:szCs w:val="24"/>
        </w:rPr>
        <w:t>15.2.2019</w:t>
      </w:r>
      <w:proofErr w:type="gramEnd"/>
      <w:r w:rsidRPr="0051507A">
        <w:rPr>
          <w:sz w:val="24"/>
          <w:szCs w:val="24"/>
        </w:rPr>
        <w:t>, s. 265.</w:t>
      </w:r>
    </w:p>
  </w:footnote>
  <w:footnote w:id="2">
    <w:p w:rsidR="0051507A" w:rsidRPr="002F38CC" w:rsidRDefault="0051507A" w:rsidP="007335F2">
      <w:pPr>
        <w:pStyle w:val="FootnoteText"/>
        <w:ind w:left="851" w:hanging="851"/>
        <w:jc w:val="left"/>
        <w:rPr>
          <w:sz w:val="24"/>
          <w:szCs w:val="24"/>
        </w:rPr>
      </w:pPr>
      <w:r w:rsidRPr="002F38CC">
        <w:rPr>
          <w:rStyle w:val="FootnoteReference"/>
          <w:sz w:val="24"/>
          <w:szCs w:val="24"/>
        </w:rPr>
        <w:footnoteRef/>
      </w:r>
      <w:r w:rsidRPr="002F38CC">
        <w:rPr>
          <w:sz w:val="24"/>
          <w:szCs w:val="24"/>
        </w:rPr>
        <w:tab/>
      </w:r>
      <w:proofErr w:type="spellStart"/>
      <w:r w:rsidRPr="002F38CC">
        <w:rPr>
          <w:sz w:val="24"/>
          <w:szCs w:val="24"/>
        </w:rPr>
        <w:t>Úř</w:t>
      </w:r>
      <w:proofErr w:type="spellEnd"/>
      <w:r w:rsidRPr="002F38CC">
        <w:rPr>
          <w:sz w:val="24"/>
          <w:szCs w:val="24"/>
        </w:rPr>
        <w:t xml:space="preserve">. </w:t>
      </w:r>
      <w:proofErr w:type="spellStart"/>
      <w:proofErr w:type="gramStart"/>
      <w:r w:rsidRPr="002F38CC">
        <w:rPr>
          <w:sz w:val="24"/>
          <w:szCs w:val="24"/>
        </w:rPr>
        <w:t>věst</w:t>
      </w:r>
      <w:proofErr w:type="spellEnd"/>
      <w:proofErr w:type="gramEnd"/>
      <w:r w:rsidRPr="002F38CC">
        <w:rPr>
          <w:sz w:val="24"/>
          <w:szCs w:val="24"/>
        </w:rPr>
        <w:t xml:space="preserve">. C 62, </w:t>
      </w:r>
      <w:proofErr w:type="gramStart"/>
      <w:r w:rsidRPr="002F38CC">
        <w:rPr>
          <w:sz w:val="24"/>
          <w:szCs w:val="24"/>
        </w:rPr>
        <w:t>15.2.2019</w:t>
      </w:r>
      <w:proofErr w:type="gramEnd"/>
      <w:r w:rsidRPr="002F38CC">
        <w:rPr>
          <w:sz w:val="24"/>
          <w:szCs w:val="24"/>
        </w:rPr>
        <w:t>, s. 265.</w:t>
      </w:r>
    </w:p>
  </w:footnote>
  <w:footnote w:id="3">
    <w:p w:rsidR="0051507A" w:rsidRPr="007335F2" w:rsidRDefault="0051507A" w:rsidP="007335F2">
      <w:pPr>
        <w:pStyle w:val="FootnoteText"/>
        <w:ind w:left="851" w:hanging="851"/>
        <w:jc w:val="left"/>
        <w:rPr>
          <w:sz w:val="24"/>
          <w:szCs w:val="24"/>
        </w:rPr>
      </w:pPr>
      <w:r w:rsidRPr="007335F2">
        <w:rPr>
          <w:rStyle w:val="FootnoteReference"/>
          <w:sz w:val="24"/>
          <w:szCs w:val="24"/>
        </w:rPr>
        <w:footnoteRef/>
      </w:r>
      <w:r w:rsidRPr="007335F2">
        <w:rPr>
          <w:sz w:val="24"/>
          <w:szCs w:val="24"/>
        </w:rPr>
        <w:t xml:space="preserve"> </w:t>
      </w:r>
      <w:r w:rsidRPr="007335F2">
        <w:rPr>
          <w:sz w:val="24"/>
          <w:szCs w:val="24"/>
        </w:rPr>
        <w:tab/>
        <w:t>Postoj Evropského parlamentu</w:t>
      </w:r>
      <w:r>
        <w:rPr>
          <w:sz w:val="24"/>
          <w:szCs w:val="24"/>
        </w:rPr>
        <w:t xml:space="preserve"> </w:t>
      </w:r>
      <w:r w:rsidRPr="007335F2">
        <w:rPr>
          <w:sz w:val="24"/>
          <w:szCs w:val="24"/>
        </w:rPr>
        <w:t>ze dne 12. března 2019.</w:t>
      </w:r>
    </w:p>
  </w:footnote>
  <w:footnote w:id="4">
    <w:p w:rsidR="0051507A" w:rsidRPr="007335F2" w:rsidRDefault="0051507A" w:rsidP="007335F2">
      <w:pPr>
        <w:pStyle w:val="FootnoteText"/>
        <w:jc w:val="left"/>
        <w:rPr>
          <w:sz w:val="24"/>
          <w:szCs w:val="24"/>
        </w:rPr>
      </w:pPr>
      <w:r w:rsidRPr="007335F2">
        <w:rPr>
          <w:rStyle w:val="FootnoteReference"/>
          <w:sz w:val="24"/>
          <w:szCs w:val="24"/>
        </w:rPr>
        <w:footnoteRef/>
      </w:r>
      <w:r w:rsidRPr="007335F2">
        <w:rPr>
          <w:sz w:val="24"/>
          <w:szCs w:val="24"/>
        </w:rPr>
        <w:t xml:space="preserve"> </w:t>
      </w:r>
      <w:r w:rsidRPr="007335F2">
        <w:rPr>
          <w:sz w:val="24"/>
          <w:szCs w:val="24"/>
        </w:rPr>
        <w:tab/>
        <w:t>Nařízení Evropského parlamentu a Rady (EU) č. 952/2013 ze dne 9. října 2013 , kterým se stanoví celní kodex Unie (</w:t>
      </w:r>
      <w:proofErr w:type="spellStart"/>
      <w:r w:rsidRPr="007335F2">
        <w:rPr>
          <w:sz w:val="24"/>
          <w:szCs w:val="24"/>
        </w:rPr>
        <w:t>Úř</w:t>
      </w:r>
      <w:proofErr w:type="spellEnd"/>
      <w:r w:rsidRPr="007335F2">
        <w:rPr>
          <w:sz w:val="24"/>
          <w:szCs w:val="24"/>
        </w:rPr>
        <w:t xml:space="preserve">. </w:t>
      </w:r>
      <w:proofErr w:type="spellStart"/>
      <w:proofErr w:type="gramStart"/>
      <w:r w:rsidRPr="007335F2">
        <w:rPr>
          <w:sz w:val="24"/>
          <w:szCs w:val="24"/>
        </w:rPr>
        <w:t>věst</w:t>
      </w:r>
      <w:proofErr w:type="spellEnd"/>
      <w:proofErr w:type="gramEnd"/>
      <w:r w:rsidRPr="007335F2">
        <w:rPr>
          <w:sz w:val="24"/>
          <w:szCs w:val="24"/>
        </w:rPr>
        <w:t xml:space="preserve">. L 269, </w:t>
      </w:r>
      <w:proofErr w:type="gramStart"/>
      <w:r w:rsidRPr="007335F2">
        <w:rPr>
          <w:sz w:val="24"/>
          <w:szCs w:val="24"/>
        </w:rPr>
        <w:t>10.10.2013</w:t>
      </w:r>
      <w:proofErr w:type="gramEnd"/>
      <w:r w:rsidRPr="007335F2">
        <w:rPr>
          <w:sz w:val="24"/>
          <w:szCs w:val="24"/>
        </w:rPr>
        <w:t>, s. 1).</w:t>
      </w:r>
    </w:p>
  </w:footnote>
  <w:footnote w:id="5">
    <w:p w:rsidR="0051507A" w:rsidRPr="002F38CC" w:rsidRDefault="0051507A" w:rsidP="002F38CC">
      <w:pPr>
        <w:pStyle w:val="FootnoteText"/>
        <w:ind w:left="851" w:hanging="851"/>
        <w:jc w:val="left"/>
        <w:rPr>
          <w:sz w:val="24"/>
          <w:szCs w:val="24"/>
        </w:rPr>
      </w:pPr>
      <w:r w:rsidRPr="002F38CC">
        <w:rPr>
          <w:rStyle w:val="FootnoteReference"/>
          <w:sz w:val="24"/>
          <w:szCs w:val="24"/>
        </w:rPr>
        <w:footnoteRef/>
      </w:r>
      <w:r w:rsidRPr="002F38CC">
        <w:rPr>
          <w:sz w:val="24"/>
          <w:szCs w:val="24"/>
        </w:rPr>
        <w:tab/>
        <w:t>Evropský rámec interoperability – Strategie provádění, sdělení Komise Evropskému parlamentu, Radě, Evropskému hospodářskému a sociálnímu výboru a Výboru regionů (</w:t>
      </w:r>
      <w:proofErr w:type="gramStart"/>
      <w:r w:rsidRPr="002F38CC">
        <w:rPr>
          <w:sz w:val="24"/>
          <w:szCs w:val="24"/>
        </w:rPr>
        <w:t>COM(2017</w:t>
      </w:r>
      <w:proofErr w:type="gramEnd"/>
      <w:r w:rsidRPr="002F38CC">
        <w:rPr>
          <w:sz w:val="24"/>
          <w:szCs w:val="24"/>
        </w:rPr>
        <w:t xml:space="preserve">)0134). </w:t>
      </w:r>
    </w:p>
  </w:footnote>
  <w:footnote w:id="6">
    <w:p w:rsidR="0051507A" w:rsidRPr="002F38CC" w:rsidRDefault="0051507A" w:rsidP="002F38CC">
      <w:pPr>
        <w:pStyle w:val="FootnoteText"/>
        <w:ind w:left="851" w:hanging="851"/>
        <w:jc w:val="left"/>
        <w:rPr>
          <w:sz w:val="24"/>
          <w:szCs w:val="24"/>
        </w:rPr>
      </w:pPr>
      <w:r w:rsidRPr="002F38CC">
        <w:rPr>
          <w:rStyle w:val="FootnoteReference"/>
          <w:sz w:val="24"/>
          <w:szCs w:val="24"/>
        </w:rPr>
        <w:footnoteRef/>
      </w:r>
      <w:r w:rsidRPr="002F38CC">
        <w:rPr>
          <w:sz w:val="24"/>
          <w:szCs w:val="24"/>
        </w:rPr>
        <w:tab/>
        <w:t>Nařízení Evropského parlamentu a Rady (ES) č. 765/2008 ze dne 9. července 2008, kterým se stanoví požadavky na akreditaci a dozor nad trhem týkající se uvádění výrobků na trh a kterým se zrušuje nařízení (EHS) č. 339/93 (</w:t>
      </w:r>
      <w:proofErr w:type="spellStart"/>
      <w:r w:rsidRPr="002F38CC">
        <w:rPr>
          <w:sz w:val="24"/>
          <w:szCs w:val="24"/>
        </w:rPr>
        <w:t>Úř</w:t>
      </w:r>
      <w:proofErr w:type="spellEnd"/>
      <w:r w:rsidRPr="002F38CC">
        <w:rPr>
          <w:sz w:val="24"/>
          <w:szCs w:val="24"/>
        </w:rPr>
        <w:t xml:space="preserve">. </w:t>
      </w:r>
      <w:proofErr w:type="spellStart"/>
      <w:proofErr w:type="gramStart"/>
      <w:r w:rsidRPr="002F38CC">
        <w:rPr>
          <w:sz w:val="24"/>
          <w:szCs w:val="24"/>
        </w:rPr>
        <w:t>věst</w:t>
      </w:r>
      <w:proofErr w:type="spellEnd"/>
      <w:proofErr w:type="gramEnd"/>
      <w:r w:rsidRPr="002F38CC">
        <w:rPr>
          <w:sz w:val="24"/>
          <w:szCs w:val="24"/>
        </w:rPr>
        <w:t xml:space="preserve">. L 218, </w:t>
      </w:r>
      <w:proofErr w:type="gramStart"/>
      <w:r w:rsidRPr="002F38CC">
        <w:rPr>
          <w:sz w:val="24"/>
          <w:szCs w:val="24"/>
        </w:rPr>
        <w:t>13.8.2008</w:t>
      </w:r>
      <w:proofErr w:type="gramEnd"/>
      <w:r w:rsidRPr="002F38CC">
        <w:rPr>
          <w:sz w:val="24"/>
          <w:szCs w:val="24"/>
        </w:rPr>
        <w:t>, s. 30).</w:t>
      </w:r>
    </w:p>
  </w:footnote>
  <w:footnote w:id="7">
    <w:p w:rsidR="0051507A" w:rsidRPr="007335F2" w:rsidRDefault="0051507A" w:rsidP="002F38CC">
      <w:pPr>
        <w:pStyle w:val="FootnoteText"/>
        <w:ind w:left="851" w:hanging="851"/>
        <w:jc w:val="left"/>
        <w:rPr>
          <w:strike/>
          <w:sz w:val="24"/>
          <w:szCs w:val="24"/>
        </w:rPr>
      </w:pPr>
      <w:r w:rsidRPr="007335F2">
        <w:rPr>
          <w:rStyle w:val="FootnoteReference"/>
          <w:strike/>
          <w:sz w:val="24"/>
          <w:szCs w:val="24"/>
        </w:rPr>
        <w:footnoteRef/>
      </w:r>
      <w:r w:rsidRPr="007335F2">
        <w:rPr>
          <w:strike/>
          <w:sz w:val="24"/>
          <w:szCs w:val="24"/>
        </w:rPr>
        <w:tab/>
        <w:t>Nařízení Evropského parlamentu a Rady (EU) č. 182/2011 ze dne 16. února 2011, kterým se stanoví pravidla a obecné zásady způsobu, jakým členské státy kontrolují Komisi při výkonu prováděcích pravomocí (</w:t>
      </w:r>
      <w:proofErr w:type="spellStart"/>
      <w:r w:rsidRPr="007335F2">
        <w:rPr>
          <w:strike/>
          <w:sz w:val="24"/>
          <w:szCs w:val="24"/>
        </w:rPr>
        <w:t>Úř</w:t>
      </w:r>
      <w:proofErr w:type="spellEnd"/>
      <w:r w:rsidRPr="007335F2">
        <w:rPr>
          <w:strike/>
          <w:sz w:val="24"/>
          <w:szCs w:val="24"/>
        </w:rPr>
        <w:t xml:space="preserve">. </w:t>
      </w:r>
      <w:proofErr w:type="spellStart"/>
      <w:proofErr w:type="gramStart"/>
      <w:r w:rsidRPr="007335F2">
        <w:rPr>
          <w:strike/>
          <w:sz w:val="24"/>
          <w:szCs w:val="24"/>
        </w:rPr>
        <w:t>věst</w:t>
      </w:r>
      <w:proofErr w:type="spellEnd"/>
      <w:proofErr w:type="gramEnd"/>
      <w:r w:rsidRPr="007335F2">
        <w:rPr>
          <w:strike/>
          <w:sz w:val="24"/>
          <w:szCs w:val="24"/>
        </w:rPr>
        <w:t xml:space="preserve">. L 55, </w:t>
      </w:r>
      <w:proofErr w:type="gramStart"/>
      <w:r w:rsidRPr="007335F2">
        <w:rPr>
          <w:strike/>
          <w:sz w:val="24"/>
          <w:szCs w:val="24"/>
        </w:rPr>
        <w:t>28.2.2011</w:t>
      </w:r>
      <w:proofErr w:type="gramEnd"/>
      <w:r w:rsidRPr="007335F2">
        <w:rPr>
          <w:strike/>
          <w:sz w:val="24"/>
          <w:szCs w:val="24"/>
        </w:rPr>
        <w:t>, s. 13).</w:t>
      </w:r>
    </w:p>
  </w:footnote>
  <w:footnote w:id="8">
    <w:p w:rsidR="0051507A" w:rsidRPr="002F38CC" w:rsidRDefault="0051507A" w:rsidP="007335F2">
      <w:pPr>
        <w:pStyle w:val="FootnoteText"/>
        <w:ind w:left="851" w:hanging="851"/>
        <w:jc w:val="left"/>
        <w:rPr>
          <w:sz w:val="24"/>
          <w:szCs w:val="24"/>
        </w:rPr>
      </w:pPr>
      <w:r w:rsidRPr="002F38CC">
        <w:rPr>
          <w:rStyle w:val="FootnoteReference"/>
          <w:sz w:val="24"/>
          <w:szCs w:val="24"/>
        </w:rPr>
        <w:footnoteRef/>
      </w:r>
      <w:r w:rsidRPr="002F38CC">
        <w:rPr>
          <w:sz w:val="24"/>
          <w:szCs w:val="24"/>
        </w:rPr>
        <w:tab/>
      </w:r>
      <w:proofErr w:type="spellStart"/>
      <w:r w:rsidRPr="002F38CC">
        <w:rPr>
          <w:sz w:val="24"/>
          <w:szCs w:val="24"/>
        </w:rPr>
        <w:t>Úř</w:t>
      </w:r>
      <w:proofErr w:type="spellEnd"/>
      <w:r w:rsidRPr="002F38CC">
        <w:rPr>
          <w:sz w:val="24"/>
          <w:szCs w:val="24"/>
        </w:rPr>
        <w:t>. </w:t>
      </w:r>
      <w:proofErr w:type="spellStart"/>
      <w:proofErr w:type="gramStart"/>
      <w:r w:rsidRPr="002F38CC">
        <w:rPr>
          <w:sz w:val="24"/>
          <w:szCs w:val="24"/>
        </w:rPr>
        <w:t>věst</w:t>
      </w:r>
      <w:proofErr w:type="spellEnd"/>
      <w:proofErr w:type="gramEnd"/>
      <w:r w:rsidRPr="002F38CC">
        <w:rPr>
          <w:sz w:val="24"/>
          <w:szCs w:val="24"/>
        </w:rPr>
        <w:t xml:space="preserve">. L 123, </w:t>
      </w:r>
      <w:proofErr w:type="gramStart"/>
      <w:r w:rsidRPr="002F38CC">
        <w:rPr>
          <w:sz w:val="24"/>
          <w:szCs w:val="24"/>
        </w:rPr>
        <w:t>12.5.2016</w:t>
      </w:r>
      <w:proofErr w:type="gramEnd"/>
      <w:r w:rsidRPr="002F38CC">
        <w:rPr>
          <w:sz w:val="24"/>
          <w:szCs w:val="24"/>
        </w:rPr>
        <w:t>, s. 1.</w:t>
      </w:r>
    </w:p>
  </w:footnote>
  <w:footnote w:id="9">
    <w:p w:rsidR="0051507A" w:rsidRPr="002F38CC" w:rsidRDefault="0051507A" w:rsidP="002F38CC">
      <w:pPr>
        <w:pStyle w:val="FootnoteText"/>
        <w:ind w:left="851" w:hanging="851"/>
        <w:jc w:val="left"/>
        <w:rPr>
          <w:sz w:val="24"/>
          <w:szCs w:val="24"/>
        </w:rPr>
      </w:pPr>
      <w:r w:rsidRPr="002F38CC">
        <w:rPr>
          <w:rStyle w:val="FootnoteReference"/>
          <w:sz w:val="24"/>
          <w:szCs w:val="24"/>
        </w:rPr>
        <w:footnoteRef/>
      </w:r>
      <w:r w:rsidRPr="002F38CC">
        <w:rPr>
          <w:sz w:val="24"/>
          <w:szCs w:val="24"/>
        </w:rPr>
        <w:tab/>
        <w:t>Nařízení Evropského parlamentu a Rady (EU) 2016/679 ze dne 27. dubna 2016 o ochraně fyzických osob v souvislosti se zpracováním osobních údajů a o volném pohybu těchto údajů a o zrušení směrnice 95/46/ES (obecné nařízení o ochraně osobních údajů) (</w:t>
      </w:r>
      <w:proofErr w:type="spellStart"/>
      <w:r w:rsidRPr="002F38CC">
        <w:rPr>
          <w:sz w:val="24"/>
          <w:szCs w:val="24"/>
        </w:rPr>
        <w:t>Úř</w:t>
      </w:r>
      <w:proofErr w:type="spellEnd"/>
      <w:r w:rsidRPr="002F38CC">
        <w:rPr>
          <w:sz w:val="24"/>
          <w:szCs w:val="24"/>
        </w:rPr>
        <w:t xml:space="preserve">. </w:t>
      </w:r>
      <w:proofErr w:type="spellStart"/>
      <w:proofErr w:type="gramStart"/>
      <w:r w:rsidRPr="002F38CC">
        <w:rPr>
          <w:sz w:val="24"/>
          <w:szCs w:val="24"/>
        </w:rPr>
        <w:t>věst</w:t>
      </w:r>
      <w:proofErr w:type="spellEnd"/>
      <w:proofErr w:type="gramEnd"/>
      <w:r w:rsidRPr="002F38CC">
        <w:rPr>
          <w:sz w:val="24"/>
          <w:szCs w:val="24"/>
        </w:rPr>
        <w:t xml:space="preserve">. L 119, </w:t>
      </w:r>
      <w:proofErr w:type="gramStart"/>
      <w:r w:rsidRPr="002F38CC">
        <w:rPr>
          <w:sz w:val="24"/>
          <w:szCs w:val="24"/>
        </w:rPr>
        <w:t>4.5.2016</w:t>
      </w:r>
      <w:proofErr w:type="gramEnd"/>
      <w:r w:rsidRPr="002F38CC">
        <w:rPr>
          <w:sz w:val="24"/>
          <w:szCs w:val="24"/>
        </w:rPr>
        <w:t>, s. 1).</w:t>
      </w:r>
    </w:p>
  </w:footnote>
  <w:footnote w:id="10">
    <w:p w:rsidR="0051507A" w:rsidRPr="002F38CC" w:rsidRDefault="0051507A" w:rsidP="002F38CC">
      <w:pPr>
        <w:pStyle w:val="FootnoteText"/>
        <w:ind w:left="851" w:hanging="851"/>
        <w:jc w:val="left"/>
        <w:rPr>
          <w:sz w:val="24"/>
          <w:szCs w:val="24"/>
        </w:rPr>
      </w:pPr>
      <w:r w:rsidRPr="002F38CC">
        <w:rPr>
          <w:rStyle w:val="FootnoteReference"/>
          <w:sz w:val="24"/>
          <w:szCs w:val="24"/>
        </w:rPr>
        <w:footnoteRef/>
      </w:r>
      <w:r w:rsidRPr="002F38CC">
        <w:rPr>
          <w:sz w:val="24"/>
          <w:szCs w:val="24"/>
        </w:rPr>
        <w:tab/>
        <w:t>Nařízení Evropského parlamentu a Rady (ES) č. 45/2001 ze dne 18. prosince 2000 o ochraně fyzických osob v souvislosti se zpracováním osobních údajů orgány a institucemi Společenství a o volném pohybu těchto údajů (</w:t>
      </w:r>
      <w:proofErr w:type="spellStart"/>
      <w:r w:rsidRPr="002F38CC">
        <w:rPr>
          <w:sz w:val="24"/>
          <w:szCs w:val="24"/>
        </w:rPr>
        <w:t>Úř</w:t>
      </w:r>
      <w:proofErr w:type="spellEnd"/>
      <w:r w:rsidRPr="002F38CC">
        <w:rPr>
          <w:sz w:val="24"/>
          <w:szCs w:val="24"/>
        </w:rPr>
        <w:t xml:space="preserve">. </w:t>
      </w:r>
      <w:proofErr w:type="spellStart"/>
      <w:proofErr w:type="gramStart"/>
      <w:r w:rsidRPr="002F38CC">
        <w:rPr>
          <w:sz w:val="24"/>
          <w:szCs w:val="24"/>
        </w:rPr>
        <w:t>věst</w:t>
      </w:r>
      <w:proofErr w:type="spellEnd"/>
      <w:proofErr w:type="gramEnd"/>
      <w:r w:rsidRPr="002F38CC">
        <w:rPr>
          <w:sz w:val="24"/>
          <w:szCs w:val="24"/>
        </w:rPr>
        <w:t xml:space="preserve">. L 8, </w:t>
      </w:r>
      <w:proofErr w:type="gramStart"/>
      <w:r w:rsidRPr="002F38CC">
        <w:rPr>
          <w:sz w:val="24"/>
          <w:szCs w:val="24"/>
        </w:rPr>
        <w:t>12.1.2001</w:t>
      </w:r>
      <w:proofErr w:type="gramEnd"/>
      <w:r w:rsidRPr="002F38CC">
        <w:rPr>
          <w:sz w:val="24"/>
          <w:szCs w:val="24"/>
        </w:rPr>
        <w:t>, s. 1).</w:t>
      </w:r>
    </w:p>
  </w:footnote>
  <w:footnote w:id="11">
    <w:p w:rsidR="0051507A" w:rsidRPr="002F38CC" w:rsidRDefault="0051507A" w:rsidP="002F38CC">
      <w:pPr>
        <w:pStyle w:val="FootnoteText"/>
        <w:ind w:left="851" w:hanging="851"/>
        <w:jc w:val="left"/>
        <w:rPr>
          <w:sz w:val="24"/>
          <w:szCs w:val="24"/>
        </w:rPr>
      </w:pPr>
      <w:r w:rsidRPr="002F38CC">
        <w:rPr>
          <w:rStyle w:val="FootnoteReference"/>
          <w:sz w:val="24"/>
          <w:szCs w:val="24"/>
        </w:rPr>
        <w:footnoteRef/>
      </w:r>
      <w:r w:rsidRPr="002F38CC">
        <w:rPr>
          <w:sz w:val="24"/>
          <w:szCs w:val="24"/>
        </w:rPr>
        <w:tab/>
      </w:r>
      <w:proofErr w:type="spellStart"/>
      <w:r w:rsidRPr="002F38CC">
        <w:rPr>
          <w:sz w:val="24"/>
          <w:szCs w:val="24"/>
        </w:rPr>
        <w:t>Úř</w:t>
      </w:r>
      <w:proofErr w:type="spellEnd"/>
      <w:r w:rsidRPr="002F38CC">
        <w:rPr>
          <w:sz w:val="24"/>
          <w:szCs w:val="24"/>
        </w:rPr>
        <w:t xml:space="preserve">. </w:t>
      </w:r>
      <w:proofErr w:type="spellStart"/>
      <w:proofErr w:type="gramStart"/>
      <w:r w:rsidRPr="002F38CC">
        <w:rPr>
          <w:sz w:val="24"/>
          <w:szCs w:val="24"/>
        </w:rPr>
        <w:t>věst</w:t>
      </w:r>
      <w:proofErr w:type="spellEnd"/>
      <w:proofErr w:type="gramEnd"/>
      <w:r w:rsidRPr="002F38CC">
        <w:rPr>
          <w:sz w:val="24"/>
          <w:szCs w:val="24"/>
        </w:rPr>
        <w:t>. C …</w:t>
      </w:r>
    </w:p>
  </w:footnote>
  <w:footnote w:id="12">
    <w:p w:rsidR="0051507A" w:rsidRPr="007335F2" w:rsidRDefault="0051507A" w:rsidP="007335F2">
      <w:pPr>
        <w:pStyle w:val="FootnoteText"/>
        <w:jc w:val="left"/>
        <w:rPr>
          <w:sz w:val="24"/>
          <w:szCs w:val="24"/>
        </w:rPr>
      </w:pPr>
      <w:r w:rsidRPr="007335F2">
        <w:rPr>
          <w:rStyle w:val="FootnoteReference"/>
          <w:sz w:val="24"/>
          <w:szCs w:val="24"/>
        </w:rPr>
        <w:footnoteRef/>
      </w:r>
      <w:r w:rsidRPr="007335F2">
        <w:rPr>
          <w:sz w:val="24"/>
          <w:szCs w:val="24"/>
        </w:rPr>
        <w:tab/>
        <w:t xml:space="preserve">Odkazy na ADR, RID a ADN je nutno chápat ve smyslu čl. 2 odst. 1, 2 a 3 směrnice 2008/68/ES. Čísla, na která se odkazuje, jsou čísla příslušných příloh ADR, RID a ADN.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A666BB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EDA6825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4C060614"/>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36F236F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16C195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DBC20B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79E340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15F2546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num>
  <w:num w:numId="12">
    <w:abstractNumId w:val="14"/>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_RefLast" w:val="0"/>
    <w:docVar w:name="DQCDateTime" w:val="2018-06-04 09:35:5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97344507-6A08-4CA0-BE8B-F75CB7D0CDC8"/>
    <w:docVar w:name="LW_COVERPAGE_TYPE" w:val="1"/>
    <w:docVar w:name="LW_CROSSREFERENCE" w:val="{SEC(2018) 231 final}_x000b_{SWD(2018) 183 final}_x000b_{SWD(2018) 184 final}"/>
    <w:docVar w:name="LW_DocType" w:val="COM"/>
    <w:docVar w:name="LW_EMISSION" w:val="17.5.2018"/>
    <w:docVar w:name="LW_EMISSION_ISODATE" w:val="2018-05-17"/>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em pro EHP)"/>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140"/>
    <w:docVar w:name="LW_REF.II.NEW.CP_YEAR" w:val="2018"/>
    <w:docVar w:name="LW_REF.INST.NEW" w:val="COM"/>
    <w:docVar w:name="LW_REF.INST.NEW_ADOPTED" w:val="final"/>
    <w:docVar w:name="LW_REF.INST.NEW_TEXT" w:val="(2018) 2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elektronických informacích o nákladní doprav\u283? "/>
    <w:docVar w:name="LW_TYPE.DOC.CP" w:val="NA\u344?ÍZENÍ EVROPSKÉHO PARLAMENTU A RADY"/>
  </w:docVars>
  <w:rsids>
    <w:rsidRoot w:val="008522C8"/>
    <w:rsid w:val="000C3F0A"/>
    <w:rsid w:val="002F38CC"/>
    <w:rsid w:val="00334B17"/>
    <w:rsid w:val="0046539D"/>
    <w:rsid w:val="0051507A"/>
    <w:rsid w:val="006024A9"/>
    <w:rsid w:val="00650054"/>
    <w:rsid w:val="007335F2"/>
    <w:rsid w:val="007F181D"/>
    <w:rsid w:val="008522C8"/>
    <w:rsid w:val="00886BA6"/>
    <w:rsid w:val="0089496B"/>
    <w:rsid w:val="008F02B0"/>
    <w:rsid w:val="009104DB"/>
    <w:rsid w:val="00B15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CAD832B"/>
  <w15:docId w15:val="{F420F9E4-DD6E-4554-A871-85B91712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cs-CZ"/>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customStyle="1" w:styleId="Mainbidtables">
    <w:name w:val="Main bid tables"/>
    <w:basedOn w:val="TableNormal"/>
    <w:uiPriority w:val="99"/>
    <w:pPr>
      <w:spacing w:before="60" w:after="0" w:line="240" w:lineRule="auto"/>
    </w:pPr>
    <w:rPr>
      <w:rFonts w:ascii="Arial" w:eastAsia="Times New Roman" w:hAnsi="Arial" w:cs="Times New Roman"/>
      <w:sz w:val="20"/>
      <w:szCs w:val="20"/>
      <w:lang w:val="en-GB" w:eastAsia="en-GB" w:bidi="ar-SA"/>
    </w:rPr>
    <w:tblPr>
      <w:tblStyleRowBandSize w:val="1"/>
      <w:tblStyleColBandSize w:val="1"/>
      <w:tblBorders>
        <w:left w:val="single" w:sz="4" w:space="0" w:color="0055A0"/>
        <w:bottom w:val="single" w:sz="4" w:space="0" w:color="0055A0"/>
        <w:right w:val="single" w:sz="4" w:space="0" w:color="0055A0"/>
        <w:insideV w:val="single" w:sz="4" w:space="0" w:color="0055A0"/>
      </w:tblBorders>
    </w:tblPr>
    <w:tcPr>
      <w:vAlign w:val="center"/>
    </w:tcPr>
    <w:tblStylePr w:type="firstRow">
      <w:rPr>
        <w:color w:val="FFFFFF" w:themeColor="background1"/>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hemeFill="background1"/>
      </w:tcPr>
    </w:tblStyle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character" w:customStyle="1" w:styleId="HideTWBExt">
    <w:name w:val="HideTWBExt"/>
    <w:rsid w:val="0046539D"/>
    <w:rPr>
      <w:rFonts w:ascii="Arial" w:hAnsi="Arial"/>
      <w:noProof/>
      <w:vanish/>
      <w:color w:val="000080"/>
      <w:sz w:val="20"/>
    </w:rPr>
  </w:style>
  <w:style w:type="paragraph" w:customStyle="1" w:styleId="Normal12">
    <w:name w:val="Normal12"/>
    <w:basedOn w:val="Normal"/>
    <w:qFormat/>
    <w:rsid w:val="0046539D"/>
    <w:pPr>
      <w:widowControl w:val="0"/>
      <w:spacing w:before="0" w:after="240"/>
      <w:jc w:val="left"/>
    </w:pPr>
    <w:rPr>
      <w:rFonts w:eastAsia="Times New Roman"/>
      <w:szCs w:val="20"/>
      <w:lang w:eastAsia="en-GB" w:bidi="ar-SA"/>
    </w:rPr>
  </w:style>
  <w:style w:type="paragraph" w:customStyle="1" w:styleId="Normal12Bold">
    <w:name w:val="Normal12Bold"/>
    <w:basedOn w:val="Normal12"/>
    <w:rsid w:val="0046539D"/>
    <w:rPr>
      <w:b/>
    </w:rPr>
  </w:style>
  <w:style w:type="paragraph" w:customStyle="1" w:styleId="Normal12Hanging">
    <w:name w:val="Normal12Hanging"/>
    <w:basedOn w:val="Normal12"/>
    <w:rsid w:val="0046539D"/>
    <w:pPr>
      <w:ind w:left="567" w:hanging="567"/>
    </w:pPr>
  </w:style>
  <w:style w:type="paragraph" w:customStyle="1" w:styleId="ZSessionDoc">
    <w:name w:val="ZSessionDoc"/>
    <w:basedOn w:val="Normal"/>
    <w:next w:val="Normal"/>
    <w:rsid w:val="0046539D"/>
    <w:pPr>
      <w:widowControl w:val="0"/>
      <w:spacing w:before="0" w:after="0"/>
      <w:jc w:val="center"/>
    </w:pPr>
    <w:rPr>
      <w:rFonts w:ascii="Arial" w:eastAsia="Times New Roman" w:hAnsi="Arial" w:cs="Arial"/>
      <w:i/>
      <w:sz w:val="22"/>
      <w:lang w:eastAsia="en-GB" w:bidi="ar-SA"/>
    </w:rPr>
  </w:style>
  <w:style w:type="paragraph" w:customStyle="1" w:styleId="LineTop">
    <w:name w:val="LineTop"/>
    <w:basedOn w:val="Normal"/>
    <w:next w:val="ZSessionDoc"/>
    <w:rsid w:val="0046539D"/>
    <w:pPr>
      <w:widowControl w:val="0"/>
      <w:pBdr>
        <w:top w:val="single" w:sz="4" w:space="1" w:color="auto"/>
      </w:pBdr>
      <w:spacing w:before="0" w:after="0"/>
      <w:jc w:val="center"/>
    </w:pPr>
    <w:rPr>
      <w:rFonts w:ascii="Arial" w:eastAsia="Times New Roman" w:hAnsi="Arial"/>
      <w:sz w:val="16"/>
      <w:szCs w:val="16"/>
      <w:lang w:val="fr-FR" w:eastAsia="en-GB" w:bidi="ar-SA"/>
    </w:rPr>
  </w:style>
  <w:style w:type="paragraph" w:customStyle="1" w:styleId="LineBottom">
    <w:name w:val="LineBottom"/>
    <w:basedOn w:val="Normal"/>
    <w:next w:val="Normal"/>
    <w:rsid w:val="0046539D"/>
    <w:pPr>
      <w:widowControl w:val="0"/>
      <w:pBdr>
        <w:bottom w:val="single" w:sz="4" w:space="1" w:color="auto"/>
      </w:pBdr>
      <w:spacing w:before="0" w:after="240"/>
      <w:jc w:val="center"/>
    </w:pPr>
    <w:rPr>
      <w:rFonts w:ascii="Arial" w:eastAsia="Times New Roman" w:hAnsi="Arial"/>
      <w:sz w:val="16"/>
      <w:szCs w:val="16"/>
      <w:lang w:eastAsia="en-GB" w:bidi="ar-SA"/>
    </w:rPr>
  </w:style>
  <w:style w:type="paragraph" w:customStyle="1" w:styleId="ATHeading1">
    <w:name w:val="AT Heading 1"/>
    <w:basedOn w:val="Normal"/>
    <w:next w:val="Normal"/>
    <w:rsid w:val="0046539D"/>
    <w:pPr>
      <w:keepNext/>
      <w:keepLines/>
      <w:spacing w:before="480"/>
      <w:jc w:val="left"/>
      <w:outlineLvl w:val="0"/>
    </w:pPr>
    <w:rPr>
      <w:rFonts w:eastAsia="Times New Roman"/>
      <w:b/>
      <w:noProof/>
      <w:sz w:val="28"/>
      <w:szCs w:val="20"/>
      <w:lang w:val="fr-FR" w:eastAsia="fr-FR" w:bidi="ar-SA"/>
    </w:rPr>
  </w:style>
  <w:style w:type="paragraph" w:customStyle="1" w:styleId="ATHeading2">
    <w:name w:val="AT Heading 2"/>
    <w:basedOn w:val="Normal"/>
    <w:next w:val="Normal"/>
    <w:rsid w:val="0046539D"/>
    <w:pPr>
      <w:jc w:val="left"/>
      <w:outlineLvl w:val="1"/>
    </w:pPr>
    <w:rPr>
      <w:rFonts w:eastAsia="Times New Roman"/>
      <w:b/>
      <w:noProof/>
      <w:sz w:val="28"/>
      <w:szCs w:val="20"/>
      <w:lang w:val="fr-FR" w:eastAsia="fr-FR" w:bidi="ar-SA"/>
    </w:rPr>
  </w:style>
  <w:style w:type="paragraph" w:customStyle="1" w:styleId="ATHeading3">
    <w:name w:val="AT Heading 3"/>
    <w:basedOn w:val="Normal"/>
    <w:next w:val="Normal"/>
    <w:rsid w:val="0046539D"/>
    <w:pPr>
      <w:keepNext/>
      <w:keepLines/>
      <w:jc w:val="left"/>
      <w:outlineLvl w:val="2"/>
    </w:pPr>
    <w:rPr>
      <w:rFonts w:eastAsia="Times New Roman"/>
      <w:b/>
      <w:noProof/>
      <w:szCs w:val="20"/>
      <w:lang w:val="fr-FR" w:eastAsia="fr-FR" w:bidi="ar-SA"/>
    </w:rPr>
  </w:style>
  <w:style w:type="paragraph" w:customStyle="1" w:styleId="EPName">
    <w:name w:val="EPName"/>
    <w:basedOn w:val="Normal"/>
    <w:rsid w:val="0046539D"/>
    <w:pPr>
      <w:widowControl w:val="0"/>
      <w:spacing w:before="80" w:after="80"/>
      <w:jc w:val="left"/>
    </w:pPr>
    <w:rPr>
      <w:rFonts w:ascii="Arial Narrow" w:eastAsia="Times New Roman" w:hAnsi="Arial Narrow" w:cs="Arial"/>
      <w:b/>
      <w:color w:val="000000"/>
      <w:sz w:val="32"/>
      <w:lang w:val="fr-FR" w:eastAsia="en-GB" w:bidi="ar-SA"/>
    </w:rPr>
  </w:style>
  <w:style w:type="paragraph" w:customStyle="1" w:styleId="EPTerm">
    <w:name w:val="EPTerm"/>
    <w:basedOn w:val="Normal"/>
    <w:next w:val="Normal"/>
    <w:rsid w:val="0046539D"/>
    <w:pPr>
      <w:widowControl w:val="0"/>
      <w:spacing w:before="0" w:after="80"/>
      <w:jc w:val="left"/>
    </w:pPr>
    <w:rPr>
      <w:rFonts w:ascii="Arial" w:eastAsia="Times New Roman" w:hAnsi="Arial" w:cs="Arial"/>
      <w:sz w:val="20"/>
      <w:lang w:val="fr-FR" w:eastAsia="en-GB" w:bidi="ar-SA"/>
    </w:rPr>
  </w:style>
  <w:style w:type="paragraph" w:customStyle="1" w:styleId="EPLogo">
    <w:name w:val="EPLogo"/>
    <w:basedOn w:val="Normal"/>
    <w:qFormat/>
    <w:rsid w:val="0046539D"/>
    <w:pPr>
      <w:widowControl w:val="0"/>
      <w:spacing w:before="0" w:after="0"/>
      <w:jc w:val="right"/>
    </w:pPr>
    <w:rPr>
      <w:rFonts w:eastAsia="Times New Roman"/>
      <w:szCs w:val="20"/>
      <w:lang w:eastAsia="en-GB" w:bidi="ar-SA"/>
    </w:rPr>
  </w:style>
  <w:style w:type="paragraph" w:customStyle="1" w:styleId="AMNumberTabs">
    <w:name w:val="AMNumberTabs"/>
    <w:basedOn w:val="Normal"/>
    <w:rsid w:val="0046539D"/>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jc w:val="left"/>
    </w:pPr>
    <w:rPr>
      <w:rFonts w:eastAsia="Times New Roman"/>
      <w:b/>
      <w:szCs w:val="20"/>
      <w:lang w:eastAsia="en-GB" w:bidi="ar-SA"/>
    </w:rPr>
  </w:style>
  <w:style w:type="character" w:customStyle="1" w:styleId="st">
    <w:name w:val="st"/>
    <w:basedOn w:val="DefaultParagraphFont"/>
    <w:rsid w:val="00334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3042">
      <w:bodyDiv w:val="1"/>
      <w:marLeft w:val="0"/>
      <w:marRight w:val="0"/>
      <w:marTop w:val="0"/>
      <w:marBottom w:val="0"/>
      <w:divBdr>
        <w:top w:val="none" w:sz="0" w:space="0" w:color="auto"/>
        <w:left w:val="none" w:sz="0" w:space="0" w:color="auto"/>
        <w:bottom w:val="none" w:sz="0" w:space="0" w:color="auto"/>
        <w:right w:val="none" w:sz="0" w:space="0" w:color="auto"/>
      </w:divBdr>
      <w:divsChild>
        <w:div w:id="1562400464">
          <w:marLeft w:val="0"/>
          <w:marRight w:val="0"/>
          <w:marTop w:val="0"/>
          <w:marBottom w:val="0"/>
          <w:divBdr>
            <w:top w:val="none" w:sz="0" w:space="0" w:color="auto"/>
            <w:left w:val="none" w:sz="0" w:space="0" w:color="auto"/>
            <w:bottom w:val="none" w:sz="0" w:space="0" w:color="auto"/>
            <w:right w:val="none" w:sz="0" w:space="0" w:color="auto"/>
          </w:divBdr>
          <w:divsChild>
            <w:div w:id="559946790">
              <w:marLeft w:val="0"/>
              <w:marRight w:val="0"/>
              <w:marTop w:val="0"/>
              <w:marBottom w:val="0"/>
              <w:divBdr>
                <w:top w:val="none" w:sz="0" w:space="0" w:color="auto"/>
                <w:left w:val="none" w:sz="0" w:space="0" w:color="auto"/>
                <w:bottom w:val="none" w:sz="0" w:space="0" w:color="auto"/>
                <w:right w:val="none" w:sz="0" w:space="0" w:color="auto"/>
              </w:divBdr>
              <w:divsChild>
                <w:div w:id="853880466">
                  <w:marLeft w:val="0"/>
                  <w:marRight w:val="0"/>
                  <w:marTop w:val="0"/>
                  <w:marBottom w:val="0"/>
                  <w:divBdr>
                    <w:top w:val="none" w:sz="0" w:space="0" w:color="auto"/>
                    <w:left w:val="none" w:sz="0" w:space="0" w:color="auto"/>
                    <w:bottom w:val="none" w:sz="0" w:space="0" w:color="auto"/>
                    <w:right w:val="none" w:sz="0" w:space="0" w:color="auto"/>
                  </w:divBdr>
                  <w:divsChild>
                    <w:div w:id="115687069">
                      <w:marLeft w:val="0"/>
                      <w:marRight w:val="0"/>
                      <w:marTop w:val="0"/>
                      <w:marBottom w:val="0"/>
                      <w:divBdr>
                        <w:top w:val="none" w:sz="0" w:space="0" w:color="auto"/>
                        <w:left w:val="none" w:sz="0" w:space="0" w:color="auto"/>
                        <w:bottom w:val="none" w:sz="0" w:space="0" w:color="auto"/>
                        <w:right w:val="none" w:sz="0" w:space="0" w:color="auto"/>
                      </w:divBdr>
                      <w:divsChild>
                        <w:div w:id="1138836755">
                          <w:marLeft w:val="0"/>
                          <w:marRight w:val="0"/>
                          <w:marTop w:val="0"/>
                          <w:marBottom w:val="0"/>
                          <w:divBdr>
                            <w:top w:val="none" w:sz="0" w:space="0" w:color="auto"/>
                            <w:left w:val="none" w:sz="0" w:space="0" w:color="auto"/>
                            <w:bottom w:val="none" w:sz="0" w:space="0" w:color="auto"/>
                            <w:right w:val="none" w:sz="0" w:space="0" w:color="auto"/>
                          </w:divBdr>
                          <w:divsChild>
                            <w:div w:id="1464812327">
                              <w:marLeft w:val="0"/>
                              <w:marRight w:val="0"/>
                              <w:marTop w:val="15"/>
                              <w:marBottom w:val="0"/>
                              <w:divBdr>
                                <w:top w:val="none" w:sz="0" w:space="0" w:color="auto"/>
                                <w:left w:val="none" w:sz="0" w:space="0" w:color="auto"/>
                                <w:bottom w:val="none" w:sz="0" w:space="0" w:color="auto"/>
                                <w:right w:val="none" w:sz="0" w:space="0" w:color="auto"/>
                              </w:divBdr>
                              <w:divsChild>
                                <w:div w:id="1314526915">
                                  <w:marLeft w:val="0"/>
                                  <w:marRight w:val="0"/>
                                  <w:marTop w:val="0"/>
                                  <w:marBottom w:val="0"/>
                                  <w:divBdr>
                                    <w:top w:val="none" w:sz="0" w:space="0" w:color="auto"/>
                                    <w:left w:val="none" w:sz="0" w:space="0" w:color="auto"/>
                                    <w:bottom w:val="none" w:sz="0" w:space="0" w:color="auto"/>
                                    <w:right w:val="none" w:sz="0" w:space="0" w:color="auto"/>
                                  </w:divBdr>
                                  <w:divsChild>
                                    <w:div w:id="974219663">
                                      <w:marLeft w:val="0"/>
                                      <w:marRight w:val="0"/>
                                      <w:marTop w:val="0"/>
                                      <w:marBottom w:val="0"/>
                                      <w:divBdr>
                                        <w:top w:val="none" w:sz="0" w:space="0" w:color="auto"/>
                                        <w:left w:val="none" w:sz="0" w:space="0" w:color="auto"/>
                                        <w:bottom w:val="none" w:sz="0" w:space="0" w:color="auto"/>
                                        <w:right w:val="none" w:sz="0" w:space="0" w:color="auto"/>
                                      </w:divBdr>
                                    </w:div>
                                    <w:div w:id="725105430">
                                      <w:marLeft w:val="0"/>
                                      <w:marRight w:val="0"/>
                                      <w:marTop w:val="0"/>
                                      <w:marBottom w:val="0"/>
                                      <w:divBdr>
                                        <w:top w:val="none" w:sz="0" w:space="0" w:color="auto"/>
                                        <w:left w:val="none" w:sz="0" w:space="0" w:color="auto"/>
                                        <w:bottom w:val="none" w:sz="0" w:space="0" w:color="auto"/>
                                        <w:right w:val="none" w:sz="0" w:space="0" w:color="auto"/>
                                      </w:divBdr>
                                    </w:div>
                                    <w:div w:id="1189760549">
                                      <w:marLeft w:val="0"/>
                                      <w:marRight w:val="0"/>
                                      <w:marTop w:val="0"/>
                                      <w:marBottom w:val="0"/>
                                      <w:divBdr>
                                        <w:top w:val="none" w:sz="0" w:space="0" w:color="auto"/>
                                        <w:left w:val="none" w:sz="0" w:space="0" w:color="auto"/>
                                        <w:bottom w:val="none" w:sz="0" w:space="0" w:color="auto"/>
                                        <w:right w:val="none" w:sz="0" w:space="0" w:color="auto"/>
                                      </w:divBdr>
                                    </w:div>
                                    <w:div w:id="53353511">
                                      <w:marLeft w:val="0"/>
                                      <w:marRight w:val="0"/>
                                      <w:marTop w:val="0"/>
                                      <w:marBottom w:val="0"/>
                                      <w:divBdr>
                                        <w:top w:val="none" w:sz="0" w:space="0" w:color="auto"/>
                                        <w:left w:val="none" w:sz="0" w:space="0" w:color="auto"/>
                                        <w:bottom w:val="none" w:sz="0" w:space="0" w:color="auto"/>
                                        <w:right w:val="none" w:sz="0" w:space="0" w:color="auto"/>
                                      </w:divBdr>
                                    </w:div>
                                    <w:div w:id="99884620">
                                      <w:marLeft w:val="0"/>
                                      <w:marRight w:val="0"/>
                                      <w:marTop w:val="0"/>
                                      <w:marBottom w:val="0"/>
                                      <w:divBdr>
                                        <w:top w:val="none" w:sz="0" w:space="0" w:color="auto"/>
                                        <w:left w:val="none" w:sz="0" w:space="0" w:color="auto"/>
                                        <w:bottom w:val="none" w:sz="0" w:space="0" w:color="auto"/>
                                        <w:right w:val="none" w:sz="0" w:space="0" w:color="auto"/>
                                      </w:divBdr>
                                    </w:div>
                                    <w:div w:id="1401440925">
                                      <w:marLeft w:val="0"/>
                                      <w:marRight w:val="0"/>
                                      <w:marTop w:val="0"/>
                                      <w:marBottom w:val="0"/>
                                      <w:divBdr>
                                        <w:top w:val="none" w:sz="0" w:space="0" w:color="auto"/>
                                        <w:left w:val="none" w:sz="0" w:space="0" w:color="auto"/>
                                        <w:bottom w:val="none" w:sz="0" w:space="0" w:color="auto"/>
                                        <w:right w:val="none" w:sz="0" w:space="0" w:color="auto"/>
                                      </w:divBdr>
                                    </w:div>
                                    <w:div w:id="2113432806">
                                      <w:marLeft w:val="0"/>
                                      <w:marRight w:val="0"/>
                                      <w:marTop w:val="0"/>
                                      <w:marBottom w:val="0"/>
                                      <w:divBdr>
                                        <w:top w:val="none" w:sz="0" w:space="0" w:color="auto"/>
                                        <w:left w:val="none" w:sz="0" w:space="0" w:color="auto"/>
                                        <w:bottom w:val="none" w:sz="0" w:space="0" w:color="auto"/>
                                        <w:right w:val="none" w:sz="0" w:space="0" w:color="auto"/>
                                      </w:divBdr>
                                    </w:div>
                                    <w:div w:id="1285387825">
                                      <w:marLeft w:val="0"/>
                                      <w:marRight w:val="0"/>
                                      <w:marTop w:val="0"/>
                                      <w:marBottom w:val="0"/>
                                      <w:divBdr>
                                        <w:top w:val="none" w:sz="0" w:space="0" w:color="auto"/>
                                        <w:left w:val="none" w:sz="0" w:space="0" w:color="auto"/>
                                        <w:bottom w:val="none" w:sz="0" w:space="0" w:color="auto"/>
                                        <w:right w:val="none" w:sz="0" w:space="0" w:color="auto"/>
                                      </w:divBdr>
                                    </w:div>
                                    <w:div w:id="1579437615">
                                      <w:marLeft w:val="0"/>
                                      <w:marRight w:val="0"/>
                                      <w:marTop w:val="0"/>
                                      <w:marBottom w:val="0"/>
                                      <w:divBdr>
                                        <w:top w:val="none" w:sz="0" w:space="0" w:color="auto"/>
                                        <w:left w:val="none" w:sz="0" w:space="0" w:color="auto"/>
                                        <w:bottom w:val="none" w:sz="0" w:space="0" w:color="auto"/>
                                        <w:right w:val="none" w:sz="0" w:space="0" w:color="auto"/>
                                      </w:divBdr>
                                    </w:div>
                                    <w:div w:id="2146579756">
                                      <w:marLeft w:val="0"/>
                                      <w:marRight w:val="0"/>
                                      <w:marTop w:val="0"/>
                                      <w:marBottom w:val="0"/>
                                      <w:divBdr>
                                        <w:top w:val="none" w:sz="0" w:space="0" w:color="auto"/>
                                        <w:left w:val="none" w:sz="0" w:space="0" w:color="auto"/>
                                        <w:bottom w:val="none" w:sz="0" w:space="0" w:color="auto"/>
                                        <w:right w:val="none" w:sz="0" w:space="0" w:color="auto"/>
                                      </w:divBdr>
                                    </w:div>
                                    <w:div w:id="2050061649">
                                      <w:marLeft w:val="0"/>
                                      <w:marRight w:val="0"/>
                                      <w:marTop w:val="0"/>
                                      <w:marBottom w:val="0"/>
                                      <w:divBdr>
                                        <w:top w:val="none" w:sz="0" w:space="0" w:color="auto"/>
                                        <w:left w:val="none" w:sz="0" w:space="0" w:color="auto"/>
                                        <w:bottom w:val="none" w:sz="0" w:space="0" w:color="auto"/>
                                        <w:right w:val="none" w:sz="0" w:space="0" w:color="auto"/>
                                      </w:divBdr>
                                    </w:div>
                                    <w:div w:id="1556427475">
                                      <w:marLeft w:val="0"/>
                                      <w:marRight w:val="0"/>
                                      <w:marTop w:val="0"/>
                                      <w:marBottom w:val="0"/>
                                      <w:divBdr>
                                        <w:top w:val="none" w:sz="0" w:space="0" w:color="auto"/>
                                        <w:left w:val="none" w:sz="0" w:space="0" w:color="auto"/>
                                        <w:bottom w:val="none" w:sz="0" w:space="0" w:color="auto"/>
                                        <w:right w:val="none" w:sz="0" w:space="0" w:color="auto"/>
                                      </w:divBdr>
                                    </w:div>
                                    <w:div w:id="1611744078">
                                      <w:marLeft w:val="0"/>
                                      <w:marRight w:val="0"/>
                                      <w:marTop w:val="0"/>
                                      <w:marBottom w:val="0"/>
                                      <w:divBdr>
                                        <w:top w:val="none" w:sz="0" w:space="0" w:color="auto"/>
                                        <w:left w:val="none" w:sz="0" w:space="0" w:color="auto"/>
                                        <w:bottom w:val="none" w:sz="0" w:space="0" w:color="auto"/>
                                        <w:right w:val="none" w:sz="0" w:space="0" w:color="auto"/>
                                      </w:divBdr>
                                    </w:div>
                                    <w:div w:id="696931301">
                                      <w:marLeft w:val="0"/>
                                      <w:marRight w:val="0"/>
                                      <w:marTop w:val="0"/>
                                      <w:marBottom w:val="0"/>
                                      <w:divBdr>
                                        <w:top w:val="none" w:sz="0" w:space="0" w:color="auto"/>
                                        <w:left w:val="none" w:sz="0" w:space="0" w:color="auto"/>
                                        <w:bottom w:val="none" w:sz="0" w:space="0" w:color="auto"/>
                                        <w:right w:val="none" w:sz="0" w:space="0" w:color="auto"/>
                                      </w:divBdr>
                                    </w:div>
                                    <w:div w:id="157964163">
                                      <w:marLeft w:val="0"/>
                                      <w:marRight w:val="0"/>
                                      <w:marTop w:val="0"/>
                                      <w:marBottom w:val="0"/>
                                      <w:divBdr>
                                        <w:top w:val="none" w:sz="0" w:space="0" w:color="auto"/>
                                        <w:left w:val="none" w:sz="0" w:space="0" w:color="auto"/>
                                        <w:bottom w:val="none" w:sz="0" w:space="0" w:color="auto"/>
                                        <w:right w:val="none" w:sz="0" w:space="0" w:color="auto"/>
                                      </w:divBdr>
                                    </w:div>
                                    <w:div w:id="1566450949">
                                      <w:marLeft w:val="0"/>
                                      <w:marRight w:val="0"/>
                                      <w:marTop w:val="0"/>
                                      <w:marBottom w:val="0"/>
                                      <w:divBdr>
                                        <w:top w:val="none" w:sz="0" w:space="0" w:color="auto"/>
                                        <w:left w:val="none" w:sz="0" w:space="0" w:color="auto"/>
                                        <w:bottom w:val="none" w:sz="0" w:space="0" w:color="auto"/>
                                        <w:right w:val="none" w:sz="0" w:space="0" w:color="auto"/>
                                      </w:divBdr>
                                    </w:div>
                                    <w:div w:id="1274243745">
                                      <w:marLeft w:val="0"/>
                                      <w:marRight w:val="0"/>
                                      <w:marTop w:val="0"/>
                                      <w:marBottom w:val="0"/>
                                      <w:divBdr>
                                        <w:top w:val="none" w:sz="0" w:space="0" w:color="auto"/>
                                        <w:left w:val="none" w:sz="0" w:space="0" w:color="auto"/>
                                        <w:bottom w:val="none" w:sz="0" w:space="0" w:color="auto"/>
                                        <w:right w:val="none" w:sz="0" w:space="0" w:color="auto"/>
                                      </w:divBdr>
                                    </w:div>
                                    <w:div w:id="1044520894">
                                      <w:marLeft w:val="0"/>
                                      <w:marRight w:val="0"/>
                                      <w:marTop w:val="0"/>
                                      <w:marBottom w:val="0"/>
                                      <w:divBdr>
                                        <w:top w:val="none" w:sz="0" w:space="0" w:color="auto"/>
                                        <w:left w:val="none" w:sz="0" w:space="0" w:color="auto"/>
                                        <w:bottom w:val="none" w:sz="0" w:space="0" w:color="auto"/>
                                        <w:right w:val="none" w:sz="0" w:space="0" w:color="auto"/>
                                      </w:divBdr>
                                    </w:div>
                                    <w:div w:id="1430464377">
                                      <w:marLeft w:val="0"/>
                                      <w:marRight w:val="0"/>
                                      <w:marTop w:val="0"/>
                                      <w:marBottom w:val="0"/>
                                      <w:divBdr>
                                        <w:top w:val="none" w:sz="0" w:space="0" w:color="auto"/>
                                        <w:left w:val="none" w:sz="0" w:space="0" w:color="auto"/>
                                        <w:bottom w:val="none" w:sz="0" w:space="0" w:color="auto"/>
                                        <w:right w:val="none" w:sz="0" w:space="0" w:color="auto"/>
                                      </w:divBdr>
                                    </w:div>
                                    <w:div w:id="1655645249">
                                      <w:marLeft w:val="0"/>
                                      <w:marRight w:val="0"/>
                                      <w:marTop w:val="0"/>
                                      <w:marBottom w:val="0"/>
                                      <w:divBdr>
                                        <w:top w:val="none" w:sz="0" w:space="0" w:color="auto"/>
                                        <w:left w:val="none" w:sz="0" w:space="0" w:color="auto"/>
                                        <w:bottom w:val="none" w:sz="0" w:space="0" w:color="auto"/>
                                        <w:right w:val="none" w:sz="0" w:space="0" w:color="auto"/>
                                      </w:divBdr>
                                    </w:div>
                                    <w:div w:id="1409038037">
                                      <w:marLeft w:val="0"/>
                                      <w:marRight w:val="0"/>
                                      <w:marTop w:val="0"/>
                                      <w:marBottom w:val="0"/>
                                      <w:divBdr>
                                        <w:top w:val="none" w:sz="0" w:space="0" w:color="auto"/>
                                        <w:left w:val="none" w:sz="0" w:space="0" w:color="auto"/>
                                        <w:bottom w:val="none" w:sz="0" w:space="0" w:color="auto"/>
                                        <w:right w:val="none" w:sz="0" w:space="0" w:color="auto"/>
                                      </w:divBdr>
                                    </w:div>
                                    <w:div w:id="360976641">
                                      <w:marLeft w:val="0"/>
                                      <w:marRight w:val="0"/>
                                      <w:marTop w:val="0"/>
                                      <w:marBottom w:val="0"/>
                                      <w:divBdr>
                                        <w:top w:val="none" w:sz="0" w:space="0" w:color="auto"/>
                                        <w:left w:val="none" w:sz="0" w:space="0" w:color="auto"/>
                                        <w:bottom w:val="none" w:sz="0" w:space="0" w:color="auto"/>
                                        <w:right w:val="none" w:sz="0" w:space="0" w:color="auto"/>
                                      </w:divBdr>
                                    </w:div>
                                    <w:div w:id="1854344971">
                                      <w:marLeft w:val="0"/>
                                      <w:marRight w:val="0"/>
                                      <w:marTop w:val="0"/>
                                      <w:marBottom w:val="0"/>
                                      <w:divBdr>
                                        <w:top w:val="none" w:sz="0" w:space="0" w:color="auto"/>
                                        <w:left w:val="none" w:sz="0" w:space="0" w:color="auto"/>
                                        <w:bottom w:val="none" w:sz="0" w:space="0" w:color="auto"/>
                                        <w:right w:val="none" w:sz="0" w:space="0" w:color="auto"/>
                                      </w:divBdr>
                                    </w:div>
                                    <w:div w:id="501165279">
                                      <w:marLeft w:val="0"/>
                                      <w:marRight w:val="0"/>
                                      <w:marTop w:val="0"/>
                                      <w:marBottom w:val="0"/>
                                      <w:divBdr>
                                        <w:top w:val="none" w:sz="0" w:space="0" w:color="auto"/>
                                        <w:left w:val="none" w:sz="0" w:space="0" w:color="auto"/>
                                        <w:bottom w:val="none" w:sz="0" w:space="0" w:color="auto"/>
                                        <w:right w:val="none" w:sz="0" w:space="0" w:color="auto"/>
                                      </w:divBdr>
                                    </w:div>
                                    <w:div w:id="193689547">
                                      <w:marLeft w:val="0"/>
                                      <w:marRight w:val="0"/>
                                      <w:marTop w:val="0"/>
                                      <w:marBottom w:val="0"/>
                                      <w:divBdr>
                                        <w:top w:val="none" w:sz="0" w:space="0" w:color="auto"/>
                                        <w:left w:val="none" w:sz="0" w:space="0" w:color="auto"/>
                                        <w:bottom w:val="none" w:sz="0" w:space="0" w:color="auto"/>
                                        <w:right w:val="none" w:sz="0" w:space="0" w:color="auto"/>
                                      </w:divBdr>
                                    </w:div>
                                    <w:div w:id="1397436417">
                                      <w:marLeft w:val="0"/>
                                      <w:marRight w:val="0"/>
                                      <w:marTop w:val="0"/>
                                      <w:marBottom w:val="0"/>
                                      <w:divBdr>
                                        <w:top w:val="none" w:sz="0" w:space="0" w:color="auto"/>
                                        <w:left w:val="none" w:sz="0" w:space="0" w:color="auto"/>
                                        <w:bottom w:val="none" w:sz="0" w:space="0" w:color="auto"/>
                                        <w:right w:val="none" w:sz="0" w:space="0" w:color="auto"/>
                                      </w:divBdr>
                                    </w:div>
                                    <w:div w:id="628710552">
                                      <w:marLeft w:val="0"/>
                                      <w:marRight w:val="0"/>
                                      <w:marTop w:val="0"/>
                                      <w:marBottom w:val="0"/>
                                      <w:divBdr>
                                        <w:top w:val="none" w:sz="0" w:space="0" w:color="auto"/>
                                        <w:left w:val="none" w:sz="0" w:space="0" w:color="auto"/>
                                        <w:bottom w:val="none" w:sz="0" w:space="0" w:color="auto"/>
                                        <w:right w:val="none" w:sz="0" w:space="0" w:color="auto"/>
                                      </w:divBdr>
                                    </w:div>
                                    <w:div w:id="1319335497">
                                      <w:marLeft w:val="0"/>
                                      <w:marRight w:val="0"/>
                                      <w:marTop w:val="0"/>
                                      <w:marBottom w:val="0"/>
                                      <w:divBdr>
                                        <w:top w:val="none" w:sz="0" w:space="0" w:color="auto"/>
                                        <w:left w:val="none" w:sz="0" w:space="0" w:color="auto"/>
                                        <w:bottom w:val="none" w:sz="0" w:space="0" w:color="auto"/>
                                        <w:right w:val="none" w:sz="0" w:space="0" w:color="auto"/>
                                      </w:divBdr>
                                    </w:div>
                                    <w:div w:id="1876457981">
                                      <w:marLeft w:val="0"/>
                                      <w:marRight w:val="0"/>
                                      <w:marTop w:val="0"/>
                                      <w:marBottom w:val="0"/>
                                      <w:divBdr>
                                        <w:top w:val="none" w:sz="0" w:space="0" w:color="auto"/>
                                        <w:left w:val="none" w:sz="0" w:space="0" w:color="auto"/>
                                        <w:bottom w:val="none" w:sz="0" w:space="0" w:color="auto"/>
                                        <w:right w:val="none" w:sz="0" w:space="0" w:color="auto"/>
                                      </w:divBdr>
                                    </w:div>
                                    <w:div w:id="55514739">
                                      <w:marLeft w:val="0"/>
                                      <w:marRight w:val="0"/>
                                      <w:marTop w:val="0"/>
                                      <w:marBottom w:val="0"/>
                                      <w:divBdr>
                                        <w:top w:val="none" w:sz="0" w:space="0" w:color="auto"/>
                                        <w:left w:val="none" w:sz="0" w:space="0" w:color="auto"/>
                                        <w:bottom w:val="none" w:sz="0" w:space="0" w:color="auto"/>
                                        <w:right w:val="none" w:sz="0" w:space="0" w:color="auto"/>
                                      </w:divBdr>
                                    </w:div>
                                    <w:div w:id="1384525688">
                                      <w:marLeft w:val="0"/>
                                      <w:marRight w:val="0"/>
                                      <w:marTop w:val="0"/>
                                      <w:marBottom w:val="0"/>
                                      <w:divBdr>
                                        <w:top w:val="none" w:sz="0" w:space="0" w:color="auto"/>
                                        <w:left w:val="none" w:sz="0" w:space="0" w:color="auto"/>
                                        <w:bottom w:val="none" w:sz="0" w:space="0" w:color="auto"/>
                                        <w:right w:val="none" w:sz="0" w:space="0" w:color="auto"/>
                                      </w:divBdr>
                                    </w:div>
                                    <w:div w:id="696858321">
                                      <w:marLeft w:val="0"/>
                                      <w:marRight w:val="0"/>
                                      <w:marTop w:val="0"/>
                                      <w:marBottom w:val="0"/>
                                      <w:divBdr>
                                        <w:top w:val="none" w:sz="0" w:space="0" w:color="auto"/>
                                        <w:left w:val="none" w:sz="0" w:space="0" w:color="auto"/>
                                        <w:bottom w:val="none" w:sz="0" w:space="0" w:color="auto"/>
                                        <w:right w:val="none" w:sz="0" w:space="0" w:color="auto"/>
                                      </w:divBdr>
                                    </w:div>
                                    <w:div w:id="233247935">
                                      <w:marLeft w:val="0"/>
                                      <w:marRight w:val="0"/>
                                      <w:marTop w:val="0"/>
                                      <w:marBottom w:val="0"/>
                                      <w:divBdr>
                                        <w:top w:val="none" w:sz="0" w:space="0" w:color="auto"/>
                                        <w:left w:val="none" w:sz="0" w:space="0" w:color="auto"/>
                                        <w:bottom w:val="none" w:sz="0" w:space="0" w:color="auto"/>
                                        <w:right w:val="none" w:sz="0" w:space="0" w:color="auto"/>
                                      </w:divBdr>
                                    </w:div>
                                    <w:div w:id="1656446810">
                                      <w:marLeft w:val="0"/>
                                      <w:marRight w:val="0"/>
                                      <w:marTop w:val="0"/>
                                      <w:marBottom w:val="0"/>
                                      <w:divBdr>
                                        <w:top w:val="none" w:sz="0" w:space="0" w:color="auto"/>
                                        <w:left w:val="none" w:sz="0" w:space="0" w:color="auto"/>
                                        <w:bottom w:val="none" w:sz="0" w:space="0" w:color="auto"/>
                                        <w:right w:val="none" w:sz="0" w:space="0" w:color="auto"/>
                                      </w:divBdr>
                                    </w:div>
                                    <w:div w:id="584801761">
                                      <w:marLeft w:val="0"/>
                                      <w:marRight w:val="0"/>
                                      <w:marTop w:val="0"/>
                                      <w:marBottom w:val="0"/>
                                      <w:divBdr>
                                        <w:top w:val="none" w:sz="0" w:space="0" w:color="auto"/>
                                        <w:left w:val="none" w:sz="0" w:space="0" w:color="auto"/>
                                        <w:bottom w:val="none" w:sz="0" w:space="0" w:color="auto"/>
                                        <w:right w:val="none" w:sz="0" w:space="0" w:color="auto"/>
                                      </w:divBdr>
                                    </w:div>
                                    <w:div w:id="401611167">
                                      <w:marLeft w:val="0"/>
                                      <w:marRight w:val="0"/>
                                      <w:marTop w:val="0"/>
                                      <w:marBottom w:val="0"/>
                                      <w:divBdr>
                                        <w:top w:val="none" w:sz="0" w:space="0" w:color="auto"/>
                                        <w:left w:val="none" w:sz="0" w:space="0" w:color="auto"/>
                                        <w:bottom w:val="none" w:sz="0" w:space="0" w:color="auto"/>
                                        <w:right w:val="none" w:sz="0" w:space="0" w:color="auto"/>
                                      </w:divBdr>
                                    </w:div>
                                    <w:div w:id="2016685553">
                                      <w:marLeft w:val="0"/>
                                      <w:marRight w:val="0"/>
                                      <w:marTop w:val="0"/>
                                      <w:marBottom w:val="0"/>
                                      <w:divBdr>
                                        <w:top w:val="none" w:sz="0" w:space="0" w:color="auto"/>
                                        <w:left w:val="none" w:sz="0" w:space="0" w:color="auto"/>
                                        <w:bottom w:val="none" w:sz="0" w:space="0" w:color="auto"/>
                                        <w:right w:val="none" w:sz="0" w:space="0" w:color="auto"/>
                                      </w:divBdr>
                                    </w:div>
                                    <w:div w:id="366956034">
                                      <w:marLeft w:val="0"/>
                                      <w:marRight w:val="0"/>
                                      <w:marTop w:val="0"/>
                                      <w:marBottom w:val="0"/>
                                      <w:divBdr>
                                        <w:top w:val="none" w:sz="0" w:space="0" w:color="auto"/>
                                        <w:left w:val="none" w:sz="0" w:space="0" w:color="auto"/>
                                        <w:bottom w:val="none" w:sz="0" w:space="0" w:color="auto"/>
                                        <w:right w:val="none" w:sz="0" w:space="0" w:color="auto"/>
                                      </w:divBdr>
                                    </w:div>
                                    <w:div w:id="1099369438">
                                      <w:marLeft w:val="0"/>
                                      <w:marRight w:val="0"/>
                                      <w:marTop w:val="0"/>
                                      <w:marBottom w:val="0"/>
                                      <w:divBdr>
                                        <w:top w:val="none" w:sz="0" w:space="0" w:color="auto"/>
                                        <w:left w:val="none" w:sz="0" w:space="0" w:color="auto"/>
                                        <w:bottom w:val="none" w:sz="0" w:space="0" w:color="auto"/>
                                        <w:right w:val="none" w:sz="0" w:space="0" w:color="auto"/>
                                      </w:divBdr>
                                    </w:div>
                                    <w:div w:id="1616253970">
                                      <w:marLeft w:val="0"/>
                                      <w:marRight w:val="0"/>
                                      <w:marTop w:val="0"/>
                                      <w:marBottom w:val="0"/>
                                      <w:divBdr>
                                        <w:top w:val="none" w:sz="0" w:space="0" w:color="auto"/>
                                        <w:left w:val="none" w:sz="0" w:space="0" w:color="auto"/>
                                        <w:bottom w:val="none" w:sz="0" w:space="0" w:color="auto"/>
                                        <w:right w:val="none" w:sz="0" w:space="0" w:color="auto"/>
                                      </w:divBdr>
                                    </w:div>
                                    <w:div w:id="1960792195">
                                      <w:marLeft w:val="0"/>
                                      <w:marRight w:val="0"/>
                                      <w:marTop w:val="0"/>
                                      <w:marBottom w:val="0"/>
                                      <w:divBdr>
                                        <w:top w:val="none" w:sz="0" w:space="0" w:color="auto"/>
                                        <w:left w:val="none" w:sz="0" w:space="0" w:color="auto"/>
                                        <w:bottom w:val="none" w:sz="0" w:space="0" w:color="auto"/>
                                        <w:right w:val="none" w:sz="0" w:space="0" w:color="auto"/>
                                      </w:divBdr>
                                    </w:div>
                                    <w:div w:id="1543521142">
                                      <w:marLeft w:val="0"/>
                                      <w:marRight w:val="0"/>
                                      <w:marTop w:val="0"/>
                                      <w:marBottom w:val="0"/>
                                      <w:divBdr>
                                        <w:top w:val="none" w:sz="0" w:space="0" w:color="auto"/>
                                        <w:left w:val="none" w:sz="0" w:space="0" w:color="auto"/>
                                        <w:bottom w:val="none" w:sz="0" w:space="0" w:color="auto"/>
                                        <w:right w:val="none" w:sz="0" w:space="0" w:color="auto"/>
                                      </w:divBdr>
                                    </w:div>
                                    <w:div w:id="572467783">
                                      <w:marLeft w:val="0"/>
                                      <w:marRight w:val="0"/>
                                      <w:marTop w:val="0"/>
                                      <w:marBottom w:val="0"/>
                                      <w:divBdr>
                                        <w:top w:val="none" w:sz="0" w:space="0" w:color="auto"/>
                                        <w:left w:val="none" w:sz="0" w:space="0" w:color="auto"/>
                                        <w:bottom w:val="none" w:sz="0" w:space="0" w:color="auto"/>
                                        <w:right w:val="none" w:sz="0" w:space="0" w:color="auto"/>
                                      </w:divBdr>
                                    </w:div>
                                    <w:div w:id="2025201159">
                                      <w:marLeft w:val="0"/>
                                      <w:marRight w:val="0"/>
                                      <w:marTop w:val="0"/>
                                      <w:marBottom w:val="0"/>
                                      <w:divBdr>
                                        <w:top w:val="none" w:sz="0" w:space="0" w:color="auto"/>
                                        <w:left w:val="none" w:sz="0" w:space="0" w:color="auto"/>
                                        <w:bottom w:val="none" w:sz="0" w:space="0" w:color="auto"/>
                                        <w:right w:val="none" w:sz="0" w:space="0" w:color="auto"/>
                                      </w:divBdr>
                                    </w:div>
                                    <w:div w:id="522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202906">
      <w:bodyDiv w:val="1"/>
      <w:marLeft w:val="0"/>
      <w:marRight w:val="0"/>
      <w:marTop w:val="0"/>
      <w:marBottom w:val="0"/>
      <w:divBdr>
        <w:top w:val="none" w:sz="0" w:space="0" w:color="auto"/>
        <w:left w:val="none" w:sz="0" w:space="0" w:color="auto"/>
        <w:bottom w:val="none" w:sz="0" w:space="0" w:color="auto"/>
        <w:right w:val="none" w:sz="0" w:space="0" w:color="auto"/>
      </w:divBdr>
      <w:divsChild>
        <w:div w:id="381175783">
          <w:marLeft w:val="0"/>
          <w:marRight w:val="0"/>
          <w:marTop w:val="0"/>
          <w:marBottom w:val="0"/>
          <w:divBdr>
            <w:top w:val="none" w:sz="0" w:space="0" w:color="auto"/>
            <w:left w:val="none" w:sz="0" w:space="0" w:color="auto"/>
            <w:bottom w:val="none" w:sz="0" w:space="0" w:color="auto"/>
            <w:right w:val="none" w:sz="0" w:space="0" w:color="auto"/>
          </w:divBdr>
          <w:divsChild>
            <w:div w:id="2078089956">
              <w:marLeft w:val="0"/>
              <w:marRight w:val="0"/>
              <w:marTop w:val="0"/>
              <w:marBottom w:val="0"/>
              <w:divBdr>
                <w:top w:val="none" w:sz="0" w:space="0" w:color="auto"/>
                <w:left w:val="none" w:sz="0" w:space="0" w:color="auto"/>
                <w:bottom w:val="none" w:sz="0" w:space="0" w:color="auto"/>
                <w:right w:val="none" w:sz="0" w:space="0" w:color="auto"/>
              </w:divBdr>
              <w:divsChild>
                <w:div w:id="440952659">
                  <w:marLeft w:val="0"/>
                  <w:marRight w:val="0"/>
                  <w:marTop w:val="0"/>
                  <w:marBottom w:val="0"/>
                  <w:divBdr>
                    <w:top w:val="none" w:sz="0" w:space="0" w:color="auto"/>
                    <w:left w:val="none" w:sz="0" w:space="0" w:color="auto"/>
                    <w:bottom w:val="none" w:sz="0" w:space="0" w:color="auto"/>
                    <w:right w:val="none" w:sz="0" w:space="0" w:color="auto"/>
                  </w:divBdr>
                  <w:divsChild>
                    <w:div w:id="1510677313">
                      <w:marLeft w:val="0"/>
                      <w:marRight w:val="0"/>
                      <w:marTop w:val="0"/>
                      <w:marBottom w:val="0"/>
                      <w:divBdr>
                        <w:top w:val="none" w:sz="0" w:space="0" w:color="auto"/>
                        <w:left w:val="none" w:sz="0" w:space="0" w:color="auto"/>
                        <w:bottom w:val="none" w:sz="0" w:space="0" w:color="auto"/>
                        <w:right w:val="none" w:sz="0" w:space="0" w:color="auto"/>
                      </w:divBdr>
                      <w:divsChild>
                        <w:div w:id="767895931">
                          <w:marLeft w:val="0"/>
                          <w:marRight w:val="0"/>
                          <w:marTop w:val="0"/>
                          <w:marBottom w:val="0"/>
                          <w:divBdr>
                            <w:top w:val="none" w:sz="0" w:space="0" w:color="auto"/>
                            <w:left w:val="none" w:sz="0" w:space="0" w:color="auto"/>
                            <w:bottom w:val="none" w:sz="0" w:space="0" w:color="auto"/>
                            <w:right w:val="none" w:sz="0" w:space="0" w:color="auto"/>
                          </w:divBdr>
                          <w:divsChild>
                            <w:div w:id="1856647916">
                              <w:marLeft w:val="0"/>
                              <w:marRight w:val="0"/>
                              <w:marTop w:val="15"/>
                              <w:marBottom w:val="0"/>
                              <w:divBdr>
                                <w:top w:val="none" w:sz="0" w:space="0" w:color="auto"/>
                                <w:left w:val="none" w:sz="0" w:space="0" w:color="auto"/>
                                <w:bottom w:val="none" w:sz="0" w:space="0" w:color="auto"/>
                                <w:right w:val="none" w:sz="0" w:space="0" w:color="auto"/>
                              </w:divBdr>
                              <w:divsChild>
                                <w:div w:id="1570772536">
                                  <w:marLeft w:val="0"/>
                                  <w:marRight w:val="0"/>
                                  <w:marTop w:val="0"/>
                                  <w:marBottom w:val="0"/>
                                  <w:divBdr>
                                    <w:top w:val="none" w:sz="0" w:space="0" w:color="auto"/>
                                    <w:left w:val="none" w:sz="0" w:space="0" w:color="auto"/>
                                    <w:bottom w:val="none" w:sz="0" w:space="0" w:color="auto"/>
                                    <w:right w:val="none" w:sz="0" w:space="0" w:color="auto"/>
                                  </w:divBdr>
                                  <w:divsChild>
                                    <w:div w:id="1390301025">
                                      <w:marLeft w:val="0"/>
                                      <w:marRight w:val="0"/>
                                      <w:marTop w:val="0"/>
                                      <w:marBottom w:val="0"/>
                                      <w:divBdr>
                                        <w:top w:val="none" w:sz="0" w:space="0" w:color="auto"/>
                                        <w:left w:val="none" w:sz="0" w:space="0" w:color="auto"/>
                                        <w:bottom w:val="none" w:sz="0" w:space="0" w:color="auto"/>
                                        <w:right w:val="none" w:sz="0" w:space="0" w:color="auto"/>
                                      </w:divBdr>
                                    </w:div>
                                    <w:div w:id="1486361338">
                                      <w:marLeft w:val="0"/>
                                      <w:marRight w:val="0"/>
                                      <w:marTop w:val="0"/>
                                      <w:marBottom w:val="0"/>
                                      <w:divBdr>
                                        <w:top w:val="none" w:sz="0" w:space="0" w:color="auto"/>
                                        <w:left w:val="none" w:sz="0" w:space="0" w:color="auto"/>
                                        <w:bottom w:val="none" w:sz="0" w:space="0" w:color="auto"/>
                                        <w:right w:val="none" w:sz="0" w:space="0" w:color="auto"/>
                                      </w:divBdr>
                                    </w:div>
                                    <w:div w:id="196744217">
                                      <w:marLeft w:val="0"/>
                                      <w:marRight w:val="0"/>
                                      <w:marTop w:val="0"/>
                                      <w:marBottom w:val="0"/>
                                      <w:divBdr>
                                        <w:top w:val="none" w:sz="0" w:space="0" w:color="auto"/>
                                        <w:left w:val="none" w:sz="0" w:space="0" w:color="auto"/>
                                        <w:bottom w:val="none" w:sz="0" w:space="0" w:color="auto"/>
                                        <w:right w:val="none" w:sz="0" w:space="0" w:color="auto"/>
                                      </w:divBdr>
                                    </w:div>
                                    <w:div w:id="319118437">
                                      <w:marLeft w:val="0"/>
                                      <w:marRight w:val="0"/>
                                      <w:marTop w:val="0"/>
                                      <w:marBottom w:val="0"/>
                                      <w:divBdr>
                                        <w:top w:val="none" w:sz="0" w:space="0" w:color="auto"/>
                                        <w:left w:val="none" w:sz="0" w:space="0" w:color="auto"/>
                                        <w:bottom w:val="none" w:sz="0" w:space="0" w:color="auto"/>
                                        <w:right w:val="none" w:sz="0" w:space="0" w:color="auto"/>
                                      </w:divBdr>
                                    </w:div>
                                    <w:div w:id="9423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478801">
      <w:bodyDiv w:val="1"/>
      <w:marLeft w:val="0"/>
      <w:marRight w:val="0"/>
      <w:marTop w:val="0"/>
      <w:marBottom w:val="0"/>
      <w:divBdr>
        <w:top w:val="none" w:sz="0" w:space="0" w:color="auto"/>
        <w:left w:val="none" w:sz="0" w:space="0" w:color="auto"/>
        <w:bottom w:val="none" w:sz="0" w:space="0" w:color="auto"/>
        <w:right w:val="none" w:sz="0" w:space="0" w:color="auto"/>
      </w:divBdr>
    </w:div>
    <w:div w:id="619804851">
      <w:bodyDiv w:val="1"/>
      <w:marLeft w:val="0"/>
      <w:marRight w:val="0"/>
      <w:marTop w:val="0"/>
      <w:marBottom w:val="0"/>
      <w:divBdr>
        <w:top w:val="none" w:sz="0" w:space="0" w:color="auto"/>
        <w:left w:val="none" w:sz="0" w:space="0" w:color="auto"/>
        <w:bottom w:val="none" w:sz="0" w:space="0" w:color="auto"/>
        <w:right w:val="none" w:sz="0" w:space="0" w:color="auto"/>
      </w:divBdr>
      <w:divsChild>
        <w:div w:id="1979917098">
          <w:marLeft w:val="0"/>
          <w:marRight w:val="0"/>
          <w:marTop w:val="0"/>
          <w:marBottom w:val="0"/>
          <w:divBdr>
            <w:top w:val="none" w:sz="0" w:space="0" w:color="auto"/>
            <w:left w:val="none" w:sz="0" w:space="0" w:color="auto"/>
            <w:bottom w:val="none" w:sz="0" w:space="0" w:color="auto"/>
            <w:right w:val="none" w:sz="0" w:space="0" w:color="auto"/>
          </w:divBdr>
          <w:divsChild>
            <w:div w:id="988052802">
              <w:marLeft w:val="0"/>
              <w:marRight w:val="0"/>
              <w:marTop w:val="0"/>
              <w:marBottom w:val="0"/>
              <w:divBdr>
                <w:top w:val="none" w:sz="0" w:space="0" w:color="auto"/>
                <w:left w:val="none" w:sz="0" w:space="0" w:color="auto"/>
                <w:bottom w:val="none" w:sz="0" w:space="0" w:color="auto"/>
                <w:right w:val="none" w:sz="0" w:space="0" w:color="auto"/>
              </w:divBdr>
              <w:divsChild>
                <w:div w:id="1553492771">
                  <w:marLeft w:val="0"/>
                  <w:marRight w:val="0"/>
                  <w:marTop w:val="0"/>
                  <w:marBottom w:val="0"/>
                  <w:divBdr>
                    <w:top w:val="none" w:sz="0" w:space="0" w:color="auto"/>
                    <w:left w:val="none" w:sz="0" w:space="0" w:color="auto"/>
                    <w:bottom w:val="none" w:sz="0" w:space="0" w:color="auto"/>
                    <w:right w:val="none" w:sz="0" w:space="0" w:color="auto"/>
                  </w:divBdr>
                  <w:divsChild>
                    <w:div w:id="213397770">
                      <w:marLeft w:val="1"/>
                      <w:marRight w:val="1"/>
                      <w:marTop w:val="0"/>
                      <w:marBottom w:val="0"/>
                      <w:divBdr>
                        <w:top w:val="none" w:sz="0" w:space="0" w:color="auto"/>
                        <w:left w:val="none" w:sz="0" w:space="0" w:color="auto"/>
                        <w:bottom w:val="none" w:sz="0" w:space="0" w:color="auto"/>
                        <w:right w:val="none" w:sz="0" w:space="0" w:color="auto"/>
                      </w:divBdr>
                      <w:divsChild>
                        <w:div w:id="392168031">
                          <w:marLeft w:val="0"/>
                          <w:marRight w:val="0"/>
                          <w:marTop w:val="0"/>
                          <w:marBottom w:val="0"/>
                          <w:divBdr>
                            <w:top w:val="none" w:sz="0" w:space="0" w:color="auto"/>
                            <w:left w:val="none" w:sz="0" w:space="0" w:color="auto"/>
                            <w:bottom w:val="none" w:sz="0" w:space="0" w:color="auto"/>
                            <w:right w:val="none" w:sz="0" w:space="0" w:color="auto"/>
                          </w:divBdr>
                          <w:divsChild>
                            <w:div w:id="1360545631">
                              <w:marLeft w:val="0"/>
                              <w:marRight w:val="0"/>
                              <w:marTop w:val="0"/>
                              <w:marBottom w:val="0"/>
                              <w:divBdr>
                                <w:top w:val="none" w:sz="0" w:space="0" w:color="auto"/>
                                <w:left w:val="none" w:sz="0" w:space="0" w:color="auto"/>
                                <w:bottom w:val="none" w:sz="0" w:space="0" w:color="auto"/>
                                <w:right w:val="none" w:sz="0" w:space="0" w:color="auto"/>
                              </w:divBdr>
                              <w:divsChild>
                                <w:div w:id="481654661">
                                  <w:marLeft w:val="0"/>
                                  <w:marRight w:val="0"/>
                                  <w:marTop w:val="0"/>
                                  <w:marBottom w:val="360"/>
                                  <w:divBdr>
                                    <w:top w:val="none" w:sz="0" w:space="0" w:color="auto"/>
                                    <w:left w:val="none" w:sz="0" w:space="0" w:color="auto"/>
                                    <w:bottom w:val="none" w:sz="0" w:space="0" w:color="auto"/>
                                    <w:right w:val="none" w:sz="0" w:space="0" w:color="auto"/>
                                  </w:divBdr>
                                  <w:divsChild>
                                    <w:div w:id="1507938937">
                                      <w:marLeft w:val="0"/>
                                      <w:marRight w:val="0"/>
                                      <w:marTop w:val="0"/>
                                      <w:marBottom w:val="0"/>
                                      <w:divBdr>
                                        <w:top w:val="none" w:sz="0" w:space="0" w:color="auto"/>
                                        <w:left w:val="none" w:sz="0" w:space="0" w:color="auto"/>
                                        <w:bottom w:val="none" w:sz="0" w:space="0" w:color="auto"/>
                                        <w:right w:val="none" w:sz="0" w:space="0" w:color="auto"/>
                                      </w:divBdr>
                                      <w:divsChild>
                                        <w:div w:id="169302079">
                                          <w:marLeft w:val="0"/>
                                          <w:marRight w:val="0"/>
                                          <w:marTop w:val="0"/>
                                          <w:marBottom w:val="0"/>
                                          <w:divBdr>
                                            <w:top w:val="none" w:sz="0" w:space="0" w:color="auto"/>
                                            <w:left w:val="none" w:sz="0" w:space="0" w:color="auto"/>
                                            <w:bottom w:val="none" w:sz="0" w:space="0" w:color="auto"/>
                                            <w:right w:val="none" w:sz="0" w:space="0" w:color="auto"/>
                                          </w:divBdr>
                                          <w:divsChild>
                                            <w:div w:id="809515267">
                                              <w:marLeft w:val="0"/>
                                              <w:marRight w:val="0"/>
                                              <w:marTop w:val="0"/>
                                              <w:marBottom w:val="0"/>
                                              <w:divBdr>
                                                <w:top w:val="none" w:sz="0" w:space="0" w:color="auto"/>
                                                <w:left w:val="none" w:sz="0" w:space="0" w:color="auto"/>
                                                <w:bottom w:val="none" w:sz="0" w:space="0" w:color="auto"/>
                                                <w:right w:val="none" w:sz="0" w:space="0" w:color="auto"/>
                                              </w:divBdr>
                                            </w:div>
                                            <w:div w:id="8190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325801">
      <w:bodyDiv w:val="1"/>
      <w:marLeft w:val="0"/>
      <w:marRight w:val="0"/>
      <w:marTop w:val="0"/>
      <w:marBottom w:val="0"/>
      <w:divBdr>
        <w:top w:val="none" w:sz="0" w:space="0" w:color="auto"/>
        <w:left w:val="none" w:sz="0" w:space="0" w:color="auto"/>
        <w:bottom w:val="none" w:sz="0" w:space="0" w:color="auto"/>
        <w:right w:val="none" w:sz="0" w:space="0" w:color="auto"/>
      </w:divBdr>
      <w:divsChild>
        <w:div w:id="1943340080">
          <w:marLeft w:val="0"/>
          <w:marRight w:val="0"/>
          <w:marTop w:val="0"/>
          <w:marBottom w:val="0"/>
          <w:divBdr>
            <w:top w:val="none" w:sz="0" w:space="0" w:color="auto"/>
            <w:left w:val="none" w:sz="0" w:space="0" w:color="auto"/>
            <w:bottom w:val="none" w:sz="0" w:space="0" w:color="auto"/>
            <w:right w:val="none" w:sz="0" w:space="0" w:color="auto"/>
          </w:divBdr>
          <w:divsChild>
            <w:div w:id="1916165209">
              <w:marLeft w:val="0"/>
              <w:marRight w:val="0"/>
              <w:marTop w:val="0"/>
              <w:marBottom w:val="0"/>
              <w:divBdr>
                <w:top w:val="none" w:sz="0" w:space="0" w:color="auto"/>
                <w:left w:val="none" w:sz="0" w:space="0" w:color="auto"/>
                <w:bottom w:val="none" w:sz="0" w:space="0" w:color="auto"/>
                <w:right w:val="none" w:sz="0" w:space="0" w:color="auto"/>
              </w:divBdr>
              <w:divsChild>
                <w:div w:id="1788157553">
                  <w:marLeft w:val="0"/>
                  <w:marRight w:val="0"/>
                  <w:marTop w:val="0"/>
                  <w:marBottom w:val="0"/>
                  <w:divBdr>
                    <w:top w:val="none" w:sz="0" w:space="0" w:color="auto"/>
                    <w:left w:val="none" w:sz="0" w:space="0" w:color="auto"/>
                    <w:bottom w:val="none" w:sz="0" w:space="0" w:color="auto"/>
                    <w:right w:val="none" w:sz="0" w:space="0" w:color="auto"/>
                  </w:divBdr>
                  <w:divsChild>
                    <w:div w:id="1637955033">
                      <w:marLeft w:val="0"/>
                      <w:marRight w:val="0"/>
                      <w:marTop w:val="0"/>
                      <w:marBottom w:val="0"/>
                      <w:divBdr>
                        <w:top w:val="none" w:sz="0" w:space="0" w:color="auto"/>
                        <w:left w:val="none" w:sz="0" w:space="0" w:color="auto"/>
                        <w:bottom w:val="none" w:sz="0" w:space="0" w:color="auto"/>
                        <w:right w:val="none" w:sz="0" w:space="0" w:color="auto"/>
                      </w:divBdr>
                      <w:divsChild>
                        <w:div w:id="1818721551">
                          <w:marLeft w:val="0"/>
                          <w:marRight w:val="0"/>
                          <w:marTop w:val="0"/>
                          <w:marBottom w:val="0"/>
                          <w:divBdr>
                            <w:top w:val="none" w:sz="0" w:space="0" w:color="auto"/>
                            <w:left w:val="none" w:sz="0" w:space="0" w:color="auto"/>
                            <w:bottom w:val="none" w:sz="0" w:space="0" w:color="auto"/>
                            <w:right w:val="none" w:sz="0" w:space="0" w:color="auto"/>
                          </w:divBdr>
                          <w:divsChild>
                            <w:div w:id="746196459">
                              <w:marLeft w:val="0"/>
                              <w:marRight w:val="0"/>
                              <w:marTop w:val="15"/>
                              <w:marBottom w:val="0"/>
                              <w:divBdr>
                                <w:top w:val="none" w:sz="0" w:space="0" w:color="auto"/>
                                <w:left w:val="none" w:sz="0" w:space="0" w:color="auto"/>
                                <w:bottom w:val="none" w:sz="0" w:space="0" w:color="auto"/>
                                <w:right w:val="none" w:sz="0" w:space="0" w:color="auto"/>
                              </w:divBdr>
                              <w:divsChild>
                                <w:div w:id="1366906507">
                                  <w:marLeft w:val="0"/>
                                  <w:marRight w:val="0"/>
                                  <w:marTop w:val="0"/>
                                  <w:marBottom w:val="0"/>
                                  <w:divBdr>
                                    <w:top w:val="none" w:sz="0" w:space="0" w:color="auto"/>
                                    <w:left w:val="none" w:sz="0" w:space="0" w:color="auto"/>
                                    <w:bottom w:val="none" w:sz="0" w:space="0" w:color="auto"/>
                                    <w:right w:val="none" w:sz="0" w:space="0" w:color="auto"/>
                                  </w:divBdr>
                                  <w:divsChild>
                                    <w:div w:id="64181836">
                                      <w:marLeft w:val="0"/>
                                      <w:marRight w:val="0"/>
                                      <w:marTop w:val="0"/>
                                      <w:marBottom w:val="0"/>
                                      <w:divBdr>
                                        <w:top w:val="none" w:sz="0" w:space="0" w:color="auto"/>
                                        <w:left w:val="none" w:sz="0" w:space="0" w:color="auto"/>
                                        <w:bottom w:val="none" w:sz="0" w:space="0" w:color="auto"/>
                                        <w:right w:val="none" w:sz="0" w:space="0" w:color="auto"/>
                                      </w:divBdr>
                                    </w:div>
                                    <w:div w:id="988826903">
                                      <w:marLeft w:val="0"/>
                                      <w:marRight w:val="0"/>
                                      <w:marTop w:val="0"/>
                                      <w:marBottom w:val="0"/>
                                      <w:divBdr>
                                        <w:top w:val="none" w:sz="0" w:space="0" w:color="auto"/>
                                        <w:left w:val="none" w:sz="0" w:space="0" w:color="auto"/>
                                        <w:bottom w:val="none" w:sz="0" w:space="0" w:color="auto"/>
                                        <w:right w:val="none" w:sz="0" w:space="0" w:color="auto"/>
                                      </w:divBdr>
                                    </w:div>
                                    <w:div w:id="470293931">
                                      <w:marLeft w:val="0"/>
                                      <w:marRight w:val="0"/>
                                      <w:marTop w:val="0"/>
                                      <w:marBottom w:val="0"/>
                                      <w:divBdr>
                                        <w:top w:val="none" w:sz="0" w:space="0" w:color="auto"/>
                                        <w:left w:val="none" w:sz="0" w:space="0" w:color="auto"/>
                                        <w:bottom w:val="none" w:sz="0" w:space="0" w:color="auto"/>
                                        <w:right w:val="none" w:sz="0" w:space="0" w:color="auto"/>
                                      </w:divBdr>
                                    </w:div>
                                    <w:div w:id="674721117">
                                      <w:marLeft w:val="0"/>
                                      <w:marRight w:val="0"/>
                                      <w:marTop w:val="0"/>
                                      <w:marBottom w:val="0"/>
                                      <w:divBdr>
                                        <w:top w:val="none" w:sz="0" w:space="0" w:color="auto"/>
                                        <w:left w:val="none" w:sz="0" w:space="0" w:color="auto"/>
                                        <w:bottom w:val="none" w:sz="0" w:space="0" w:color="auto"/>
                                        <w:right w:val="none" w:sz="0" w:space="0" w:color="auto"/>
                                      </w:divBdr>
                                    </w:div>
                                    <w:div w:id="685864049">
                                      <w:marLeft w:val="0"/>
                                      <w:marRight w:val="0"/>
                                      <w:marTop w:val="0"/>
                                      <w:marBottom w:val="0"/>
                                      <w:divBdr>
                                        <w:top w:val="none" w:sz="0" w:space="0" w:color="auto"/>
                                        <w:left w:val="none" w:sz="0" w:space="0" w:color="auto"/>
                                        <w:bottom w:val="none" w:sz="0" w:space="0" w:color="auto"/>
                                        <w:right w:val="none" w:sz="0" w:space="0" w:color="auto"/>
                                      </w:divBdr>
                                    </w:div>
                                    <w:div w:id="820926221">
                                      <w:marLeft w:val="0"/>
                                      <w:marRight w:val="0"/>
                                      <w:marTop w:val="0"/>
                                      <w:marBottom w:val="0"/>
                                      <w:divBdr>
                                        <w:top w:val="none" w:sz="0" w:space="0" w:color="auto"/>
                                        <w:left w:val="none" w:sz="0" w:space="0" w:color="auto"/>
                                        <w:bottom w:val="none" w:sz="0" w:space="0" w:color="auto"/>
                                        <w:right w:val="none" w:sz="0" w:space="0" w:color="auto"/>
                                      </w:divBdr>
                                    </w:div>
                                    <w:div w:id="754128289">
                                      <w:marLeft w:val="0"/>
                                      <w:marRight w:val="0"/>
                                      <w:marTop w:val="0"/>
                                      <w:marBottom w:val="0"/>
                                      <w:divBdr>
                                        <w:top w:val="none" w:sz="0" w:space="0" w:color="auto"/>
                                        <w:left w:val="none" w:sz="0" w:space="0" w:color="auto"/>
                                        <w:bottom w:val="none" w:sz="0" w:space="0" w:color="auto"/>
                                        <w:right w:val="none" w:sz="0" w:space="0" w:color="auto"/>
                                      </w:divBdr>
                                    </w:div>
                                    <w:div w:id="1382290453">
                                      <w:marLeft w:val="0"/>
                                      <w:marRight w:val="0"/>
                                      <w:marTop w:val="0"/>
                                      <w:marBottom w:val="0"/>
                                      <w:divBdr>
                                        <w:top w:val="none" w:sz="0" w:space="0" w:color="auto"/>
                                        <w:left w:val="none" w:sz="0" w:space="0" w:color="auto"/>
                                        <w:bottom w:val="none" w:sz="0" w:space="0" w:color="auto"/>
                                        <w:right w:val="none" w:sz="0" w:space="0" w:color="auto"/>
                                      </w:divBdr>
                                    </w:div>
                                    <w:div w:id="1802843523">
                                      <w:marLeft w:val="0"/>
                                      <w:marRight w:val="0"/>
                                      <w:marTop w:val="0"/>
                                      <w:marBottom w:val="0"/>
                                      <w:divBdr>
                                        <w:top w:val="none" w:sz="0" w:space="0" w:color="auto"/>
                                        <w:left w:val="none" w:sz="0" w:space="0" w:color="auto"/>
                                        <w:bottom w:val="none" w:sz="0" w:space="0" w:color="auto"/>
                                        <w:right w:val="none" w:sz="0" w:space="0" w:color="auto"/>
                                      </w:divBdr>
                                    </w:div>
                                    <w:div w:id="1912885119">
                                      <w:marLeft w:val="0"/>
                                      <w:marRight w:val="0"/>
                                      <w:marTop w:val="0"/>
                                      <w:marBottom w:val="0"/>
                                      <w:divBdr>
                                        <w:top w:val="none" w:sz="0" w:space="0" w:color="auto"/>
                                        <w:left w:val="none" w:sz="0" w:space="0" w:color="auto"/>
                                        <w:bottom w:val="none" w:sz="0" w:space="0" w:color="auto"/>
                                        <w:right w:val="none" w:sz="0" w:space="0" w:color="auto"/>
                                      </w:divBdr>
                                    </w:div>
                                    <w:div w:id="1587962256">
                                      <w:marLeft w:val="0"/>
                                      <w:marRight w:val="0"/>
                                      <w:marTop w:val="0"/>
                                      <w:marBottom w:val="0"/>
                                      <w:divBdr>
                                        <w:top w:val="none" w:sz="0" w:space="0" w:color="auto"/>
                                        <w:left w:val="none" w:sz="0" w:space="0" w:color="auto"/>
                                        <w:bottom w:val="none" w:sz="0" w:space="0" w:color="auto"/>
                                        <w:right w:val="none" w:sz="0" w:space="0" w:color="auto"/>
                                      </w:divBdr>
                                    </w:div>
                                    <w:div w:id="1958413642">
                                      <w:marLeft w:val="0"/>
                                      <w:marRight w:val="0"/>
                                      <w:marTop w:val="0"/>
                                      <w:marBottom w:val="0"/>
                                      <w:divBdr>
                                        <w:top w:val="none" w:sz="0" w:space="0" w:color="auto"/>
                                        <w:left w:val="none" w:sz="0" w:space="0" w:color="auto"/>
                                        <w:bottom w:val="none" w:sz="0" w:space="0" w:color="auto"/>
                                        <w:right w:val="none" w:sz="0" w:space="0" w:color="auto"/>
                                      </w:divBdr>
                                    </w:div>
                                    <w:div w:id="1802653963">
                                      <w:marLeft w:val="0"/>
                                      <w:marRight w:val="0"/>
                                      <w:marTop w:val="0"/>
                                      <w:marBottom w:val="0"/>
                                      <w:divBdr>
                                        <w:top w:val="none" w:sz="0" w:space="0" w:color="auto"/>
                                        <w:left w:val="none" w:sz="0" w:space="0" w:color="auto"/>
                                        <w:bottom w:val="none" w:sz="0" w:space="0" w:color="auto"/>
                                        <w:right w:val="none" w:sz="0" w:space="0" w:color="auto"/>
                                      </w:divBdr>
                                    </w:div>
                                    <w:div w:id="1140802850">
                                      <w:marLeft w:val="0"/>
                                      <w:marRight w:val="0"/>
                                      <w:marTop w:val="0"/>
                                      <w:marBottom w:val="0"/>
                                      <w:divBdr>
                                        <w:top w:val="none" w:sz="0" w:space="0" w:color="auto"/>
                                        <w:left w:val="none" w:sz="0" w:space="0" w:color="auto"/>
                                        <w:bottom w:val="none" w:sz="0" w:space="0" w:color="auto"/>
                                        <w:right w:val="none" w:sz="0" w:space="0" w:color="auto"/>
                                      </w:divBdr>
                                    </w:div>
                                    <w:div w:id="1125343733">
                                      <w:marLeft w:val="0"/>
                                      <w:marRight w:val="0"/>
                                      <w:marTop w:val="0"/>
                                      <w:marBottom w:val="0"/>
                                      <w:divBdr>
                                        <w:top w:val="none" w:sz="0" w:space="0" w:color="auto"/>
                                        <w:left w:val="none" w:sz="0" w:space="0" w:color="auto"/>
                                        <w:bottom w:val="none" w:sz="0" w:space="0" w:color="auto"/>
                                        <w:right w:val="none" w:sz="0" w:space="0" w:color="auto"/>
                                      </w:divBdr>
                                    </w:div>
                                    <w:div w:id="359623280">
                                      <w:marLeft w:val="0"/>
                                      <w:marRight w:val="0"/>
                                      <w:marTop w:val="0"/>
                                      <w:marBottom w:val="0"/>
                                      <w:divBdr>
                                        <w:top w:val="none" w:sz="0" w:space="0" w:color="auto"/>
                                        <w:left w:val="none" w:sz="0" w:space="0" w:color="auto"/>
                                        <w:bottom w:val="none" w:sz="0" w:space="0" w:color="auto"/>
                                        <w:right w:val="none" w:sz="0" w:space="0" w:color="auto"/>
                                      </w:divBdr>
                                    </w:div>
                                    <w:div w:id="1719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825395">
      <w:bodyDiv w:val="1"/>
      <w:marLeft w:val="0"/>
      <w:marRight w:val="0"/>
      <w:marTop w:val="0"/>
      <w:marBottom w:val="0"/>
      <w:divBdr>
        <w:top w:val="none" w:sz="0" w:space="0" w:color="auto"/>
        <w:left w:val="none" w:sz="0" w:space="0" w:color="auto"/>
        <w:bottom w:val="none" w:sz="0" w:space="0" w:color="auto"/>
        <w:right w:val="none" w:sz="0" w:space="0" w:color="auto"/>
      </w:divBdr>
      <w:divsChild>
        <w:div w:id="12342339">
          <w:marLeft w:val="0"/>
          <w:marRight w:val="0"/>
          <w:marTop w:val="0"/>
          <w:marBottom w:val="0"/>
          <w:divBdr>
            <w:top w:val="none" w:sz="0" w:space="0" w:color="auto"/>
            <w:left w:val="none" w:sz="0" w:space="0" w:color="auto"/>
            <w:bottom w:val="none" w:sz="0" w:space="0" w:color="auto"/>
            <w:right w:val="none" w:sz="0" w:space="0" w:color="auto"/>
          </w:divBdr>
          <w:divsChild>
            <w:div w:id="1080178955">
              <w:marLeft w:val="0"/>
              <w:marRight w:val="0"/>
              <w:marTop w:val="0"/>
              <w:marBottom w:val="0"/>
              <w:divBdr>
                <w:top w:val="none" w:sz="0" w:space="0" w:color="auto"/>
                <w:left w:val="none" w:sz="0" w:space="0" w:color="auto"/>
                <w:bottom w:val="none" w:sz="0" w:space="0" w:color="auto"/>
                <w:right w:val="none" w:sz="0" w:space="0" w:color="auto"/>
              </w:divBdr>
              <w:divsChild>
                <w:div w:id="23482358">
                  <w:marLeft w:val="0"/>
                  <w:marRight w:val="0"/>
                  <w:marTop w:val="0"/>
                  <w:marBottom w:val="0"/>
                  <w:divBdr>
                    <w:top w:val="none" w:sz="0" w:space="0" w:color="auto"/>
                    <w:left w:val="none" w:sz="0" w:space="0" w:color="auto"/>
                    <w:bottom w:val="none" w:sz="0" w:space="0" w:color="auto"/>
                    <w:right w:val="none" w:sz="0" w:space="0" w:color="auto"/>
                  </w:divBdr>
                  <w:divsChild>
                    <w:div w:id="6761568">
                      <w:marLeft w:val="0"/>
                      <w:marRight w:val="0"/>
                      <w:marTop w:val="0"/>
                      <w:marBottom w:val="0"/>
                      <w:divBdr>
                        <w:top w:val="none" w:sz="0" w:space="0" w:color="auto"/>
                        <w:left w:val="none" w:sz="0" w:space="0" w:color="auto"/>
                        <w:bottom w:val="none" w:sz="0" w:space="0" w:color="auto"/>
                        <w:right w:val="none" w:sz="0" w:space="0" w:color="auto"/>
                      </w:divBdr>
                      <w:divsChild>
                        <w:div w:id="335692087">
                          <w:marLeft w:val="0"/>
                          <w:marRight w:val="0"/>
                          <w:marTop w:val="0"/>
                          <w:marBottom w:val="0"/>
                          <w:divBdr>
                            <w:top w:val="none" w:sz="0" w:space="0" w:color="auto"/>
                            <w:left w:val="none" w:sz="0" w:space="0" w:color="auto"/>
                            <w:bottom w:val="none" w:sz="0" w:space="0" w:color="auto"/>
                            <w:right w:val="none" w:sz="0" w:space="0" w:color="auto"/>
                          </w:divBdr>
                          <w:divsChild>
                            <w:div w:id="995765295">
                              <w:marLeft w:val="0"/>
                              <w:marRight w:val="0"/>
                              <w:marTop w:val="15"/>
                              <w:marBottom w:val="0"/>
                              <w:divBdr>
                                <w:top w:val="none" w:sz="0" w:space="0" w:color="auto"/>
                                <w:left w:val="none" w:sz="0" w:space="0" w:color="auto"/>
                                <w:bottom w:val="none" w:sz="0" w:space="0" w:color="auto"/>
                                <w:right w:val="none" w:sz="0" w:space="0" w:color="auto"/>
                              </w:divBdr>
                              <w:divsChild>
                                <w:div w:id="1781099072">
                                  <w:marLeft w:val="0"/>
                                  <w:marRight w:val="0"/>
                                  <w:marTop w:val="0"/>
                                  <w:marBottom w:val="0"/>
                                  <w:divBdr>
                                    <w:top w:val="none" w:sz="0" w:space="0" w:color="auto"/>
                                    <w:left w:val="none" w:sz="0" w:space="0" w:color="auto"/>
                                    <w:bottom w:val="none" w:sz="0" w:space="0" w:color="auto"/>
                                    <w:right w:val="none" w:sz="0" w:space="0" w:color="auto"/>
                                  </w:divBdr>
                                  <w:divsChild>
                                    <w:div w:id="1417626370">
                                      <w:marLeft w:val="0"/>
                                      <w:marRight w:val="0"/>
                                      <w:marTop w:val="0"/>
                                      <w:marBottom w:val="0"/>
                                      <w:divBdr>
                                        <w:top w:val="none" w:sz="0" w:space="0" w:color="auto"/>
                                        <w:left w:val="none" w:sz="0" w:space="0" w:color="auto"/>
                                        <w:bottom w:val="none" w:sz="0" w:space="0" w:color="auto"/>
                                        <w:right w:val="none" w:sz="0" w:space="0" w:color="auto"/>
                                      </w:divBdr>
                                    </w:div>
                                    <w:div w:id="10680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869437">
      <w:bodyDiv w:val="1"/>
      <w:marLeft w:val="0"/>
      <w:marRight w:val="0"/>
      <w:marTop w:val="0"/>
      <w:marBottom w:val="0"/>
      <w:divBdr>
        <w:top w:val="none" w:sz="0" w:space="0" w:color="auto"/>
        <w:left w:val="none" w:sz="0" w:space="0" w:color="auto"/>
        <w:bottom w:val="none" w:sz="0" w:space="0" w:color="auto"/>
        <w:right w:val="none" w:sz="0" w:space="0" w:color="auto"/>
      </w:divBdr>
      <w:divsChild>
        <w:div w:id="1931966177">
          <w:marLeft w:val="0"/>
          <w:marRight w:val="0"/>
          <w:marTop w:val="0"/>
          <w:marBottom w:val="0"/>
          <w:divBdr>
            <w:top w:val="none" w:sz="0" w:space="0" w:color="auto"/>
            <w:left w:val="none" w:sz="0" w:space="0" w:color="auto"/>
            <w:bottom w:val="none" w:sz="0" w:space="0" w:color="auto"/>
            <w:right w:val="none" w:sz="0" w:space="0" w:color="auto"/>
          </w:divBdr>
          <w:divsChild>
            <w:div w:id="1228031064">
              <w:marLeft w:val="0"/>
              <w:marRight w:val="0"/>
              <w:marTop w:val="0"/>
              <w:marBottom w:val="0"/>
              <w:divBdr>
                <w:top w:val="none" w:sz="0" w:space="0" w:color="auto"/>
                <w:left w:val="none" w:sz="0" w:space="0" w:color="auto"/>
                <w:bottom w:val="none" w:sz="0" w:space="0" w:color="auto"/>
                <w:right w:val="none" w:sz="0" w:space="0" w:color="auto"/>
              </w:divBdr>
              <w:divsChild>
                <w:div w:id="206260147">
                  <w:marLeft w:val="0"/>
                  <w:marRight w:val="0"/>
                  <w:marTop w:val="0"/>
                  <w:marBottom w:val="0"/>
                  <w:divBdr>
                    <w:top w:val="none" w:sz="0" w:space="0" w:color="auto"/>
                    <w:left w:val="none" w:sz="0" w:space="0" w:color="auto"/>
                    <w:bottom w:val="none" w:sz="0" w:space="0" w:color="auto"/>
                    <w:right w:val="none" w:sz="0" w:space="0" w:color="auto"/>
                  </w:divBdr>
                  <w:divsChild>
                    <w:div w:id="14114252">
                      <w:marLeft w:val="0"/>
                      <w:marRight w:val="0"/>
                      <w:marTop w:val="0"/>
                      <w:marBottom w:val="0"/>
                      <w:divBdr>
                        <w:top w:val="none" w:sz="0" w:space="0" w:color="auto"/>
                        <w:left w:val="none" w:sz="0" w:space="0" w:color="auto"/>
                        <w:bottom w:val="none" w:sz="0" w:space="0" w:color="auto"/>
                        <w:right w:val="none" w:sz="0" w:space="0" w:color="auto"/>
                      </w:divBdr>
                      <w:divsChild>
                        <w:div w:id="455296552">
                          <w:marLeft w:val="0"/>
                          <w:marRight w:val="0"/>
                          <w:marTop w:val="0"/>
                          <w:marBottom w:val="0"/>
                          <w:divBdr>
                            <w:top w:val="none" w:sz="0" w:space="0" w:color="auto"/>
                            <w:left w:val="none" w:sz="0" w:space="0" w:color="auto"/>
                            <w:bottom w:val="none" w:sz="0" w:space="0" w:color="auto"/>
                            <w:right w:val="none" w:sz="0" w:space="0" w:color="auto"/>
                          </w:divBdr>
                          <w:divsChild>
                            <w:div w:id="951327773">
                              <w:marLeft w:val="0"/>
                              <w:marRight w:val="0"/>
                              <w:marTop w:val="15"/>
                              <w:marBottom w:val="0"/>
                              <w:divBdr>
                                <w:top w:val="none" w:sz="0" w:space="0" w:color="auto"/>
                                <w:left w:val="none" w:sz="0" w:space="0" w:color="auto"/>
                                <w:bottom w:val="none" w:sz="0" w:space="0" w:color="auto"/>
                                <w:right w:val="none" w:sz="0" w:space="0" w:color="auto"/>
                              </w:divBdr>
                              <w:divsChild>
                                <w:div w:id="1758820569">
                                  <w:marLeft w:val="0"/>
                                  <w:marRight w:val="0"/>
                                  <w:marTop w:val="0"/>
                                  <w:marBottom w:val="0"/>
                                  <w:divBdr>
                                    <w:top w:val="none" w:sz="0" w:space="0" w:color="auto"/>
                                    <w:left w:val="none" w:sz="0" w:space="0" w:color="auto"/>
                                    <w:bottom w:val="none" w:sz="0" w:space="0" w:color="auto"/>
                                    <w:right w:val="none" w:sz="0" w:space="0" w:color="auto"/>
                                  </w:divBdr>
                                  <w:divsChild>
                                    <w:div w:id="1748457644">
                                      <w:marLeft w:val="0"/>
                                      <w:marRight w:val="0"/>
                                      <w:marTop w:val="0"/>
                                      <w:marBottom w:val="0"/>
                                      <w:divBdr>
                                        <w:top w:val="none" w:sz="0" w:space="0" w:color="auto"/>
                                        <w:left w:val="none" w:sz="0" w:space="0" w:color="auto"/>
                                        <w:bottom w:val="none" w:sz="0" w:space="0" w:color="auto"/>
                                        <w:right w:val="none" w:sz="0" w:space="0" w:color="auto"/>
                                      </w:divBdr>
                                    </w:div>
                                    <w:div w:id="13509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936045">
      <w:bodyDiv w:val="1"/>
      <w:marLeft w:val="0"/>
      <w:marRight w:val="0"/>
      <w:marTop w:val="0"/>
      <w:marBottom w:val="0"/>
      <w:divBdr>
        <w:top w:val="none" w:sz="0" w:space="0" w:color="auto"/>
        <w:left w:val="none" w:sz="0" w:space="0" w:color="auto"/>
        <w:bottom w:val="none" w:sz="0" w:space="0" w:color="auto"/>
        <w:right w:val="none" w:sz="0" w:space="0" w:color="auto"/>
      </w:divBdr>
    </w:div>
    <w:div w:id="1272282855">
      <w:bodyDiv w:val="1"/>
      <w:marLeft w:val="0"/>
      <w:marRight w:val="0"/>
      <w:marTop w:val="0"/>
      <w:marBottom w:val="0"/>
      <w:divBdr>
        <w:top w:val="none" w:sz="0" w:space="0" w:color="auto"/>
        <w:left w:val="none" w:sz="0" w:space="0" w:color="auto"/>
        <w:bottom w:val="none" w:sz="0" w:space="0" w:color="auto"/>
        <w:right w:val="none" w:sz="0" w:space="0" w:color="auto"/>
      </w:divBdr>
    </w:div>
    <w:div w:id="1323120714">
      <w:bodyDiv w:val="1"/>
      <w:marLeft w:val="0"/>
      <w:marRight w:val="0"/>
      <w:marTop w:val="0"/>
      <w:marBottom w:val="0"/>
      <w:divBdr>
        <w:top w:val="none" w:sz="0" w:space="0" w:color="auto"/>
        <w:left w:val="none" w:sz="0" w:space="0" w:color="auto"/>
        <w:bottom w:val="none" w:sz="0" w:space="0" w:color="auto"/>
        <w:right w:val="none" w:sz="0" w:space="0" w:color="auto"/>
      </w:divBdr>
      <w:divsChild>
        <w:div w:id="1662660363">
          <w:marLeft w:val="0"/>
          <w:marRight w:val="0"/>
          <w:marTop w:val="0"/>
          <w:marBottom w:val="0"/>
          <w:divBdr>
            <w:top w:val="none" w:sz="0" w:space="0" w:color="auto"/>
            <w:left w:val="none" w:sz="0" w:space="0" w:color="auto"/>
            <w:bottom w:val="none" w:sz="0" w:space="0" w:color="auto"/>
            <w:right w:val="none" w:sz="0" w:space="0" w:color="auto"/>
          </w:divBdr>
          <w:divsChild>
            <w:div w:id="674575723">
              <w:marLeft w:val="0"/>
              <w:marRight w:val="0"/>
              <w:marTop w:val="0"/>
              <w:marBottom w:val="0"/>
              <w:divBdr>
                <w:top w:val="none" w:sz="0" w:space="0" w:color="auto"/>
                <w:left w:val="none" w:sz="0" w:space="0" w:color="auto"/>
                <w:bottom w:val="none" w:sz="0" w:space="0" w:color="auto"/>
                <w:right w:val="none" w:sz="0" w:space="0" w:color="auto"/>
              </w:divBdr>
              <w:divsChild>
                <w:div w:id="29689907">
                  <w:marLeft w:val="0"/>
                  <w:marRight w:val="0"/>
                  <w:marTop w:val="0"/>
                  <w:marBottom w:val="0"/>
                  <w:divBdr>
                    <w:top w:val="none" w:sz="0" w:space="0" w:color="auto"/>
                    <w:left w:val="none" w:sz="0" w:space="0" w:color="auto"/>
                    <w:bottom w:val="none" w:sz="0" w:space="0" w:color="auto"/>
                    <w:right w:val="none" w:sz="0" w:space="0" w:color="auto"/>
                  </w:divBdr>
                  <w:divsChild>
                    <w:div w:id="291182063">
                      <w:marLeft w:val="0"/>
                      <w:marRight w:val="0"/>
                      <w:marTop w:val="0"/>
                      <w:marBottom w:val="0"/>
                      <w:divBdr>
                        <w:top w:val="none" w:sz="0" w:space="0" w:color="auto"/>
                        <w:left w:val="none" w:sz="0" w:space="0" w:color="auto"/>
                        <w:bottom w:val="none" w:sz="0" w:space="0" w:color="auto"/>
                        <w:right w:val="none" w:sz="0" w:space="0" w:color="auto"/>
                      </w:divBdr>
                      <w:divsChild>
                        <w:div w:id="1695836701">
                          <w:marLeft w:val="0"/>
                          <w:marRight w:val="0"/>
                          <w:marTop w:val="0"/>
                          <w:marBottom w:val="0"/>
                          <w:divBdr>
                            <w:top w:val="none" w:sz="0" w:space="0" w:color="auto"/>
                            <w:left w:val="none" w:sz="0" w:space="0" w:color="auto"/>
                            <w:bottom w:val="none" w:sz="0" w:space="0" w:color="auto"/>
                            <w:right w:val="none" w:sz="0" w:space="0" w:color="auto"/>
                          </w:divBdr>
                          <w:divsChild>
                            <w:div w:id="1079866722">
                              <w:marLeft w:val="0"/>
                              <w:marRight w:val="0"/>
                              <w:marTop w:val="15"/>
                              <w:marBottom w:val="0"/>
                              <w:divBdr>
                                <w:top w:val="none" w:sz="0" w:space="0" w:color="auto"/>
                                <w:left w:val="none" w:sz="0" w:space="0" w:color="auto"/>
                                <w:bottom w:val="none" w:sz="0" w:space="0" w:color="auto"/>
                                <w:right w:val="none" w:sz="0" w:space="0" w:color="auto"/>
                              </w:divBdr>
                              <w:divsChild>
                                <w:div w:id="821510347">
                                  <w:marLeft w:val="0"/>
                                  <w:marRight w:val="0"/>
                                  <w:marTop w:val="0"/>
                                  <w:marBottom w:val="0"/>
                                  <w:divBdr>
                                    <w:top w:val="none" w:sz="0" w:space="0" w:color="auto"/>
                                    <w:left w:val="none" w:sz="0" w:space="0" w:color="auto"/>
                                    <w:bottom w:val="none" w:sz="0" w:space="0" w:color="auto"/>
                                    <w:right w:val="none" w:sz="0" w:space="0" w:color="auto"/>
                                  </w:divBdr>
                                  <w:divsChild>
                                    <w:div w:id="1736471320">
                                      <w:marLeft w:val="0"/>
                                      <w:marRight w:val="0"/>
                                      <w:marTop w:val="0"/>
                                      <w:marBottom w:val="0"/>
                                      <w:divBdr>
                                        <w:top w:val="none" w:sz="0" w:space="0" w:color="auto"/>
                                        <w:left w:val="none" w:sz="0" w:space="0" w:color="auto"/>
                                        <w:bottom w:val="none" w:sz="0" w:space="0" w:color="auto"/>
                                        <w:right w:val="none" w:sz="0" w:space="0" w:color="auto"/>
                                      </w:divBdr>
                                    </w:div>
                                    <w:div w:id="2019968581">
                                      <w:marLeft w:val="0"/>
                                      <w:marRight w:val="0"/>
                                      <w:marTop w:val="0"/>
                                      <w:marBottom w:val="0"/>
                                      <w:divBdr>
                                        <w:top w:val="none" w:sz="0" w:space="0" w:color="auto"/>
                                        <w:left w:val="none" w:sz="0" w:space="0" w:color="auto"/>
                                        <w:bottom w:val="none" w:sz="0" w:space="0" w:color="auto"/>
                                        <w:right w:val="none" w:sz="0" w:space="0" w:color="auto"/>
                                      </w:divBdr>
                                    </w:div>
                                    <w:div w:id="1744835440">
                                      <w:marLeft w:val="0"/>
                                      <w:marRight w:val="0"/>
                                      <w:marTop w:val="0"/>
                                      <w:marBottom w:val="0"/>
                                      <w:divBdr>
                                        <w:top w:val="none" w:sz="0" w:space="0" w:color="auto"/>
                                        <w:left w:val="none" w:sz="0" w:space="0" w:color="auto"/>
                                        <w:bottom w:val="none" w:sz="0" w:space="0" w:color="auto"/>
                                        <w:right w:val="none" w:sz="0" w:space="0" w:color="auto"/>
                                      </w:divBdr>
                                    </w:div>
                                    <w:div w:id="1014039852">
                                      <w:marLeft w:val="0"/>
                                      <w:marRight w:val="0"/>
                                      <w:marTop w:val="0"/>
                                      <w:marBottom w:val="0"/>
                                      <w:divBdr>
                                        <w:top w:val="none" w:sz="0" w:space="0" w:color="auto"/>
                                        <w:left w:val="none" w:sz="0" w:space="0" w:color="auto"/>
                                        <w:bottom w:val="none" w:sz="0" w:space="0" w:color="auto"/>
                                        <w:right w:val="none" w:sz="0" w:space="0" w:color="auto"/>
                                      </w:divBdr>
                                    </w:div>
                                    <w:div w:id="19821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652892">
      <w:bodyDiv w:val="1"/>
      <w:marLeft w:val="0"/>
      <w:marRight w:val="0"/>
      <w:marTop w:val="0"/>
      <w:marBottom w:val="0"/>
      <w:divBdr>
        <w:top w:val="none" w:sz="0" w:space="0" w:color="auto"/>
        <w:left w:val="none" w:sz="0" w:space="0" w:color="auto"/>
        <w:bottom w:val="none" w:sz="0" w:space="0" w:color="auto"/>
        <w:right w:val="none" w:sz="0" w:space="0" w:color="auto"/>
      </w:divBdr>
      <w:divsChild>
        <w:div w:id="164593173">
          <w:marLeft w:val="0"/>
          <w:marRight w:val="0"/>
          <w:marTop w:val="0"/>
          <w:marBottom w:val="0"/>
          <w:divBdr>
            <w:top w:val="none" w:sz="0" w:space="0" w:color="auto"/>
            <w:left w:val="none" w:sz="0" w:space="0" w:color="auto"/>
            <w:bottom w:val="none" w:sz="0" w:space="0" w:color="auto"/>
            <w:right w:val="none" w:sz="0" w:space="0" w:color="auto"/>
          </w:divBdr>
        </w:div>
        <w:div w:id="248277090">
          <w:marLeft w:val="0"/>
          <w:marRight w:val="0"/>
          <w:marTop w:val="0"/>
          <w:marBottom w:val="0"/>
          <w:divBdr>
            <w:top w:val="none" w:sz="0" w:space="0" w:color="auto"/>
            <w:left w:val="none" w:sz="0" w:space="0" w:color="auto"/>
            <w:bottom w:val="none" w:sz="0" w:space="0" w:color="auto"/>
            <w:right w:val="none" w:sz="0" w:space="0" w:color="auto"/>
          </w:divBdr>
        </w:div>
        <w:div w:id="519005954">
          <w:marLeft w:val="0"/>
          <w:marRight w:val="0"/>
          <w:marTop w:val="0"/>
          <w:marBottom w:val="0"/>
          <w:divBdr>
            <w:top w:val="none" w:sz="0" w:space="0" w:color="auto"/>
            <w:left w:val="none" w:sz="0" w:space="0" w:color="auto"/>
            <w:bottom w:val="none" w:sz="0" w:space="0" w:color="auto"/>
            <w:right w:val="none" w:sz="0" w:space="0" w:color="auto"/>
          </w:divBdr>
        </w:div>
      </w:divsChild>
    </w:div>
    <w:div w:id="1787777119">
      <w:bodyDiv w:val="1"/>
      <w:marLeft w:val="0"/>
      <w:marRight w:val="0"/>
      <w:marTop w:val="0"/>
      <w:marBottom w:val="0"/>
      <w:divBdr>
        <w:top w:val="none" w:sz="0" w:space="0" w:color="auto"/>
        <w:left w:val="none" w:sz="0" w:space="0" w:color="auto"/>
        <w:bottom w:val="none" w:sz="0" w:space="0" w:color="auto"/>
        <w:right w:val="none" w:sz="0" w:space="0" w:color="auto"/>
      </w:divBdr>
      <w:divsChild>
        <w:div w:id="1312443050">
          <w:marLeft w:val="0"/>
          <w:marRight w:val="0"/>
          <w:marTop w:val="0"/>
          <w:marBottom w:val="0"/>
          <w:divBdr>
            <w:top w:val="none" w:sz="0" w:space="0" w:color="auto"/>
            <w:left w:val="none" w:sz="0" w:space="0" w:color="auto"/>
            <w:bottom w:val="none" w:sz="0" w:space="0" w:color="auto"/>
            <w:right w:val="none" w:sz="0" w:space="0" w:color="auto"/>
          </w:divBdr>
          <w:divsChild>
            <w:div w:id="48920656">
              <w:marLeft w:val="0"/>
              <w:marRight w:val="0"/>
              <w:marTop w:val="0"/>
              <w:marBottom w:val="0"/>
              <w:divBdr>
                <w:top w:val="none" w:sz="0" w:space="0" w:color="auto"/>
                <w:left w:val="none" w:sz="0" w:space="0" w:color="auto"/>
                <w:bottom w:val="none" w:sz="0" w:space="0" w:color="auto"/>
                <w:right w:val="none" w:sz="0" w:space="0" w:color="auto"/>
              </w:divBdr>
              <w:divsChild>
                <w:div w:id="311638680">
                  <w:marLeft w:val="0"/>
                  <w:marRight w:val="0"/>
                  <w:marTop w:val="0"/>
                  <w:marBottom w:val="0"/>
                  <w:divBdr>
                    <w:top w:val="none" w:sz="0" w:space="0" w:color="auto"/>
                    <w:left w:val="none" w:sz="0" w:space="0" w:color="auto"/>
                    <w:bottom w:val="none" w:sz="0" w:space="0" w:color="auto"/>
                    <w:right w:val="none" w:sz="0" w:space="0" w:color="auto"/>
                  </w:divBdr>
                  <w:divsChild>
                    <w:div w:id="1837767499">
                      <w:marLeft w:val="0"/>
                      <w:marRight w:val="0"/>
                      <w:marTop w:val="0"/>
                      <w:marBottom w:val="0"/>
                      <w:divBdr>
                        <w:top w:val="none" w:sz="0" w:space="0" w:color="auto"/>
                        <w:left w:val="none" w:sz="0" w:space="0" w:color="auto"/>
                        <w:bottom w:val="none" w:sz="0" w:space="0" w:color="auto"/>
                        <w:right w:val="none" w:sz="0" w:space="0" w:color="auto"/>
                      </w:divBdr>
                      <w:divsChild>
                        <w:div w:id="342172280">
                          <w:marLeft w:val="0"/>
                          <w:marRight w:val="0"/>
                          <w:marTop w:val="0"/>
                          <w:marBottom w:val="0"/>
                          <w:divBdr>
                            <w:top w:val="none" w:sz="0" w:space="0" w:color="auto"/>
                            <w:left w:val="none" w:sz="0" w:space="0" w:color="auto"/>
                            <w:bottom w:val="none" w:sz="0" w:space="0" w:color="auto"/>
                            <w:right w:val="none" w:sz="0" w:space="0" w:color="auto"/>
                          </w:divBdr>
                          <w:divsChild>
                            <w:div w:id="1961836892">
                              <w:marLeft w:val="0"/>
                              <w:marRight w:val="0"/>
                              <w:marTop w:val="15"/>
                              <w:marBottom w:val="0"/>
                              <w:divBdr>
                                <w:top w:val="none" w:sz="0" w:space="0" w:color="auto"/>
                                <w:left w:val="none" w:sz="0" w:space="0" w:color="auto"/>
                                <w:bottom w:val="none" w:sz="0" w:space="0" w:color="auto"/>
                                <w:right w:val="none" w:sz="0" w:space="0" w:color="auto"/>
                              </w:divBdr>
                              <w:divsChild>
                                <w:div w:id="1447892369">
                                  <w:marLeft w:val="0"/>
                                  <w:marRight w:val="0"/>
                                  <w:marTop w:val="0"/>
                                  <w:marBottom w:val="0"/>
                                  <w:divBdr>
                                    <w:top w:val="none" w:sz="0" w:space="0" w:color="auto"/>
                                    <w:left w:val="none" w:sz="0" w:space="0" w:color="auto"/>
                                    <w:bottom w:val="none" w:sz="0" w:space="0" w:color="auto"/>
                                    <w:right w:val="none" w:sz="0" w:space="0" w:color="auto"/>
                                  </w:divBdr>
                                  <w:divsChild>
                                    <w:div w:id="1181629417">
                                      <w:marLeft w:val="0"/>
                                      <w:marRight w:val="0"/>
                                      <w:marTop w:val="0"/>
                                      <w:marBottom w:val="0"/>
                                      <w:divBdr>
                                        <w:top w:val="none" w:sz="0" w:space="0" w:color="auto"/>
                                        <w:left w:val="none" w:sz="0" w:space="0" w:color="auto"/>
                                        <w:bottom w:val="none" w:sz="0" w:space="0" w:color="auto"/>
                                        <w:right w:val="none" w:sz="0" w:space="0" w:color="auto"/>
                                      </w:divBdr>
                                    </w:div>
                                    <w:div w:id="1685210597">
                                      <w:marLeft w:val="0"/>
                                      <w:marRight w:val="0"/>
                                      <w:marTop w:val="0"/>
                                      <w:marBottom w:val="0"/>
                                      <w:divBdr>
                                        <w:top w:val="none" w:sz="0" w:space="0" w:color="auto"/>
                                        <w:left w:val="none" w:sz="0" w:space="0" w:color="auto"/>
                                        <w:bottom w:val="none" w:sz="0" w:space="0" w:color="auto"/>
                                        <w:right w:val="none" w:sz="0" w:space="0" w:color="auto"/>
                                      </w:divBdr>
                                    </w:div>
                                    <w:div w:id="2059087515">
                                      <w:marLeft w:val="0"/>
                                      <w:marRight w:val="0"/>
                                      <w:marTop w:val="0"/>
                                      <w:marBottom w:val="0"/>
                                      <w:divBdr>
                                        <w:top w:val="none" w:sz="0" w:space="0" w:color="auto"/>
                                        <w:left w:val="none" w:sz="0" w:space="0" w:color="auto"/>
                                        <w:bottom w:val="none" w:sz="0" w:space="0" w:color="auto"/>
                                        <w:right w:val="none" w:sz="0" w:space="0" w:color="auto"/>
                                      </w:divBdr>
                                    </w:div>
                                    <w:div w:id="2093772526">
                                      <w:marLeft w:val="0"/>
                                      <w:marRight w:val="0"/>
                                      <w:marTop w:val="0"/>
                                      <w:marBottom w:val="0"/>
                                      <w:divBdr>
                                        <w:top w:val="none" w:sz="0" w:space="0" w:color="auto"/>
                                        <w:left w:val="none" w:sz="0" w:space="0" w:color="auto"/>
                                        <w:bottom w:val="none" w:sz="0" w:space="0" w:color="auto"/>
                                        <w:right w:val="none" w:sz="0" w:space="0" w:color="auto"/>
                                      </w:divBdr>
                                    </w:div>
                                    <w:div w:id="11298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8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699BD-BCF5-4DBD-86DB-7302EFF9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4</TotalTime>
  <Pages>50</Pages>
  <Words>7758</Words>
  <Characters>44225</Characters>
  <Application>Microsoft Office Word</Application>
  <DocSecurity>0</DocSecurity>
  <Lines>368</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51880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Romana</dc:creator>
  <cp:lastModifiedBy>HILL Romana</cp:lastModifiedBy>
  <cp:revision>3</cp:revision>
  <cp:lastPrinted>2018-05-17T09:33:00Z</cp:lastPrinted>
  <dcterms:created xsi:type="dcterms:W3CDTF">2019-05-06T14:37:00Z</dcterms:created>
  <dcterms:modified xsi:type="dcterms:W3CDTF">2020-03-04T16:15:00Z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Green (DQC version 03)</vt:lpwstr>
  </property>
</Properties>
</file>