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2E66C1" w:rsidTr="0010095E">
        <w:trPr>
          <w:trHeight w:hRule="exact" w:val="1418"/>
        </w:trPr>
        <w:tc>
          <w:tcPr>
            <w:tcW w:w="6804" w:type="dxa"/>
            <w:shd w:val="clear" w:color="auto" w:fill="auto"/>
            <w:vAlign w:val="center"/>
          </w:tcPr>
          <w:p w:rsidR="00751A4A" w:rsidRPr="002E66C1" w:rsidRDefault="00E861BD" w:rsidP="0010095E">
            <w:pPr>
              <w:pStyle w:val="EPName"/>
              <w:rPr>
                <w:lang w:val="et-EE"/>
              </w:rPr>
            </w:pPr>
            <w:r w:rsidRPr="002E66C1">
              <w:rPr>
                <w:lang w:val="et-EE"/>
              </w:rPr>
              <w:t>Euroopa Parlament</w:t>
            </w:r>
          </w:p>
          <w:p w:rsidR="00751A4A" w:rsidRPr="002E66C1" w:rsidRDefault="00756632" w:rsidP="00756632">
            <w:pPr>
              <w:pStyle w:val="EPTerm"/>
              <w:rPr>
                <w:rStyle w:val="HideTWBExt"/>
                <w:noProof w:val="0"/>
                <w:vanish w:val="0"/>
                <w:color w:val="auto"/>
                <w:lang w:val="et-EE"/>
              </w:rPr>
            </w:pPr>
            <w:r w:rsidRPr="002E66C1">
              <w:rPr>
                <w:lang w:val="et-EE"/>
              </w:rPr>
              <w:t>2014</w:t>
            </w:r>
            <w:r w:rsidR="00C941CB" w:rsidRPr="002E66C1">
              <w:rPr>
                <w:lang w:val="et-EE"/>
              </w:rPr>
              <w:t>-2019</w:t>
            </w:r>
          </w:p>
        </w:tc>
        <w:tc>
          <w:tcPr>
            <w:tcW w:w="2268" w:type="dxa"/>
            <w:shd w:val="clear" w:color="auto" w:fill="auto"/>
          </w:tcPr>
          <w:p w:rsidR="00751A4A" w:rsidRPr="002E66C1" w:rsidRDefault="00CD1727"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D058B8" w:rsidRPr="002E66C1" w:rsidRDefault="00D058B8" w:rsidP="00D058B8">
      <w:pPr>
        <w:pStyle w:val="LineTop"/>
        <w:rPr>
          <w:lang w:val="et-EE"/>
        </w:rPr>
      </w:pPr>
    </w:p>
    <w:p w:rsidR="00680577" w:rsidRPr="002E66C1" w:rsidRDefault="00E861BD" w:rsidP="00680577">
      <w:pPr>
        <w:pStyle w:val="ZSessionDoc"/>
        <w:rPr>
          <w:b/>
          <w:i w:val="0"/>
        </w:rPr>
      </w:pPr>
      <w:r w:rsidRPr="002E66C1">
        <w:rPr>
          <w:b/>
          <w:i w:val="0"/>
        </w:rPr>
        <w:t>VASTUVÕETUD TEKSTID</w:t>
      </w:r>
    </w:p>
    <w:p w:rsidR="00D058B8" w:rsidRPr="002E66C1" w:rsidRDefault="00D058B8" w:rsidP="00D058B8">
      <w:pPr>
        <w:pStyle w:val="LineBottom"/>
      </w:pPr>
    </w:p>
    <w:p w:rsidR="00E861BD" w:rsidRPr="002E66C1" w:rsidRDefault="00E861BD" w:rsidP="00E861BD">
      <w:pPr>
        <w:pStyle w:val="ATHeading1"/>
        <w:rPr>
          <w:noProof w:val="0"/>
          <w:lang w:val="et-EE"/>
        </w:rPr>
      </w:pPr>
      <w:bookmarkStart w:id="0" w:name="TANumber"/>
      <w:r w:rsidRPr="002E66C1">
        <w:rPr>
          <w:noProof w:val="0"/>
          <w:lang w:val="et-EE"/>
        </w:rPr>
        <w:t>P8_TA</w:t>
      </w:r>
      <w:bookmarkStart w:id="1" w:name="_GoBack"/>
      <w:bookmarkEnd w:id="1"/>
      <w:r w:rsidRPr="002E66C1">
        <w:rPr>
          <w:noProof w:val="0"/>
          <w:lang w:val="et-EE"/>
        </w:rPr>
        <w:t>(2019)0</w:t>
      </w:r>
      <w:r w:rsidR="0096461B" w:rsidRPr="002E66C1">
        <w:rPr>
          <w:noProof w:val="0"/>
          <w:lang w:val="et-EE"/>
        </w:rPr>
        <w:t>289</w:t>
      </w:r>
      <w:bookmarkEnd w:id="0"/>
    </w:p>
    <w:p w:rsidR="00E861BD" w:rsidRPr="002E66C1" w:rsidRDefault="00E861BD" w:rsidP="00E861BD">
      <w:pPr>
        <w:pStyle w:val="ATHeading2"/>
        <w:rPr>
          <w:noProof w:val="0"/>
          <w:lang w:val="et-EE"/>
        </w:rPr>
      </w:pPr>
      <w:bookmarkStart w:id="2" w:name="title"/>
      <w:r w:rsidRPr="002E66C1">
        <w:rPr>
          <w:noProof w:val="0"/>
          <w:lang w:val="et-EE"/>
        </w:rPr>
        <w:t xml:space="preserve">2017. aasta eelarve täitmisele heakskiidu andmine: </w:t>
      </w:r>
      <w:proofErr w:type="spellStart"/>
      <w:r w:rsidR="00B474AB" w:rsidRPr="002E66C1">
        <w:rPr>
          <w:noProof w:val="0"/>
          <w:lang w:val="et-EE"/>
        </w:rPr>
        <w:t>ühisettevõte</w:t>
      </w:r>
      <w:proofErr w:type="spellEnd"/>
      <w:r w:rsidR="00B474AB" w:rsidRPr="002E66C1">
        <w:rPr>
          <w:noProof w:val="0"/>
          <w:lang w:val="et-EE"/>
        </w:rPr>
        <w:t xml:space="preserve"> – </w:t>
      </w:r>
      <w:r w:rsidRPr="002E66C1">
        <w:rPr>
          <w:noProof w:val="0"/>
          <w:lang w:val="et-EE"/>
        </w:rPr>
        <w:t>Euroopa juhtpositsiooni tugevdamine elektroonikakomponentide ja -süsteemide toel (ECSEL)</w:t>
      </w:r>
      <w:bookmarkEnd w:id="2"/>
      <w:r w:rsidRPr="002E66C1">
        <w:rPr>
          <w:noProof w:val="0"/>
          <w:lang w:val="et-EE"/>
        </w:rPr>
        <w:t xml:space="preserve"> </w:t>
      </w:r>
      <w:bookmarkStart w:id="3" w:name="Etoiles"/>
      <w:bookmarkEnd w:id="3"/>
    </w:p>
    <w:p w:rsidR="00E861BD" w:rsidRPr="002E66C1" w:rsidRDefault="00E861BD" w:rsidP="00E861BD">
      <w:pPr>
        <w:rPr>
          <w:i/>
          <w:vanish/>
        </w:rPr>
      </w:pPr>
      <w:r w:rsidRPr="002E66C1">
        <w:rPr>
          <w:i/>
        </w:rPr>
        <w:fldChar w:fldCharType="begin"/>
      </w:r>
      <w:r w:rsidRPr="002E66C1">
        <w:rPr>
          <w:i/>
        </w:rPr>
        <w:instrText xml:space="preserve"> TC"(</w:instrText>
      </w:r>
      <w:bookmarkStart w:id="4" w:name="DocNumber"/>
      <w:r w:rsidRPr="002E66C1">
        <w:rPr>
          <w:i/>
        </w:rPr>
        <w:instrText>A8-0102/2019</w:instrText>
      </w:r>
      <w:bookmarkEnd w:id="4"/>
      <w:r w:rsidRPr="002E66C1">
        <w:rPr>
          <w:i/>
        </w:rPr>
        <w:instrText xml:space="preserve"> - Raportöör: Martina </w:instrText>
      </w:r>
      <w:proofErr w:type="spellStart"/>
      <w:r w:rsidRPr="002E66C1">
        <w:rPr>
          <w:i/>
        </w:rPr>
        <w:instrText>Dlabajová</w:instrText>
      </w:r>
      <w:proofErr w:type="spellEnd"/>
      <w:r w:rsidRPr="002E66C1">
        <w:rPr>
          <w:i/>
        </w:rPr>
        <w:instrText xml:space="preserve">)"\l3 \n&gt; \* MERGEFORMAT </w:instrText>
      </w:r>
      <w:r w:rsidRPr="002E66C1">
        <w:rPr>
          <w:i/>
        </w:rPr>
        <w:fldChar w:fldCharType="end"/>
      </w:r>
    </w:p>
    <w:p w:rsidR="00E861BD" w:rsidRPr="002E66C1" w:rsidRDefault="00E861BD" w:rsidP="00E861BD">
      <w:pPr>
        <w:rPr>
          <w:vanish/>
        </w:rPr>
      </w:pPr>
      <w:bookmarkStart w:id="5" w:name="Commission"/>
      <w:r w:rsidRPr="002E66C1">
        <w:rPr>
          <w:vanish/>
        </w:rPr>
        <w:t>Eelarvekontrollikomisjon</w:t>
      </w:r>
      <w:bookmarkEnd w:id="5"/>
    </w:p>
    <w:p w:rsidR="00E861BD" w:rsidRPr="002E66C1" w:rsidRDefault="00E861BD" w:rsidP="00E861BD">
      <w:pPr>
        <w:rPr>
          <w:vanish/>
        </w:rPr>
      </w:pPr>
      <w:bookmarkStart w:id="6" w:name="PE"/>
      <w:r w:rsidRPr="002E66C1">
        <w:rPr>
          <w:vanish/>
        </w:rPr>
        <w:t>PE626.828</w:t>
      </w:r>
      <w:bookmarkEnd w:id="6"/>
    </w:p>
    <w:p w:rsidR="00E861BD" w:rsidRPr="002E66C1" w:rsidRDefault="00B474AB" w:rsidP="00E861BD">
      <w:pPr>
        <w:pStyle w:val="ATHeading3"/>
        <w:rPr>
          <w:noProof w:val="0"/>
          <w:lang w:val="et-EE"/>
        </w:rPr>
      </w:pPr>
      <w:bookmarkStart w:id="7" w:name="Sujet"/>
      <w:r w:rsidRPr="002E66C1">
        <w:rPr>
          <w:noProof w:val="0"/>
          <w:lang w:val="et-EE"/>
        </w:rPr>
        <w:t>1. E</w:t>
      </w:r>
      <w:r w:rsidR="00E861BD" w:rsidRPr="002E66C1">
        <w:rPr>
          <w:noProof w:val="0"/>
          <w:lang w:val="et-EE"/>
        </w:rPr>
        <w:t xml:space="preserve">uroopa Parlamendi </w:t>
      </w:r>
      <w:r w:rsidRPr="002E66C1">
        <w:rPr>
          <w:noProof w:val="0"/>
          <w:lang w:val="et-EE"/>
        </w:rPr>
        <w:t>26. märtsi</w:t>
      </w:r>
      <w:r w:rsidR="00E861BD" w:rsidRPr="002E66C1">
        <w:rPr>
          <w:noProof w:val="0"/>
          <w:lang w:val="et-EE"/>
        </w:rPr>
        <w:t xml:space="preserve"> 2019. aasta otsus </w:t>
      </w:r>
      <w:proofErr w:type="spellStart"/>
      <w:r w:rsidR="00E861BD" w:rsidRPr="002E66C1">
        <w:rPr>
          <w:noProof w:val="0"/>
          <w:lang w:val="et-EE"/>
        </w:rPr>
        <w:t>ühisettevõtte</w:t>
      </w:r>
      <w:proofErr w:type="spellEnd"/>
      <w:r w:rsidR="00E861BD" w:rsidRPr="002E66C1">
        <w:rPr>
          <w:noProof w:val="0"/>
          <w:lang w:val="et-EE"/>
        </w:rPr>
        <w:t xml:space="preserve"> ECSEL 2017. aasta eelarve täitmisele heakskiidu andmise kohta</w:t>
      </w:r>
      <w:bookmarkEnd w:id="7"/>
      <w:r w:rsidR="00E861BD" w:rsidRPr="002E66C1">
        <w:rPr>
          <w:noProof w:val="0"/>
          <w:lang w:val="et-EE"/>
        </w:rPr>
        <w:t xml:space="preserve"> </w:t>
      </w:r>
      <w:bookmarkStart w:id="8" w:name="References"/>
      <w:r w:rsidR="00E861BD" w:rsidRPr="002E66C1">
        <w:rPr>
          <w:noProof w:val="0"/>
          <w:lang w:val="et-EE"/>
        </w:rPr>
        <w:t>(2018/2218(DEC))</w:t>
      </w:r>
      <w:bookmarkEnd w:id="8"/>
    </w:p>
    <w:p w:rsidR="00B83173" w:rsidRPr="002E66C1" w:rsidRDefault="00B83173" w:rsidP="00B474AB">
      <w:pPr>
        <w:pStyle w:val="Normal12"/>
        <w:spacing w:before="360" w:after="120"/>
        <w:ind w:left="720" w:hanging="720"/>
      </w:pPr>
      <w:bookmarkStart w:id="9" w:name="TextBodyBegin"/>
      <w:bookmarkEnd w:id="9"/>
      <w:r w:rsidRPr="002E66C1">
        <w:rPr>
          <w:i/>
        </w:rPr>
        <w:t>Euroopa Parlament,</w:t>
      </w:r>
    </w:p>
    <w:p w:rsidR="00B83173" w:rsidRPr="002E66C1" w:rsidRDefault="00B83173" w:rsidP="00B474AB">
      <w:pPr>
        <w:pStyle w:val="Normal12Hanging"/>
        <w:spacing w:before="120" w:after="120"/>
        <w:ind w:left="720" w:hanging="720"/>
      </w:pPr>
      <w:r w:rsidRPr="002E66C1">
        <w:t>–</w:t>
      </w:r>
      <w:r w:rsidRPr="002E66C1">
        <w:tab/>
        <w:t xml:space="preserve">võttes arvesse </w:t>
      </w:r>
      <w:proofErr w:type="spellStart"/>
      <w:r w:rsidRPr="002E66C1">
        <w:t>ühisettevõtte</w:t>
      </w:r>
      <w:proofErr w:type="spellEnd"/>
      <w:r w:rsidRPr="002E66C1">
        <w:t xml:space="preserve"> ECSEL 2017. aasta lõplikku raamatupidamisaruannet,</w:t>
      </w:r>
    </w:p>
    <w:p w:rsidR="00B83173" w:rsidRPr="002E66C1" w:rsidRDefault="00B83173" w:rsidP="00B474AB">
      <w:pPr>
        <w:pStyle w:val="Normal12Hanging"/>
        <w:spacing w:before="120" w:after="120"/>
        <w:ind w:left="720" w:hanging="720"/>
      </w:pPr>
      <w:r w:rsidRPr="002E66C1">
        <w:t>–</w:t>
      </w:r>
      <w:r w:rsidRPr="002E66C1">
        <w:tab/>
        <w:t xml:space="preserve">võttes arvesse kontrollikoja aruannet </w:t>
      </w:r>
      <w:proofErr w:type="spellStart"/>
      <w:r w:rsidRPr="002E66C1">
        <w:t>ühisettevõtte</w:t>
      </w:r>
      <w:proofErr w:type="spellEnd"/>
      <w:r w:rsidRPr="002E66C1">
        <w:t xml:space="preserve"> ECSEL eelarveaasta 2017 raamatupidamise aastaaruande kohta koos </w:t>
      </w:r>
      <w:proofErr w:type="spellStart"/>
      <w:r w:rsidRPr="002E66C1">
        <w:t>ühisettevõtte</w:t>
      </w:r>
      <w:proofErr w:type="spellEnd"/>
      <w:r w:rsidRPr="002E66C1">
        <w:t xml:space="preserve"> vastusega</w:t>
      </w:r>
      <w:r w:rsidRPr="002E66C1">
        <w:rPr>
          <w:rStyle w:val="FootnoteReference"/>
        </w:rPr>
        <w:footnoteReference w:id="1"/>
      </w:r>
      <w:r w:rsidRPr="002E66C1">
        <w:t>,</w:t>
      </w:r>
    </w:p>
    <w:p w:rsidR="00B83173" w:rsidRPr="002E66C1" w:rsidRDefault="00B83173" w:rsidP="00B474AB">
      <w:pPr>
        <w:pStyle w:val="Normal12Hanging"/>
        <w:spacing w:before="120" w:after="120"/>
        <w:ind w:left="720" w:hanging="720"/>
      </w:pPr>
      <w:r w:rsidRPr="002E66C1">
        <w:t>–</w:t>
      </w:r>
      <w:r w:rsidRPr="002E66C1">
        <w:tab/>
        <w:t>võttes arvesse vastavalt Euroopa Liidu toimimise lepingu artiklile 287 tehtud kontrollikoja kinnitavat avaldust</w:t>
      </w:r>
      <w:r w:rsidRPr="002E66C1">
        <w:rPr>
          <w:rStyle w:val="FootnoteReference"/>
        </w:rPr>
        <w:footnoteReference w:id="2"/>
      </w:r>
      <w:r w:rsidRPr="002E66C1">
        <w:t xml:space="preserve"> 2017. aasta raamatupidamise aastaaruande usaldusväärsuse ja selle aluseks olevate tehingute seaduslikkuse ja korrektsuse kohta,</w:t>
      </w:r>
    </w:p>
    <w:p w:rsidR="00B83173" w:rsidRPr="002E66C1" w:rsidRDefault="00B83173" w:rsidP="00B474AB">
      <w:pPr>
        <w:pStyle w:val="Normal12Hanging"/>
        <w:spacing w:before="120" w:after="120"/>
        <w:ind w:left="720" w:hanging="720"/>
      </w:pPr>
      <w:r w:rsidRPr="002E66C1">
        <w:t>–</w:t>
      </w:r>
      <w:r w:rsidRPr="002E66C1">
        <w:tab/>
        <w:t xml:space="preserve">võttes arvesse nõukogu </w:t>
      </w:r>
      <w:r w:rsidR="00B474AB" w:rsidRPr="002E66C1">
        <w:t>1</w:t>
      </w:r>
      <w:r w:rsidRPr="002E66C1">
        <w:t xml:space="preserve">2. veebruari 2019. aasta soovitust </w:t>
      </w:r>
      <w:proofErr w:type="spellStart"/>
      <w:r w:rsidRPr="002E66C1">
        <w:t>ühisettevõtte</w:t>
      </w:r>
      <w:proofErr w:type="spellEnd"/>
      <w:r w:rsidRPr="002E66C1">
        <w:t xml:space="preserve"> tegevusele heakskiidu andmise kohta 2017. aasta eelarve täitmisel (05827/2019 – C8-0107/2019),</w:t>
      </w:r>
    </w:p>
    <w:p w:rsidR="00B83173" w:rsidRPr="002E66C1" w:rsidRDefault="00B83173" w:rsidP="00B474AB">
      <w:pPr>
        <w:pStyle w:val="Normal12Hanging"/>
        <w:spacing w:before="120" w:after="120"/>
        <w:ind w:left="720" w:hanging="720"/>
      </w:pPr>
      <w:r w:rsidRPr="002E66C1">
        <w:t>–</w:t>
      </w:r>
      <w:r w:rsidRPr="002E66C1">
        <w:tab/>
        <w:t>võttes arvesse Euroopa Liidu toimimise lepingu artiklit 319,</w:t>
      </w:r>
    </w:p>
    <w:p w:rsidR="00B83173" w:rsidRPr="002E66C1" w:rsidRDefault="00B83173" w:rsidP="00B474AB">
      <w:pPr>
        <w:pStyle w:val="Normal12Hanging"/>
        <w:spacing w:before="120" w:after="120"/>
        <w:ind w:left="720" w:hanging="720"/>
      </w:pPr>
      <w:r w:rsidRPr="002E66C1">
        <w:t>–</w:t>
      </w:r>
      <w:r w:rsidRPr="002E66C1">
        <w:tab/>
        <w:t>võttes arvesse Euroopa Parlamendi ja nõukogu 25. oktoobri 2012. aasta määrust (EL, Euratom) nr 966/2012 (mis käsitleb Euroopa Liidu üldeelarve suhtes kohaldatavaid finantseeskirju ning millega tunnistatakse kehtetuks nõukogu määrus (EÜ, Euratom) nr 1605/2002)</w:t>
      </w:r>
      <w:r w:rsidRPr="002E66C1">
        <w:rPr>
          <w:rStyle w:val="FootnoteReference"/>
        </w:rPr>
        <w:footnoteReference w:id="3"/>
      </w:r>
      <w:r w:rsidRPr="002E66C1">
        <w:t>, eriti selle artiklit 209,</w:t>
      </w:r>
    </w:p>
    <w:p w:rsidR="00B83173" w:rsidRPr="002E66C1" w:rsidRDefault="00B83173" w:rsidP="00B474AB">
      <w:pPr>
        <w:pStyle w:val="Normal12Hanging"/>
        <w:spacing w:before="120" w:after="120"/>
        <w:ind w:left="720" w:hanging="720"/>
      </w:pPr>
      <w:r w:rsidRPr="002E66C1">
        <w:t>–</w:t>
      </w:r>
      <w:r w:rsidRPr="002E66C1">
        <w:tab/>
        <w:t xml:space="preserve">võttes arvesse Euroopa Parlamendi ja nõukogu 18. juuli 2018. aasta määrust (EL, Euratom) 2018/1046 (mis käsitleb liidu üldeelarve suhtes kohaldatavaid finantsreegleid ja millega muudetakse määrusi (EL) nr 1296/2013, (EL) nr 1301/2013, </w:t>
      </w:r>
      <w:r w:rsidRPr="002E66C1">
        <w:lastRenderedPageBreak/>
        <w:t>(EL) nr 1303/2013, (EL) nr 1304/2013, (EL) nr 1309/2013, (EL) nr 1316/2013, (EL) nr 223/2014 ja (EL) nr 283/2014 ja otsust nr 541/2014/EL ning tunnistatakse kehtetuks määrus (EL, Euratom) nr 966/2012)</w:t>
      </w:r>
      <w:r w:rsidR="00B474AB" w:rsidRPr="002E66C1">
        <w:rPr>
          <w:rStyle w:val="FootnoteReference"/>
        </w:rPr>
        <w:footnoteReference w:id="4"/>
      </w:r>
      <w:r w:rsidRPr="002E66C1">
        <w:t>, eriti selle artiklit 71,</w:t>
      </w:r>
    </w:p>
    <w:p w:rsidR="00B83173" w:rsidRPr="002E66C1" w:rsidRDefault="00B83173" w:rsidP="00B474AB">
      <w:pPr>
        <w:pStyle w:val="Normal12Hanging"/>
        <w:spacing w:before="120" w:after="120"/>
        <w:ind w:left="720" w:hanging="720"/>
      </w:pPr>
      <w:r w:rsidRPr="002E66C1">
        <w:t>–</w:t>
      </w:r>
      <w:r w:rsidRPr="002E66C1">
        <w:tab/>
        <w:t xml:space="preserve">võttes arvesse nõukogu 6. mai 2014. aasta määrust (EL) nr 561/2014 </w:t>
      </w:r>
      <w:proofErr w:type="spellStart"/>
      <w:r w:rsidRPr="002E66C1">
        <w:t>ühisettevõtte</w:t>
      </w:r>
      <w:proofErr w:type="spellEnd"/>
      <w:r w:rsidRPr="002E66C1">
        <w:t xml:space="preserve"> ECSEL asutamise kohta</w:t>
      </w:r>
      <w:r w:rsidRPr="002E66C1">
        <w:rPr>
          <w:rStyle w:val="FootnoteReference"/>
        </w:rPr>
        <w:footnoteReference w:id="5"/>
      </w:r>
      <w:r w:rsidRPr="002E66C1">
        <w:t>, eriti selle artiklit 12,</w:t>
      </w:r>
    </w:p>
    <w:p w:rsidR="00B83173" w:rsidRPr="002E66C1" w:rsidRDefault="00B83173" w:rsidP="00B474AB">
      <w:pPr>
        <w:pStyle w:val="Normal12Hanging"/>
        <w:spacing w:before="120" w:after="120"/>
        <w:ind w:left="720" w:hanging="720"/>
      </w:pPr>
      <w:r w:rsidRPr="002E66C1">
        <w:t>–</w:t>
      </w:r>
      <w:r w:rsidRPr="002E66C1">
        <w:tab/>
        <w:t>võttes arvesse komisjoni 30. septembri 2013. aasta delegeeritud määrust (EL) nr 110/2014 Euroopa Parlamendi ja nõukogu määruse (EL, Euratom) nr 966/2012 artiklis 209 osutatud avaliku ja erasektori partnerlusel põhinevate asutuste näidisfinantsmääruse kohta</w:t>
      </w:r>
      <w:r w:rsidRPr="002E66C1">
        <w:rPr>
          <w:rStyle w:val="FootnoteReference"/>
        </w:rPr>
        <w:footnoteReference w:id="6"/>
      </w:r>
      <w:r w:rsidRPr="002E66C1">
        <w:t>,</w:t>
      </w:r>
    </w:p>
    <w:p w:rsidR="00B83173" w:rsidRPr="002E66C1" w:rsidRDefault="00B83173" w:rsidP="00B474AB">
      <w:pPr>
        <w:pStyle w:val="Normal12Hanging"/>
        <w:spacing w:before="120" w:after="120"/>
        <w:ind w:left="720" w:hanging="720"/>
      </w:pPr>
      <w:r w:rsidRPr="002E66C1">
        <w:t>–</w:t>
      </w:r>
      <w:r w:rsidRPr="002E66C1">
        <w:tab/>
        <w:t>võttes arvesse kodukorra artiklit 94 ja IV lisa,</w:t>
      </w:r>
    </w:p>
    <w:p w:rsidR="00B83173" w:rsidRPr="002E66C1" w:rsidRDefault="00B83173" w:rsidP="00B474AB">
      <w:pPr>
        <w:pStyle w:val="Normal12Hanging"/>
        <w:spacing w:before="120" w:after="120"/>
        <w:ind w:left="720" w:hanging="720"/>
      </w:pPr>
      <w:r w:rsidRPr="002E66C1">
        <w:t>–</w:t>
      </w:r>
      <w:r w:rsidRPr="002E66C1">
        <w:tab/>
        <w:t>võttes arvesse eelarvekontrollikomisjoni raportit (A8-0102/2019),</w:t>
      </w:r>
    </w:p>
    <w:p w:rsidR="00B83173" w:rsidRPr="002E66C1" w:rsidRDefault="00B83173" w:rsidP="00B474AB">
      <w:pPr>
        <w:pStyle w:val="Normal12Hanging"/>
        <w:spacing w:before="120" w:after="120"/>
        <w:ind w:left="720" w:hanging="720"/>
      </w:pPr>
      <w:r w:rsidRPr="002E66C1">
        <w:t>1.</w:t>
      </w:r>
      <w:r w:rsidRPr="002E66C1">
        <w:tab/>
        <w:t xml:space="preserve">annab heakskiidu </w:t>
      </w:r>
      <w:proofErr w:type="spellStart"/>
      <w:r w:rsidRPr="002E66C1">
        <w:t>ühisettevõtte</w:t>
      </w:r>
      <w:proofErr w:type="spellEnd"/>
      <w:r w:rsidRPr="002E66C1">
        <w:t xml:space="preserve"> ECSEL tegevdirektori tegevusele </w:t>
      </w:r>
      <w:proofErr w:type="spellStart"/>
      <w:r w:rsidRPr="002E66C1">
        <w:t>ühisettevõtte</w:t>
      </w:r>
      <w:proofErr w:type="spellEnd"/>
      <w:r w:rsidRPr="002E66C1">
        <w:t xml:space="preserve"> 2017. aasta eelarve täitmisel;</w:t>
      </w:r>
    </w:p>
    <w:p w:rsidR="00B83173" w:rsidRPr="002E66C1" w:rsidRDefault="00B83173" w:rsidP="00B474AB">
      <w:pPr>
        <w:pStyle w:val="Normal12Hanging"/>
        <w:spacing w:before="120" w:after="120"/>
        <w:ind w:left="720" w:hanging="720"/>
      </w:pPr>
      <w:r w:rsidRPr="002E66C1">
        <w:t>2.</w:t>
      </w:r>
      <w:r w:rsidRPr="002E66C1">
        <w:tab/>
        <w:t xml:space="preserve">esitab oma tähelepanekud </w:t>
      </w:r>
      <w:proofErr w:type="spellStart"/>
      <w:r w:rsidRPr="002E66C1">
        <w:t>alltoodud</w:t>
      </w:r>
      <w:proofErr w:type="spellEnd"/>
      <w:r w:rsidRPr="002E66C1">
        <w:t xml:space="preserve"> resolutsioonis;</w:t>
      </w:r>
    </w:p>
    <w:p w:rsidR="00B83173" w:rsidRPr="002E66C1" w:rsidRDefault="00B83173" w:rsidP="00B474AB">
      <w:pPr>
        <w:pStyle w:val="Normal12Hanging"/>
        <w:spacing w:before="120" w:after="120"/>
        <w:ind w:left="720" w:hanging="720"/>
      </w:pPr>
      <w:r w:rsidRPr="002E66C1">
        <w:t>3.</w:t>
      </w:r>
      <w:r w:rsidRPr="002E66C1">
        <w:tab/>
        <w:t xml:space="preserve">teeb presidendile ülesandeks edastada käesolev otsus ja resolutsioon, mis on selle lahutamatu osa, </w:t>
      </w:r>
      <w:proofErr w:type="spellStart"/>
      <w:r w:rsidRPr="002E66C1">
        <w:t>ühisettevõtte</w:t>
      </w:r>
      <w:proofErr w:type="spellEnd"/>
      <w:r w:rsidRPr="002E66C1">
        <w:t xml:space="preserve"> ESCEL tegevdirektorile, nõukogule, komisjonile ja kontrollikojale ning korraldada nende avaldamine </w:t>
      </w:r>
      <w:r w:rsidRPr="002E66C1">
        <w:rPr>
          <w:i/>
        </w:rPr>
        <w:t>Euroopa Liidu Teatajas</w:t>
      </w:r>
      <w:r w:rsidRPr="002E66C1">
        <w:t xml:space="preserve"> (L-seerias).</w:t>
      </w:r>
    </w:p>
    <w:p w:rsidR="00B83173" w:rsidRPr="002E66C1" w:rsidRDefault="00FC6B81" w:rsidP="00FC6B81">
      <w:pPr>
        <w:pStyle w:val="ATHeading3"/>
        <w:rPr>
          <w:lang w:val="et-EE"/>
        </w:rPr>
      </w:pPr>
      <w:r w:rsidRPr="002E66C1">
        <w:rPr>
          <w:lang w:val="et-EE"/>
        </w:rPr>
        <w:br w:type="page"/>
      </w:r>
      <w:bookmarkStart w:id="10" w:name="_Toc3531108"/>
      <w:r w:rsidRPr="002E66C1">
        <w:rPr>
          <w:lang w:val="et-EE"/>
        </w:rPr>
        <w:lastRenderedPageBreak/>
        <w:t>2. Euroopa Parlamendi 26. märtsi 2019. aasta otsus</w:t>
      </w:r>
      <w:bookmarkEnd w:id="10"/>
      <w:r w:rsidRPr="002E66C1">
        <w:rPr>
          <w:lang w:val="et-EE"/>
        </w:rPr>
        <w:t xml:space="preserve"> </w:t>
      </w:r>
      <w:r w:rsidR="00B83173" w:rsidRPr="002E66C1">
        <w:rPr>
          <w:lang w:val="et-EE"/>
        </w:rPr>
        <w:t>ühisettevõtte ECSEL 2017. aasta raamatupidamiskontode sulgemise kohta</w:t>
      </w:r>
      <w:r w:rsidRPr="002E66C1">
        <w:rPr>
          <w:lang w:val="et-EE"/>
        </w:rPr>
        <w:t xml:space="preserve"> </w:t>
      </w:r>
      <w:r w:rsidR="00B83173" w:rsidRPr="002E66C1">
        <w:rPr>
          <w:lang w:val="et-EE"/>
        </w:rPr>
        <w:t>(2018/2218(DEC))</w:t>
      </w:r>
    </w:p>
    <w:p w:rsidR="00B83173" w:rsidRPr="002E66C1" w:rsidRDefault="00B83173" w:rsidP="00FC6B81">
      <w:pPr>
        <w:pStyle w:val="Normal12"/>
        <w:spacing w:before="360" w:after="120"/>
        <w:ind w:left="720" w:hanging="720"/>
      </w:pPr>
      <w:r w:rsidRPr="002E66C1">
        <w:rPr>
          <w:i/>
        </w:rPr>
        <w:t>Euroopa Parlament,</w:t>
      </w:r>
    </w:p>
    <w:p w:rsidR="00B83173" w:rsidRPr="002E66C1" w:rsidRDefault="00B83173" w:rsidP="00FC6B81">
      <w:pPr>
        <w:pStyle w:val="Normal12Hanging"/>
        <w:spacing w:before="120" w:after="120"/>
        <w:ind w:left="720" w:hanging="720"/>
      </w:pPr>
      <w:r w:rsidRPr="002E66C1">
        <w:t>–</w:t>
      </w:r>
      <w:r w:rsidRPr="002E66C1">
        <w:tab/>
        <w:t xml:space="preserve">võttes arvesse </w:t>
      </w:r>
      <w:proofErr w:type="spellStart"/>
      <w:r w:rsidRPr="002E66C1">
        <w:t>ühisettevõtte</w:t>
      </w:r>
      <w:proofErr w:type="spellEnd"/>
      <w:r w:rsidRPr="002E66C1">
        <w:t xml:space="preserve"> ECSEL 2017. aasta lõplikku raamatupidamisaruannet,</w:t>
      </w:r>
    </w:p>
    <w:p w:rsidR="00B83173" w:rsidRPr="002E66C1" w:rsidRDefault="00B83173" w:rsidP="00FC6B81">
      <w:pPr>
        <w:pStyle w:val="Normal12Hanging"/>
        <w:spacing w:before="120" w:after="120"/>
        <w:ind w:left="720" w:hanging="720"/>
      </w:pPr>
      <w:r w:rsidRPr="002E66C1">
        <w:t>–</w:t>
      </w:r>
      <w:r w:rsidRPr="002E66C1">
        <w:tab/>
        <w:t xml:space="preserve">võttes arvesse kontrollikoja aruannet </w:t>
      </w:r>
      <w:proofErr w:type="spellStart"/>
      <w:r w:rsidRPr="002E66C1">
        <w:t>ühisettevõtte</w:t>
      </w:r>
      <w:proofErr w:type="spellEnd"/>
      <w:r w:rsidRPr="002E66C1">
        <w:t xml:space="preserve"> ECSEL eelarveaasta 2017 raamatupidamise aastaaruande kohta koos </w:t>
      </w:r>
      <w:proofErr w:type="spellStart"/>
      <w:r w:rsidRPr="002E66C1">
        <w:t>ühisettevõtte</w:t>
      </w:r>
      <w:proofErr w:type="spellEnd"/>
      <w:r w:rsidRPr="002E66C1">
        <w:t xml:space="preserve"> vastusega</w:t>
      </w:r>
      <w:r w:rsidRPr="002E66C1">
        <w:rPr>
          <w:rStyle w:val="FootnoteReference"/>
        </w:rPr>
        <w:footnoteReference w:id="7"/>
      </w:r>
      <w:r w:rsidRPr="002E66C1">
        <w:t>,</w:t>
      </w:r>
    </w:p>
    <w:p w:rsidR="00B83173" w:rsidRPr="002E66C1" w:rsidRDefault="00B83173" w:rsidP="00FC6B81">
      <w:pPr>
        <w:pStyle w:val="Normal12Hanging"/>
        <w:spacing w:before="120" w:after="120"/>
        <w:ind w:left="720" w:hanging="720"/>
      </w:pPr>
      <w:r w:rsidRPr="002E66C1">
        <w:t>–</w:t>
      </w:r>
      <w:r w:rsidRPr="002E66C1">
        <w:tab/>
        <w:t>võttes arvesse vastavalt Euroopa Liidu toimimise lepingu artiklile 287 tehtud kontrollikoja kinnitavat avaldust</w:t>
      </w:r>
      <w:r w:rsidRPr="002E66C1">
        <w:rPr>
          <w:rStyle w:val="FootnoteReference"/>
        </w:rPr>
        <w:footnoteReference w:id="8"/>
      </w:r>
      <w:r w:rsidRPr="002E66C1">
        <w:t xml:space="preserve"> 2017. aasta raamatupidamise aastaaruande usaldusväärsuse ja selle aluseks olevate tehingute seaduslikkuse ja korrektsuse kohta,</w:t>
      </w:r>
    </w:p>
    <w:p w:rsidR="00B83173" w:rsidRPr="002E66C1" w:rsidRDefault="00B83173" w:rsidP="00FC6B81">
      <w:pPr>
        <w:pStyle w:val="Normal12Hanging"/>
        <w:spacing w:before="120" w:after="120"/>
        <w:ind w:left="720" w:hanging="720"/>
      </w:pPr>
      <w:r w:rsidRPr="002E66C1">
        <w:t>–</w:t>
      </w:r>
      <w:r w:rsidRPr="002E66C1">
        <w:tab/>
        <w:t xml:space="preserve">võttes arvesse nõukogu </w:t>
      </w:r>
      <w:r w:rsidR="00FC6B81" w:rsidRPr="002E66C1">
        <w:t>1</w:t>
      </w:r>
      <w:r w:rsidRPr="002E66C1">
        <w:t xml:space="preserve">2. veebruari 2019. aasta soovitust </w:t>
      </w:r>
      <w:proofErr w:type="spellStart"/>
      <w:r w:rsidRPr="002E66C1">
        <w:t>ühisettevõtte</w:t>
      </w:r>
      <w:proofErr w:type="spellEnd"/>
      <w:r w:rsidRPr="002E66C1">
        <w:t xml:space="preserve"> tegevusele heakskiidu andmise kohta 2017. aasta eelarve täitmisel (05827/2019 – C8-0107/2019),</w:t>
      </w:r>
    </w:p>
    <w:p w:rsidR="00B83173" w:rsidRPr="002E66C1" w:rsidRDefault="00B83173" w:rsidP="00FC6B81">
      <w:pPr>
        <w:pStyle w:val="Normal12Hanging"/>
        <w:spacing w:before="120" w:after="120"/>
        <w:ind w:left="720" w:hanging="720"/>
      </w:pPr>
      <w:r w:rsidRPr="002E66C1">
        <w:t>–</w:t>
      </w:r>
      <w:r w:rsidRPr="002E66C1">
        <w:tab/>
        <w:t>võttes arvesse Euroopa Liidu toimimise lepingu artiklit 319,</w:t>
      </w:r>
    </w:p>
    <w:p w:rsidR="00B83173" w:rsidRPr="002E66C1" w:rsidRDefault="00B83173" w:rsidP="00FC6B81">
      <w:pPr>
        <w:pStyle w:val="Normal12Hanging"/>
        <w:spacing w:before="120" w:after="120"/>
        <w:ind w:left="720" w:hanging="720"/>
      </w:pPr>
      <w:r w:rsidRPr="002E66C1">
        <w:t>–</w:t>
      </w:r>
      <w:r w:rsidRPr="002E66C1">
        <w:tab/>
        <w:t>võttes arvesse Euroopa Parlamendi ja nõukogu 25. oktoobri 2012. aasta määrust (EL, Euratom) nr 966/2012 (mis käsitleb Euroopa Liidu üldeelarve suhtes kohaldatavaid finantseeskirju ning millega tunnistatakse kehtetuks nõukogu määrus (EÜ, Euratom) nr 1605/2002)</w:t>
      </w:r>
      <w:r w:rsidRPr="002E66C1">
        <w:rPr>
          <w:rStyle w:val="FootnoteReference"/>
        </w:rPr>
        <w:footnoteReference w:id="9"/>
      </w:r>
      <w:r w:rsidRPr="002E66C1">
        <w:t>, eriti selle artiklit 209,</w:t>
      </w:r>
    </w:p>
    <w:p w:rsidR="00B83173" w:rsidRPr="002E66C1" w:rsidRDefault="00B83173" w:rsidP="00FC6B81">
      <w:pPr>
        <w:pStyle w:val="Normal12Hanging"/>
        <w:spacing w:before="120" w:after="120"/>
        <w:ind w:left="720" w:hanging="720"/>
      </w:pPr>
      <w:r w:rsidRPr="002E66C1">
        <w:t>–</w:t>
      </w:r>
      <w:r w:rsidRPr="002E66C1">
        <w:tab/>
        <w:t>võttes arvesse Euroopa Parlamendi ja nõukogu 18. juuli 2018. aasta määrust (EL, Euratom) 2018/1046 (mis käsitleb liidu üldeelarve suhtes kohaldatavaid finantsreegleid ja millega muudetakse määrusi (EL) nr 1296/2013, (EL) nr 1301/2013, (EL) nr 1303/2013, (EL) nr 1304/2013, (EL) nr 1309/2013, (EL) nr 1316/2013, (EL) nr 223/2014 ja (EL) nr 283/2014 ja otsust nr 541/2014/EL ning tunnistatakse kehtetuks määrus (EL, Euratom) nr 966/2012)</w:t>
      </w:r>
      <w:r w:rsidR="00FC6B81" w:rsidRPr="002E66C1">
        <w:rPr>
          <w:rStyle w:val="FootnoteReference"/>
        </w:rPr>
        <w:footnoteReference w:id="10"/>
      </w:r>
      <w:r w:rsidRPr="002E66C1">
        <w:t>, eriti selle artiklit 71,</w:t>
      </w:r>
    </w:p>
    <w:p w:rsidR="00B83173" w:rsidRPr="002E66C1" w:rsidRDefault="00B83173" w:rsidP="00FC6B81">
      <w:pPr>
        <w:pStyle w:val="Normal12Hanging"/>
        <w:spacing w:before="120" w:after="120"/>
        <w:ind w:left="720" w:hanging="720"/>
      </w:pPr>
      <w:r w:rsidRPr="002E66C1">
        <w:t>–</w:t>
      </w:r>
      <w:r w:rsidRPr="002E66C1">
        <w:tab/>
        <w:t xml:space="preserve">võttes arvesse nõukogu 6. mai 2014. aasta määrust (EL) nr 561/2014 </w:t>
      </w:r>
      <w:proofErr w:type="spellStart"/>
      <w:r w:rsidRPr="002E66C1">
        <w:t>ühisettevõtte</w:t>
      </w:r>
      <w:proofErr w:type="spellEnd"/>
      <w:r w:rsidRPr="002E66C1">
        <w:t xml:space="preserve"> ECSEL asutamise kohta</w:t>
      </w:r>
      <w:r w:rsidRPr="002E66C1">
        <w:rPr>
          <w:rStyle w:val="FootnoteReference"/>
        </w:rPr>
        <w:footnoteReference w:id="11"/>
      </w:r>
      <w:r w:rsidRPr="002E66C1">
        <w:t>, eriti selle artiklit 12,</w:t>
      </w:r>
    </w:p>
    <w:p w:rsidR="00B83173" w:rsidRPr="002E66C1" w:rsidRDefault="00B83173" w:rsidP="00FC6B81">
      <w:pPr>
        <w:pStyle w:val="Normal12Hanging"/>
        <w:spacing w:before="120" w:after="120"/>
        <w:ind w:left="720" w:hanging="720"/>
      </w:pPr>
      <w:r w:rsidRPr="002E66C1">
        <w:t>–</w:t>
      </w:r>
      <w:r w:rsidRPr="002E66C1">
        <w:tab/>
        <w:t>võttes arvesse komisjoni 30. septembri 2013. aasta delegeeritud määrust (EL) nr 110/2014 Euroopa Parlamendi ja nõukogu määruse (EL, Euratom) nr 966/2012 artiklis 209 osutatud avaliku ja erasektori partnerlusel põhinevate asutuste näidisfinantsmääruse kohta</w:t>
      </w:r>
      <w:r w:rsidRPr="002E66C1">
        <w:rPr>
          <w:rStyle w:val="FootnoteReference"/>
        </w:rPr>
        <w:footnoteReference w:id="12"/>
      </w:r>
      <w:r w:rsidRPr="002E66C1">
        <w:t>,</w:t>
      </w:r>
    </w:p>
    <w:p w:rsidR="00B83173" w:rsidRPr="002E66C1" w:rsidRDefault="00B83173" w:rsidP="00FC6B81">
      <w:pPr>
        <w:pStyle w:val="Normal12Hanging"/>
        <w:spacing w:before="120" w:after="120"/>
        <w:ind w:left="720" w:hanging="720"/>
      </w:pPr>
      <w:r w:rsidRPr="002E66C1">
        <w:t>–</w:t>
      </w:r>
      <w:r w:rsidRPr="002E66C1">
        <w:tab/>
        <w:t>võttes arvesse kodukorra artiklit 94 ja IV lisa,</w:t>
      </w:r>
    </w:p>
    <w:p w:rsidR="00B83173" w:rsidRPr="002E66C1" w:rsidRDefault="00B83173" w:rsidP="00FC6B81">
      <w:pPr>
        <w:pStyle w:val="Normal12Hanging"/>
        <w:spacing w:before="120" w:after="120"/>
        <w:ind w:left="720" w:hanging="720"/>
      </w:pPr>
      <w:r w:rsidRPr="002E66C1">
        <w:t>–</w:t>
      </w:r>
      <w:r w:rsidRPr="002E66C1">
        <w:tab/>
        <w:t>võttes arvesse eelarvekontrollikomisjoni raportit (A8-0102/2019),</w:t>
      </w:r>
    </w:p>
    <w:p w:rsidR="00B83173" w:rsidRPr="002E66C1" w:rsidRDefault="00B83173" w:rsidP="00FC6B81">
      <w:pPr>
        <w:pStyle w:val="Normal12Hanging"/>
        <w:spacing w:before="120" w:after="120"/>
        <w:ind w:left="720" w:hanging="720"/>
      </w:pPr>
      <w:r w:rsidRPr="002E66C1">
        <w:t>1.</w:t>
      </w:r>
      <w:r w:rsidRPr="002E66C1">
        <w:tab/>
        <w:t xml:space="preserve">annab heakskiidu </w:t>
      </w:r>
      <w:proofErr w:type="spellStart"/>
      <w:r w:rsidRPr="002E66C1">
        <w:t>ühisettevõtte</w:t>
      </w:r>
      <w:proofErr w:type="spellEnd"/>
      <w:r w:rsidRPr="002E66C1">
        <w:t xml:space="preserve"> ECSEL 2017. aasta raamatupidamiskontode </w:t>
      </w:r>
      <w:r w:rsidRPr="002E66C1">
        <w:lastRenderedPageBreak/>
        <w:t>sulgemisele;</w:t>
      </w:r>
    </w:p>
    <w:p w:rsidR="00B83173" w:rsidRPr="002E66C1" w:rsidRDefault="00B83173" w:rsidP="00FC6B81">
      <w:pPr>
        <w:pStyle w:val="Normal12Hanging"/>
        <w:spacing w:before="120" w:after="120"/>
        <w:ind w:left="720" w:hanging="720"/>
      </w:pPr>
      <w:r w:rsidRPr="002E66C1">
        <w:t>2.</w:t>
      </w:r>
      <w:r w:rsidRPr="002E66C1">
        <w:tab/>
        <w:t xml:space="preserve">teeb presidendile ülesandeks edastada käesolev otsus </w:t>
      </w:r>
      <w:proofErr w:type="spellStart"/>
      <w:r w:rsidRPr="002E66C1">
        <w:t>ühisettevõtte</w:t>
      </w:r>
      <w:proofErr w:type="spellEnd"/>
      <w:r w:rsidRPr="002E66C1">
        <w:t xml:space="preserve"> ECSEL tegevdirektorile, nõukogule, komisjonile ja kontrollikojale ning korraldada selle avaldamine </w:t>
      </w:r>
      <w:r w:rsidRPr="002E66C1">
        <w:rPr>
          <w:i/>
        </w:rPr>
        <w:t>Euroopa Liidu Teatajas</w:t>
      </w:r>
      <w:r w:rsidRPr="002E66C1">
        <w:t xml:space="preserve"> (L-seerias).</w:t>
      </w:r>
    </w:p>
    <w:p w:rsidR="00B83173" w:rsidRPr="002E66C1" w:rsidRDefault="00FC6B81" w:rsidP="00FC6B81">
      <w:pPr>
        <w:pStyle w:val="ATHeading3"/>
        <w:rPr>
          <w:lang w:val="et-EE"/>
        </w:rPr>
      </w:pPr>
      <w:r w:rsidRPr="002E66C1">
        <w:rPr>
          <w:lang w:val="et-EE"/>
        </w:rPr>
        <w:br w:type="page"/>
      </w:r>
      <w:bookmarkStart w:id="11" w:name="_Toc3531109"/>
      <w:r w:rsidRPr="002E66C1">
        <w:rPr>
          <w:lang w:val="et-EE"/>
        </w:rPr>
        <w:lastRenderedPageBreak/>
        <w:t>3. Euroopa Parlamendi 26. märtsi 2019. aasta resolutsioon</w:t>
      </w:r>
      <w:bookmarkEnd w:id="11"/>
      <w:r w:rsidRPr="002E66C1">
        <w:rPr>
          <w:lang w:val="et-EE"/>
        </w:rPr>
        <w:t xml:space="preserve"> </w:t>
      </w:r>
      <w:r w:rsidR="00B83173" w:rsidRPr="002E66C1">
        <w:rPr>
          <w:lang w:val="et-EE"/>
        </w:rPr>
        <w:t>tähelepanekutega, mis on ühisettevõtte ECSEL 2017. aasta eelarve täitmisele heakskiidu andmist käsitleva otsuse lahutamatu osa</w:t>
      </w:r>
      <w:r w:rsidRPr="002E66C1">
        <w:rPr>
          <w:lang w:val="et-EE"/>
        </w:rPr>
        <w:t xml:space="preserve"> </w:t>
      </w:r>
      <w:r w:rsidR="00B83173" w:rsidRPr="002E66C1">
        <w:rPr>
          <w:lang w:val="et-EE"/>
        </w:rPr>
        <w:t>(2018/2218(DEC))</w:t>
      </w:r>
    </w:p>
    <w:p w:rsidR="00B83173" w:rsidRPr="002E66C1" w:rsidRDefault="00B83173" w:rsidP="00554676">
      <w:pPr>
        <w:pStyle w:val="Normal12"/>
        <w:spacing w:before="360" w:after="120"/>
        <w:ind w:left="720" w:hanging="720"/>
      </w:pPr>
      <w:r w:rsidRPr="002E66C1">
        <w:rPr>
          <w:i/>
        </w:rPr>
        <w:t>Euroopa Parlament,</w:t>
      </w:r>
    </w:p>
    <w:p w:rsidR="00B83173" w:rsidRPr="002E66C1" w:rsidRDefault="00B83173" w:rsidP="00554676">
      <w:pPr>
        <w:pStyle w:val="Normal12Hanging"/>
        <w:spacing w:before="120" w:after="120"/>
        <w:ind w:left="720" w:hanging="720"/>
      </w:pPr>
      <w:r w:rsidRPr="002E66C1">
        <w:t>–</w:t>
      </w:r>
      <w:r w:rsidRPr="002E66C1">
        <w:tab/>
        <w:t xml:space="preserve">võttes arvesse oma otsust </w:t>
      </w:r>
      <w:proofErr w:type="spellStart"/>
      <w:r w:rsidRPr="002E66C1">
        <w:t>ühisettevõtte</w:t>
      </w:r>
      <w:proofErr w:type="spellEnd"/>
      <w:r w:rsidRPr="002E66C1">
        <w:t xml:space="preserve"> ECSEL 2017. aasta eelarve täitmisele heakskiidu andmise kohta,</w:t>
      </w:r>
    </w:p>
    <w:p w:rsidR="00B83173" w:rsidRPr="002E66C1" w:rsidRDefault="00B83173" w:rsidP="00554676">
      <w:pPr>
        <w:pStyle w:val="Normal12Hanging"/>
        <w:spacing w:before="120" w:after="120"/>
        <w:ind w:left="720" w:hanging="720"/>
      </w:pPr>
      <w:r w:rsidRPr="002E66C1">
        <w:t>–</w:t>
      </w:r>
      <w:r w:rsidRPr="002E66C1">
        <w:tab/>
        <w:t>võttes arvesse kodukorra artiklit 94 ja IV lisa,</w:t>
      </w:r>
    </w:p>
    <w:p w:rsidR="00B83173" w:rsidRPr="002E66C1" w:rsidRDefault="00B83173" w:rsidP="00554676">
      <w:pPr>
        <w:pStyle w:val="Normal12Hanging"/>
        <w:spacing w:before="120" w:after="120"/>
        <w:ind w:left="720" w:hanging="720"/>
      </w:pPr>
      <w:r w:rsidRPr="002E66C1">
        <w:t>–</w:t>
      </w:r>
      <w:r w:rsidRPr="002E66C1">
        <w:tab/>
        <w:t>võttes arvesse eelarvekontrollikomisjoni raportit (A8-0102/2019),</w:t>
      </w:r>
    </w:p>
    <w:p w:rsidR="00B83173" w:rsidRPr="002E66C1" w:rsidRDefault="00B83173" w:rsidP="00554676">
      <w:pPr>
        <w:pStyle w:val="Normal12Hanging"/>
        <w:spacing w:before="120" w:after="120"/>
        <w:ind w:left="720" w:hanging="720"/>
      </w:pPr>
      <w:r w:rsidRPr="002E66C1">
        <w:t>A.</w:t>
      </w:r>
      <w:r w:rsidRPr="002E66C1">
        <w:tab/>
        <w:t xml:space="preserve">arvestades, et </w:t>
      </w:r>
      <w:proofErr w:type="spellStart"/>
      <w:r w:rsidRPr="002E66C1">
        <w:t>ühisettevõte</w:t>
      </w:r>
      <w:proofErr w:type="spellEnd"/>
      <w:r w:rsidRPr="002E66C1">
        <w:t xml:space="preserve"> ECSEL (edaspidi „</w:t>
      </w:r>
      <w:proofErr w:type="spellStart"/>
      <w:r w:rsidRPr="002E66C1">
        <w:t>ühisettevõte</w:t>
      </w:r>
      <w:proofErr w:type="spellEnd"/>
      <w:r w:rsidRPr="002E66C1">
        <w:t xml:space="preserve">“) asutati 7. juunil 2014 </w:t>
      </w:r>
      <w:proofErr w:type="spellStart"/>
      <w:r w:rsidRPr="002E66C1">
        <w:t>ühisettevõttena</w:t>
      </w:r>
      <w:proofErr w:type="spellEnd"/>
      <w:r w:rsidRPr="002E66C1">
        <w:t xml:space="preserve"> Euroopa Liidu toimimise lepingu artikli 187 tähenduses, et rakendada ühist tehnoloogiaalgatust „Euroopa juhtpositsiooni tugevdamine elektroonikakomponentide ja -süsteemide toel“ ajavahemikuks kuni 31. detsember 2024;</w:t>
      </w:r>
    </w:p>
    <w:p w:rsidR="00B83173" w:rsidRPr="002E66C1" w:rsidRDefault="00B83173" w:rsidP="00554676">
      <w:pPr>
        <w:pStyle w:val="Normal12Hanging"/>
        <w:spacing w:before="120" w:after="120"/>
        <w:ind w:left="720" w:hanging="720"/>
      </w:pPr>
      <w:r w:rsidRPr="002E66C1">
        <w:t>B.</w:t>
      </w:r>
      <w:r w:rsidRPr="002E66C1">
        <w:tab/>
        <w:t xml:space="preserve">arvestades, et </w:t>
      </w:r>
      <w:proofErr w:type="spellStart"/>
      <w:r w:rsidRPr="002E66C1">
        <w:t>ühisettevõte</w:t>
      </w:r>
      <w:proofErr w:type="spellEnd"/>
      <w:r w:rsidRPr="002E66C1">
        <w:t xml:space="preserve"> asutati 2014. aasta juunis nõukogu määrusega (EL) nr 561/2014</w:t>
      </w:r>
      <w:r w:rsidRPr="002E66C1">
        <w:rPr>
          <w:vertAlign w:val="superscript"/>
        </w:rPr>
        <w:footnoteReference w:id="13"/>
      </w:r>
      <w:r w:rsidRPr="002E66C1">
        <w:t xml:space="preserve"> eesmärgiga asendada </w:t>
      </w:r>
      <w:proofErr w:type="spellStart"/>
      <w:r w:rsidRPr="002E66C1">
        <w:t>ühisettevõtted</w:t>
      </w:r>
      <w:proofErr w:type="spellEnd"/>
      <w:r w:rsidRPr="002E66C1">
        <w:t xml:space="preserve"> ARTEMIS ja ENIAC, mille õigusjärglane ta on;</w:t>
      </w:r>
    </w:p>
    <w:p w:rsidR="00B83173" w:rsidRPr="002E66C1" w:rsidRDefault="00B83173" w:rsidP="00554676">
      <w:pPr>
        <w:pStyle w:val="Normal12Hanging"/>
        <w:spacing w:before="120" w:after="120"/>
        <w:ind w:left="720" w:hanging="720"/>
      </w:pPr>
      <w:r w:rsidRPr="002E66C1">
        <w:t>C.</w:t>
      </w:r>
      <w:r w:rsidRPr="002E66C1">
        <w:tab/>
        <w:t xml:space="preserve">arvestades, et </w:t>
      </w:r>
      <w:proofErr w:type="spellStart"/>
      <w:r w:rsidRPr="002E66C1">
        <w:t>ühisettevõte</w:t>
      </w:r>
      <w:proofErr w:type="spellEnd"/>
      <w:r w:rsidRPr="002E66C1">
        <w:t xml:space="preserve"> järgib kolme osapoolt hõlmavat erilist lähenemisviisi ning </w:t>
      </w:r>
      <w:proofErr w:type="spellStart"/>
      <w:r w:rsidRPr="002E66C1">
        <w:t>ühisettevõtte</w:t>
      </w:r>
      <w:proofErr w:type="spellEnd"/>
      <w:r w:rsidRPr="002E66C1">
        <w:t xml:space="preserve"> liikmed on liit, liikmesriigid ja vabatahtlikkuse alusel programmiga „Horisont 2020“ assotsieerunud riigid (edaspidi „osalevad riigid“) ning erasektorist pärit liikmetena ühendused, mis esindavad oma vastavaid ettevõtteid ja teisi organisatsioone, kes tegutsevad liidus elektroonikakomponentide ja -süsteemide valdkonnas; arvestades, et </w:t>
      </w:r>
      <w:proofErr w:type="spellStart"/>
      <w:r w:rsidRPr="002E66C1">
        <w:t>ühisettevõte</w:t>
      </w:r>
      <w:proofErr w:type="spellEnd"/>
      <w:r w:rsidRPr="002E66C1">
        <w:t xml:space="preserve"> peaks olema uutele liikmetele avatud;</w:t>
      </w:r>
    </w:p>
    <w:p w:rsidR="00B83173" w:rsidRPr="002E66C1" w:rsidRDefault="00B83173" w:rsidP="00554676">
      <w:pPr>
        <w:pStyle w:val="Normal12Hanging"/>
        <w:spacing w:before="120" w:after="120"/>
        <w:ind w:left="720" w:hanging="720"/>
      </w:pPr>
      <w:r w:rsidRPr="002E66C1">
        <w:t>D.</w:t>
      </w:r>
      <w:r w:rsidRPr="002E66C1">
        <w:tab/>
        <w:t xml:space="preserve">arvestades, et </w:t>
      </w:r>
      <w:proofErr w:type="spellStart"/>
      <w:r w:rsidRPr="002E66C1">
        <w:t>ühisettevõtte</w:t>
      </w:r>
      <w:proofErr w:type="spellEnd"/>
      <w:r w:rsidRPr="002E66C1">
        <w:t xml:space="preserve"> peamine eesmärk on aidata kaasa tugeva ja ülemaailmselt konkurentsivõimelise elektroonikakomponentide ja -süsteemide tööstuse arendamisele liidus, tuginedes liikmesriikide kooskõlastatud strateegiatele erasektori investeeringute ligimeelitamiseks;</w:t>
      </w:r>
    </w:p>
    <w:p w:rsidR="00B83173" w:rsidRPr="002E66C1" w:rsidRDefault="00B83173" w:rsidP="00554676">
      <w:pPr>
        <w:pStyle w:val="Normal12Hanging"/>
        <w:spacing w:before="120" w:after="120"/>
        <w:ind w:left="720" w:hanging="720"/>
      </w:pPr>
      <w:r w:rsidRPr="002E66C1">
        <w:t>E.</w:t>
      </w:r>
      <w:r w:rsidRPr="002E66C1">
        <w:tab/>
        <w:t xml:space="preserve">arvestades, et kavandatud rahaline osalus </w:t>
      </w:r>
      <w:proofErr w:type="spellStart"/>
      <w:r w:rsidRPr="002E66C1">
        <w:t>ühisettevõttes</w:t>
      </w:r>
      <w:proofErr w:type="spellEnd"/>
      <w:r w:rsidRPr="002E66C1">
        <w:t xml:space="preserve"> programmi „Horisont 2020“ koguperioodi jooksul on liidu puhul 1 184 874 000 eurot, </w:t>
      </w:r>
      <w:proofErr w:type="spellStart"/>
      <w:r w:rsidRPr="002E66C1">
        <w:t>ühisettevõttes</w:t>
      </w:r>
      <w:proofErr w:type="spellEnd"/>
      <w:r w:rsidRPr="002E66C1">
        <w:t xml:space="preserve"> osalevate riikide puhul 1 170 000 000 eurot ja erasektorist pärit liikmete puhul 1 657 500 000 eurot;</w:t>
      </w:r>
    </w:p>
    <w:p w:rsidR="00B83173" w:rsidRPr="002E66C1" w:rsidRDefault="00B83173" w:rsidP="00554676">
      <w:pPr>
        <w:pStyle w:val="Normal12Hanging"/>
        <w:spacing w:before="120" w:after="120"/>
        <w:ind w:left="720" w:hanging="720"/>
        <w:rPr>
          <w:b/>
          <w:i/>
        </w:rPr>
      </w:pPr>
      <w:r w:rsidRPr="002E66C1">
        <w:rPr>
          <w:b/>
          <w:i/>
        </w:rPr>
        <w:t>Eelarve haldamine ja finantsjuhtimine</w:t>
      </w:r>
    </w:p>
    <w:p w:rsidR="00B83173" w:rsidRPr="002E66C1" w:rsidRDefault="00B83173" w:rsidP="00554676">
      <w:pPr>
        <w:pStyle w:val="Normal12Hanging"/>
        <w:spacing w:before="120" w:after="120"/>
        <w:ind w:left="720" w:hanging="720"/>
      </w:pPr>
      <w:r w:rsidRPr="002E66C1">
        <w:t>1.</w:t>
      </w:r>
      <w:r w:rsidRPr="002E66C1">
        <w:tab/>
        <w:t xml:space="preserve">võtab teadmiseks, et kontrollikoja aruandes </w:t>
      </w:r>
      <w:proofErr w:type="spellStart"/>
      <w:r w:rsidRPr="002E66C1">
        <w:t>ühisettevõtte</w:t>
      </w:r>
      <w:proofErr w:type="spellEnd"/>
      <w:r w:rsidRPr="002E66C1">
        <w:t xml:space="preserve"> 2017. aasta raamatupidamise aastaaruande kohta (edaspidi „kontrollikoja aruanne“) leitakse, et aastaaruanne kajastab kõigis olulistes aspektides õiglaselt </w:t>
      </w:r>
      <w:proofErr w:type="spellStart"/>
      <w:r w:rsidRPr="002E66C1">
        <w:t>ühisettevõtte</w:t>
      </w:r>
      <w:proofErr w:type="spellEnd"/>
      <w:r w:rsidRPr="002E66C1">
        <w:t xml:space="preserve"> finantsolukorda 31. detsembri 2017. aasta seisuga ning </w:t>
      </w:r>
      <w:proofErr w:type="spellStart"/>
      <w:r w:rsidRPr="002E66C1">
        <w:t>ühisettevõtte</w:t>
      </w:r>
      <w:proofErr w:type="spellEnd"/>
      <w:r w:rsidRPr="002E66C1">
        <w:t xml:space="preserve"> finantstulemusi ja rahavooge lõppenud aastal vastavalt tema finantseeskirjadele ja komisjoni pearaamatupidaja vastu võetud raamatupidamiseeskirjadele;</w:t>
      </w:r>
    </w:p>
    <w:p w:rsidR="00B83173" w:rsidRPr="002E66C1" w:rsidRDefault="00B83173" w:rsidP="00554676">
      <w:pPr>
        <w:pStyle w:val="Normal12Hanging"/>
        <w:spacing w:before="120" w:after="120"/>
        <w:ind w:left="720" w:hanging="720"/>
      </w:pPr>
      <w:r w:rsidRPr="002E66C1">
        <w:lastRenderedPageBreak/>
        <w:t>2.</w:t>
      </w:r>
      <w:r w:rsidRPr="002E66C1">
        <w:tab/>
        <w:t xml:space="preserve">märgib, et </w:t>
      </w:r>
      <w:proofErr w:type="spellStart"/>
      <w:r w:rsidRPr="002E66C1">
        <w:t>ühisettevõtte</w:t>
      </w:r>
      <w:proofErr w:type="spellEnd"/>
      <w:r w:rsidRPr="002E66C1">
        <w:t xml:space="preserve"> eelarveaasta 2017 lõplik eelarve hõlmas 183 900 000 euro ulatuses kulukohustuste assigneeringuid ja 290 100 000 euro ulatuses maksete assigneeringuid; märgib, et kulukohustuste ja maksete assigneeringute kasutusmäär oli vastavalt 98 % ja 83 %;</w:t>
      </w:r>
    </w:p>
    <w:p w:rsidR="00B83173" w:rsidRPr="002E66C1" w:rsidRDefault="00B83173" w:rsidP="00554676">
      <w:pPr>
        <w:pStyle w:val="Normal12Hanging"/>
        <w:spacing w:before="120" w:after="120"/>
        <w:ind w:left="720" w:hanging="720"/>
      </w:pPr>
      <w:r w:rsidRPr="002E66C1">
        <w:t>3.</w:t>
      </w:r>
      <w:r w:rsidRPr="002E66C1">
        <w:tab/>
        <w:t xml:space="preserve">võtab teadmiseks asjaolu, et kontrollikoja aruande põhjal on </w:t>
      </w:r>
      <w:proofErr w:type="spellStart"/>
      <w:r w:rsidRPr="002E66C1">
        <w:t>ühisettevõtte</w:t>
      </w:r>
      <w:proofErr w:type="spellEnd"/>
      <w:r w:rsidRPr="002E66C1">
        <w:t xml:space="preserve"> 2017. aasta raamatupidamise aastaaruande aluseks olevad tehingud kõigis olulistes aspektides seaduslikud ja korrektsed;</w:t>
      </w:r>
    </w:p>
    <w:p w:rsidR="00B83173" w:rsidRPr="002E66C1" w:rsidRDefault="00B83173" w:rsidP="00554676">
      <w:pPr>
        <w:pStyle w:val="Normal12Hanging"/>
        <w:spacing w:before="120" w:after="120"/>
        <w:ind w:left="720" w:hanging="720"/>
      </w:pPr>
      <w:r w:rsidRPr="002E66C1">
        <w:t>4.</w:t>
      </w:r>
      <w:r w:rsidRPr="002E66C1">
        <w:tab/>
        <w:t xml:space="preserve">märgib, et kontrollikoda esitas märkusega arvamuse raamatupidamise aastaaruande aluseks olevate maksete seaduslikkuse ja korrektsuse kohta seoses projektidega, mis võeti üle </w:t>
      </w:r>
      <w:proofErr w:type="spellStart"/>
      <w:r w:rsidRPr="002E66C1">
        <w:t>ühisettevõtte</w:t>
      </w:r>
      <w:proofErr w:type="spellEnd"/>
      <w:r w:rsidRPr="002E66C1">
        <w:t xml:space="preserve"> õiguseellastelt </w:t>
      </w:r>
      <w:proofErr w:type="spellStart"/>
      <w:r w:rsidRPr="002E66C1">
        <w:t>ühisettevõtetelt</w:t>
      </w:r>
      <w:proofErr w:type="spellEnd"/>
      <w:r w:rsidRPr="002E66C1">
        <w:t xml:space="preserve"> ARTEMIS ja ENIAC; kutsub kontrollikoda üles uuesti läbi vaatama metoodika, mille tulemusel koostatakse korduvaid märkusega arvamusi, mille aluseks on see korduv küsimus, mida ei ole võimalik lahendada enne, kui seitsmenda raamprogrammi projektid on lõpule viidud;</w:t>
      </w:r>
    </w:p>
    <w:p w:rsidR="00B83173" w:rsidRPr="002E66C1" w:rsidRDefault="00B83173" w:rsidP="00554676">
      <w:pPr>
        <w:pStyle w:val="Normal12Hanging"/>
        <w:spacing w:before="120" w:after="120"/>
        <w:ind w:left="720" w:hanging="720"/>
      </w:pPr>
      <w:r w:rsidRPr="002E66C1">
        <w:t>5.</w:t>
      </w:r>
      <w:r w:rsidRPr="002E66C1">
        <w:tab/>
        <w:t xml:space="preserve">võtab teadmiseks </w:t>
      </w:r>
      <w:proofErr w:type="spellStart"/>
      <w:r w:rsidRPr="002E66C1">
        <w:t>ühisettevõtte</w:t>
      </w:r>
      <w:proofErr w:type="spellEnd"/>
      <w:r w:rsidRPr="002E66C1">
        <w:t xml:space="preserve"> eelarve- ja raamatupidamismudeli keerukuse, mis tuleneb sellest, et </w:t>
      </w:r>
      <w:proofErr w:type="spellStart"/>
      <w:r w:rsidRPr="002E66C1">
        <w:t>ühisettevõte</w:t>
      </w:r>
      <w:proofErr w:type="spellEnd"/>
      <w:r w:rsidRPr="002E66C1">
        <w:t xml:space="preserve"> hõlmab oma olemuselt kolme osapoolt; märgib, et </w:t>
      </w:r>
      <w:proofErr w:type="spellStart"/>
      <w:r w:rsidRPr="002E66C1">
        <w:t>ühisettevõttele</w:t>
      </w:r>
      <w:proofErr w:type="spellEnd"/>
      <w:r w:rsidRPr="002E66C1">
        <w:t xml:space="preserve"> tuleks kasuks raamatupidamise ja auditeerimise lihtsustamine ja ühtlustamine;</w:t>
      </w:r>
    </w:p>
    <w:p w:rsidR="00B83173" w:rsidRPr="002E66C1" w:rsidRDefault="00B83173" w:rsidP="00554676">
      <w:pPr>
        <w:pStyle w:val="Normal12Hanging"/>
        <w:spacing w:before="120" w:after="120"/>
        <w:ind w:left="720" w:hanging="720"/>
      </w:pPr>
      <w:r w:rsidRPr="002E66C1">
        <w:t>6.</w:t>
      </w:r>
      <w:r w:rsidRPr="002E66C1">
        <w:tab/>
        <w:t xml:space="preserve">märgib, et </w:t>
      </w:r>
      <w:proofErr w:type="spellStart"/>
      <w:r w:rsidRPr="002E66C1">
        <w:t>ühisettevõttele</w:t>
      </w:r>
      <w:proofErr w:type="spellEnd"/>
      <w:r w:rsidRPr="002E66C1">
        <w:t xml:space="preserve"> programmi „Horisont 2020“ raames eraldatud 1 204 700 000 eurost, sh 19 700 000 eurot tööstusharu esindavate liikmete rahalist toetust </w:t>
      </w:r>
      <w:proofErr w:type="spellStart"/>
      <w:r w:rsidRPr="002E66C1">
        <w:t>ühisettevõtte</w:t>
      </w:r>
      <w:proofErr w:type="spellEnd"/>
      <w:r w:rsidRPr="002E66C1">
        <w:t xml:space="preserve"> halduskuludeks, oli </w:t>
      </w:r>
      <w:proofErr w:type="spellStart"/>
      <w:r w:rsidRPr="002E66C1">
        <w:t>ühisettevõte</w:t>
      </w:r>
      <w:proofErr w:type="spellEnd"/>
      <w:r w:rsidRPr="002E66C1">
        <w:t xml:space="preserve"> 2017. aasta lõpuks „Horisont 2020“ esimeste projektide eelmakseteks kulukohustustega sidunud 455 000 000 eurot ja teinud makseid summas 314 000 000 eurot (13,81 % eraldatud vahenditest);</w:t>
      </w:r>
    </w:p>
    <w:p w:rsidR="00B83173" w:rsidRPr="002E66C1" w:rsidRDefault="00B83173" w:rsidP="00554676">
      <w:pPr>
        <w:pStyle w:val="Normal12Hanging"/>
        <w:spacing w:before="120" w:after="120"/>
        <w:ind w:left="720" w:hanging="720"/>
      </w:pPr>
      <w:r w:rsidRPr="002E66C1">
        <w:t>7.</w:t>
      </w:r>
      <w:r w:rsidRPr="002E66C1">
        <w:tab/>
        <w:t xml:space="preserve">märgib, et erasektorist pärit liikmetelt </w:t>
      </w:r>
      <w:proofErr w:type="spellStart"/>
      <w:r w:rsidRPr="002E66C1">
        <w:t>ühisettevõtte</w:t>
      </w:r>
      <w:proofErr w:type="spellEnd"/>
      <w:r w:rsidRPr="002E66C1">
        <w:t xml:space="preserve"> tegevuskulude katteks ette nähtud 1 657 500 000 euro suurusest summast oli 2017. aasta lõpuks </w:t>
      </w:r>
      <w:proofErr w:type="spellStart"/>
      <w:r w:rsidRPr="002E66C1">
        <w:t>ühisettevõtte</w:t>
      </w:r>
      <w:proofErr w:type="spellEnd"/>
      <w:r w:rsidRPr="002E66C1">
        <w:t xml:space="preserve"> hinnangul tehtud mitterahalisi sissemakseid summas 421 000 000 eurot (ELilt oli samas laekunud rahalist toetust 377 000 000 eurot);</w:t>
      </w:r>
    </w:p>
    <w:p w:rsidR="00B83173" w:rsidRPr="002E66C1" w:rsidRDefault="00B83173" w:rsidP="00554676">
      <w:pPr>
        <w:pStyle w:val="Normal12Hanging"/>
        <w:spacing w:before="120" w:after="120"/>
        <w:ind w:left="720" w:hanging="720"/>
        <w:rPr>
          <w:b/>
          <w:i/>
        </w:rPr>
      </w:pPr>
      <w:r w:rsidRPr="002E66C1">
        <w:rPr>
          <w:b/>
          <w:i/>
        </w:rPr>
        <w:t>Tulemuslikkus</w:t>
      </w:r>
    </w:p>
    <w:p w:rsidR="00B83173" w:rsidRPr="002E66C1" w:rsidRDefault="00B83173" w:rsidP="00554676">
      <w:pPr>
        <w:pStyle w:val="Normal12Hanging"/>
        <w:spacing w:before="120" w:after="120"/>
        <w:ind w:left="720" w:hanging="720"/>
      </w:pPr>
      <w:r w:rsidRPr="002E66C1">
        <w:t>8.</w:t>
      </w:r>
      <w:r w:rsidRPr="002E66C1">
        <w:tab/>
        <w:t>väljendab heameelt asjaolu üle, et kehtestatud võtmetähtsusega tulemuslikkuse põhinäitajate puudumine ei kujuta endast programmi „Horisont 2020“ raames enam probleemi; märgib, et enamik kolmandatest võtmetähtsusega tulemuslikkuse põhinäitajate eesmärkidest on juba täidetud;</w:t>
      </w:r>
    </w:p>
    <w:p w:rsidR="00B83173" w:rsidRPr="002E66C1" w:rsidRDefault="00B83173" w:rsidP="00554676">
      <w:pPr>
        <w:pStyle w:val="Normal12Hanging"/>
        <w:spacing w:before="120" w:after="120"/>
        <w:ind w:left="720" w:hanging="720"/>
      </w:pPr>
      <w:r w:rsidRPr="002E66C1">
        <w:t>9.</w:t>
      </w:r>
      <w:r w:rsidRPr="002E66C1">
        <w:tab/>
        <w:t xml:space="preserve">märgib, et halduskulude suhe (haldus- ja tegevuseelarve) jääb alla 5 %, mis viitab sellele, et </w:t>
      </w:r>
      <w:proofErr w:type="spellStart"/>
      <w:r w:rsidRPr="002E66C1">
        <w:t>ühisettevõtte</w:t>
      </w:r>
      <w:proofErr w:type="spellEnd"/>
      <w:r w:rsidRPr="002E66C1">
        <w:t xml:space="preserve"> organisatsiooniline struktuur on suhteliselt optimaalne ja tõhus;</w:t>
      </w:r>
    </w:p>
    <w:p w:rsidR="00B83173" w:rsidRPr="002E66C1" w:rsidRDefault="00B83173" w:rsidP="00554676">
      <w:pPr>
        <w:pStyle w:val="Normal12Hanging"/>
        <w:spacing w:before="120" w:after="120"/>
        <w:ind w:left="720" w:hanging="720"/>
      </w:pPr>
      <w:r w:rsidRPr="002E66C1">
        <w:t>10.</w:t>
      </w:r>
      <w:r w:rsidRPr="002E66C1">
        <w:tab/>
        <w:t>väljendab heameelt selle üle, et 2017. aasta finantsvõimenduse määr 3.0 ületas kogu 2014.–2020. aasta perioodi jooksul eesmärgiks seatud finantsvõimenduse määra;</w:t>
      </w:r>
    </w:p>
    <w:p w:rsidR="00B83173" w:rsidRPr="002E66C1" w:rsidRDefault="00B83173" w:rsidP="00554676">
      <w:pPr>
        <w:pStyle w:val="Normal12Hanging"/>
        <w:spacing w:before="120" w:after="120"/>
        <w:ind w:left="720" w:hanging="720"/>
      </w:pPr>
      <w:r w:rsidRPr="002E66C1">
        <w:t>11.</w:t>
      </w:r>
      <w:r w:rsidRPr="002E66C1">
        <w:tab/>
        <w:t xml:space="preserve">märgib rahuloluga, et </w:t>
      </w:r>
      <w:proofErr w:type="spellStart"/>
      <w:r w:rsidRPr="002E66C1">
        <w:t>ühisettevõte</w:t>
      </w:r>
      <w:proofErr w:type="spellEnd"/>
      <w:r w:rsidRPr="002E66C1">
        <w:t xml:space="preserve"> on teinud läbipaistvuse saavutamiseks edukaid jõupingutusi, ning et kõik konkursikutsed on avalikuks tehtud;</w:t>
      </w:r>
    </w:p>
    <w:p w:rsidR="00B83173" w:rsidRPr="002E66C1" w:rsidRDefault="00B83173" w:rsidP="00554676">
      <w:pPr>
        <w:pStyle w:val="Normal12Hanging"/>
        <w:spacing w:before="120" w:after="120"/>
        <w:ind w:left="720" w:hanging="720"/>
      </w:pPr>
      <w:r w:rsidRPr="002E66C1">
        <w:t>12.</w:t>
      </w:r>
      <w:r w:rsidRPr="002E66C1">
        <w:tab/>
        <w:t xml:space="preserve">väljendab heameelt, et </w:t>
      </w:r>
      <w:proofErr w:type="spellStart"/>
      <w:r w:rsidRPr="002E66C1">
        <w:t>ühisettevõttel</w:t>
      </w:r>
      <w:proofErr w:type="spellEnd"/>
      <w:r w:rsidRPr="002E66C1">
        <w:t xml:space="preserve"> on oma pädevusvaldkonnas kogu Euroopas tugev positsioon ning et </w:t>
      </w:r>
      <w:proofErr w:type="spellStart"/>
      <w:r w:rsidRPr="002E66C1">
        <w:t>ühisettevõte</w:t>
      </w:r>
      <w:proofErr w:type="spellEnd"/>
      <w:r w:rsidRPr="002E66C1">
        <w:t xml:space="preserve"> suudab luua asjaomaseid sidusrühmi ühendava ökosüsteemi; võtab teadmiseks asjaolu, et eksperdid rõhutavad, et </w:t>
      </w:r>
      <w:proofErr w:type="spellStart"/>
      <w:r w:rsidRPr="002E66C1">
        <w:t>ühisettevõte</w:t>
      </w:r>
      <w:proofErr w:type="spellEnd"/>
      <w:r w:rsidRPr="002E66C1">
        <w:t xml:space="preserve"> meelitab ligi parimaid Euroopa osalejaid pooljuhtide ja süsteemide valdkonnas; kutsub </w:t>
      </w:r>
      <w:proofErr w:type="spellStart"/>
      <w:r w:rsidRPr="002E66C1">
        <w:lastRenderedPageBreak/>
        <w:t>ühisettevõtet</w:t>
      </w:r>
      <w:proofErr w:type="spellEnd"/>
      <w:r w:rsidRPr="002E66C1">
        <w:t xml:space="preserve"> ECSEL üles kaasama rohkem VKEsid;</w:t>
      </w:r>
    </w:p>
    <w:p w:rsidR="00B83173" w:rsidRPr="002E66C1" w:rsidRDefault="00B83173" w:rsidP="00554676">
      <w:pPr>
        <w:pStyle w:val="Normal12Hanging"/>
        <w:spacing w:before="120" w:after="120"/>
        <w:ind w:left="720" w:hanging="720"/>
      </w:pPr>
      <w:r w:rsidRPr="002E66C1">
        <w:t>13.</w:t>
      </w:r>
      <w:r w:rsidRPr="002E66C1">
        <w:tab/>
        <w:t>väljendab heameelt asjaolu üle, et kõik konkursikutsed avaldati ja suleti vastavalt töökavadele ning et taotluse esitamisest toetuse määramiseni kuluv aeg, ja raha saamiseni kuluv aeg jäid selgelt allapoole kindlaksmääratud eesmärke;</w:t>
      </w:r>
    </w:p>
    <w:p w:rsidR="00B83173" w:rsidRPr="002E66C1" w:rsidRDefault="00B83173" w:rsidP="00554676">
      <w:pPr>
        <w:pStyle w:val="Normal12Hanging"/>
        <w:spacing w:before="120" w:after="120"/>
        <w:ind w:left="720" w:hanging="720"/>
        <w:rPr>
          <w:b/>
          <w:i/>
        </w:rPr>
      </w:pPr>
      <w:r w:rsidRPr="002E66C1">
        <w:rPr>
          <w:b/>
          <w:i/>
        </w:rPr>
        <w:t>Hanked</w:t>
      </w:r>
    </w:p>
    <w:p w:rsidR="00B83173" w:rsidRPr="002E66C1" w:rsidRDefault="00B83173" w:rsidP="00554676">
      <w:pPr>
        <w:pStyle w:val="Normal12Hanging"/>
        <w:spacing w:before="120" w:after="120"/>
        <w:ind w:left="720" w:hanging="720"/>
      </w:pPr>
      <w:r w:rsidRPr="002E66C1">
        <w:t>14.</w:t>
      </w:r>
      <w:r w:rsidRPr="002E66C1">
        <w:tab/>
        <w:t xml:space="preserve">märgib kahetsusega, et kontrollikoda täheldas haldusteenistuste hankemenetluste haldamisel olulisi puudusi; nendib </w:t>
      </w:r>
      <w:proofErr w:type="spellStart"/>
      <w:r w:rsidRPr="002E66C1">
        <w:t>ühisettevõtte</w:t>
      </w:r>
      <w:proofErr w:type="spellEnd"/>
      <w:r w:rsidRPr="002E66C1">
        <w:t xml:space="preserve"> vastuste põhjal, et selle probleemiga tegelemiseks on nimetatud eelarve, hangete ja lepingute sõlmimise assistent;</w:t>
      </w:r>
    </w:p>
    <w:p w:rsidR="00B83173" w:rsidRPr="002E66C1" w:rsidRDefault="00B83173" w:rsidP="00554676">
      <w:pPr>
        <w:pStyle w:val="Normal12Hanging"/>
        <w:spacing w:before="120" w:after="120"/>
        <w:ind w:left="720" w:hanging="720"/>
        <w:rPr>
          <w:b/>
          <w:i/>
        </w:rPr>
      </w:pPr>
      <w:r w:rsidRPr="002E66C1">
        <w:rPr>
          <w:b/>
          <w:i/>
        </w:rPr>
        <w:t>Sisekontroll</w:t>
      </w:r>
    </w:p>
    <w:p w:rsidR="00B83173" w:rsidRPr="002E66C1" w:rsidRDefault="00B83173" w:rsidP="00554676">
      <w:pPr>
        <w:pStyle w:val="Normal12Hanging"/>
        <w:spacing w:before="120" w:after="120"/>
        <w:ind w:left="720" w:hanging="720"/>
      </w:pPr>
      <w:r w:rsidRPr="002E66C1">
        <w:t>15.</w:t>
      </w:r>
      <w:r w:rsidRPr="002E66C1">
        <w:tab/>
        <w:t xml:space="preserve">avaldab heameelt asjaolu üle, et </w:t>
      </w:r>
      <w:proofErr w:type="spellStart"/>
      <w:r w:rsidRPr="002E66C1">
        <w:t>ühisettevõte</w:t>
      </w:r>
      <w:proofErr w:type="spellEnd"/>
      <w:r w:rsidRPr="002E66C1">
        <w:t xml:space="preserve"> on astunud samme, et hinnata </w:t>
      </w:r>
      <w:proofErr w:type="spellStart"/>
      <w:r w:rsidRPr="002E66C1">
        <w:t>järelauditite</w:t>
      </w:r>
      <w:proofErr w:type="spellEnd"/>
      <w:r w:rsidRPr="002E66C1">
        <w:t xml:space="preserve"> rakendamist riiklike rahastamisasutuste poolt, ning on saanud riiklikelt rahastamisasutustelt kirjalikud avaldused, milles kinnitatakse, et nende riiklike menetluste täitmine andis tehingute seaduslikkuse ja korrektsuse kohta piisava kindluse;</w:t>
      </w:r>
    </w:p>
    <w:p w:rsidR="00B83173" w:rsidRPr="002E66C1" w:rsidRDefault="00B83173" w:rsidP="00554676">
      <w:pPr>
        <w:pStyle w:val="Normal12Hanging"/>
        <w:spacing w:before="120" w:after="120"/>
        <w:ind w:left="720" w:hanging="720"/>
      </w:pPr>
      <w:r w:rsidRPr="002E66C1">
        <w:t>16.</w:t>
      </w:r>
      <w:r w:rsidRPr="002E66C1">
        <w:tab/>
        <w:t xml:space="preserve">märgib rahuloluga, et riiklike rahastamisasutuste kasutatud metoodikate ja menetluste erinevus ei ole programmi „Horisont 2020“ projektide elluviimisel enam oluline, sest </w:t>
      </w:r>
      <w:proofErr w:type="spellStart"/>
      <w:r w:rsidRPr="002E66C1">
        <w:t>järelauditeid</w:t>
      </w:r>
      <w:proofErr w:type="spellEnd"/>
      <w:r w:rsidRPr="002E66C1">
        <w:t xml:space="preserve"> teeb kas </w:t>
      </w:r>
      <w:proofErr w:type="spellStart"/>
      <w:r w:rsidRPr="002E66C1">
        <w:t>ühisettevõte</w:t>
      </w:r>
      <w:proofErr w:type="spellEnd"/>
      <w:r w:rsidRPr="002E66C1">
        <w:t xml:space="preserve"> või komisjon; märgib, et kooskõlas programmi „Horisont 2020“ ühise </w:t>
      </w:r>
      <w:proofErr w:type="spellStart"/>
      <w:r w:rsidRPr="002E66C1">
        <w:t>järelauditi</w:t>
      </w:r>
      <w:proofErr w:type="spellEnd"/>
      <w:r w:rsidRPr="002E66C1">
        <w:t xml:space="preserve"> kava sätetega on praeguseks alustatud </w:t>
      </w:r>
      <w:proofErr w:type="spellStart"/>
      <w:r w:rsidRPr="002E66C1">
        <w:t>ühisettevõtte</w:t>
      </w:r>
      <w:proofErr w:type="spellEnd"/>
      <w:r w:rsidRPr="002E66C1">
        <w:t xml:space="preserve"> tegevusega seotud tehingute suhtes 17 </w:t>
      </w:r>
      <w:proofErr w:type="spellStart"/>
      <w:r w:rsidRPr="002E66C1">
        <w:t>järelauditit</w:t>
      </w:r>
      <w:proofErr w:type="spellEnd"/>
      <w:r w:rsidRPr="002E66C1">
        <w:t>;</w:t>
      </w:r>
    </w:p>
    <w:p w:rsidR="00B83173" w:rsidRPr="002E66C1" w:rsidRDefault="00B83173" w:rsidP="00554676">
      <w:pPr>
        <w:pStyle w:val="Normal12Hanging"/>
        <w:spacing w:before="120" w:after="120"/>
        <w:ind w:left="720" w:hanging="720"/>
      </w:pPr>
      <w:r w:rsidRPr="002E66C1">
        <w:t>17.</w:t>
      </w:r>
      <w:r w:rsidRPr="002E66C1">
        <w:tab/>
        <w:t xml:space="preserve">märgib kahetsusega, et peale selle ei olnud </w:t>
      </w:r>
      <w:proofErr w:type="spellStart"/>
      <w:r w:rsidRPr="002E66C1">
        <w:t>ühisettevõte</w:t>
      </w:r>
      <w:proofErr w:type="spellEnd"/>
      <w:r w:rsidRPr="002E66C1">
        <w:t xml:space="preserve"> oma erandite registris 2017. aastal nõuetekohaselt dokumenteerinud juhtkonna poolseid kontrollide tühistamisi ega kõrvalekaldeid kehtestatud protsessidest ja menetlustest; täheldab vastuste põhjal, et </w:t>
      </w:r>
      <w:proofErr w:type="spellStart"/>
      <w:r w:rsidRPr="002E66C1">
        <w:t>ühisettevõte</w:t>
      </w:r>
      <w:proofErr w:type="spellEnd"/>
      <w:r w:rsidRPr="002E66C1">
        <w:t xml:space="preserve"> on võtnud selle probleemiga tegelemiseks meetmeid, nagu sisekontrolli standardi nr 8 läbivaatamine, et tal on erandite register ning et 2018. aastal toimus tema töötajate koolitusüritus;</w:t>
      </w:r>
    </w:p>
    <w:p w:rsidR="00B83173" w:rsidRPr="002E66C1" w:rsidRDefault="00B83173" w:rsidP="00554676">
      <w:pPr>
        <w:pStyle w:val="Normal12Hanging"/>
        <w:spacing w:before="120" w:after="120"/>
        <w:ind w:left="720" w:hanging="720"/>
      </w:pPr>
      <w:r w:rsidRPr="002E66C1">
        <w:t>18.</w:t>
      </w:r>
      <w:r w:rsidRPr="002E66C1">
        <w:tab/>
        <w:t xml:space="preserve">märgib, et koostati komisjoni lõplik hinnang </w:t>
      </w:r>
      <w:proofErr w:type="spellStart"/>
      <w:r w:rsidRPr="002E66C1">
        <w:t>ühisettevõtete</w:t>
      </w:r>
      <w:proofErr w:type="spellEnd"/>
      <w:r w:rsidRPr="002E66C1">
        <w:t xml:space="preserve"> ARTEMIS ja ENIAC kohta ajavahemikul 2008–2013 koos programmi „Horisont 2020“ raames tegutseva </w:t>
      </w:r>
      <w:proofErr w:type="spellStart"/>
      <w:r w:rsidRPr="002E66C1">
        <w:t>ühisettevõtte</w:t>
      </w:r>
      <w:proofErr w:type="spellEnd"/>
      <w:r w:rsidRPr="002E66C1">
        <w:t xml:space="preserve"> vahehinnanguga, mis hõlmas ajavahemikku 2014–2016; märgib, et </w:t>
      </w:r>
      <w:proofErr w:type="spellStart"/>
      <w:r w:rsidRPr="002E66C1">
        <w:t>ühisettevõte</w:t>
      </w:r>
      <w:proofErr w:type="spellEnd"/>
      <w:r w:rsidRPr="002E66C1">
        <w:t xml:space="preserve"> valmistas ette ja võttis vastu tegevuskava nende hindamiste tulemusel antud soovituste käsitlemiseks ja et mõned meetmed on juba algatatud;</w:t>
      </w:r>
    </w:p>
    <w:p w:rsidR="00B83173" w:rsidRPr="002E66C1" w:rsidRDefault="00B83173" w:rsidP="00554676">
      <w:pPr>
        <w:pStyle w:val="Normal12Hanging"/>
        <w:spacing w:before="120" w:after="120"/>
        <w:ind w:left="720" w:hanging="720"/>
        <w:rPr>
          <w:b/>
          <w:i/>
        </w:rPr>
      </w:pPr>
      <w:proofErr w:type="spellStart"/>
      <w:r w:rsidRPr="002E66C1">
        <w:rPr>
          <w:b/>
          <w:i/>
        </w:rPr>
        <w:t>Siseaudit</w:t>
      </w:r>
      <w:proofErr w:type="spellEnd"/>
    </w:p>
    <w:p w:rsidR="00B83173" w:rsidRPr="002E66C1" w:rsidRDefault="00B83173" w:rsidP="00554676">
      <w:pPr>
        <w:pStyle w:val="Normal12Hanging"/>
        <w:spacing w:before="120" w:after="120"/>
        <w:ind w:left="720" w:hanging="720"/>
      </w:pPr>
      <w:r w:rsidRPr="002E66C1">
        <w:t>19.</w:t>
      </w:r>
      <w:r w:rsidRPr="002E66C1">
        <w:tab/>
        <w:t xml:space="preserve">märgib, et 2017. aastal viis komisjoni siseauditi talitus läbi tulemusjuhtimise auditi ja nõudis, et </w:t>
      </w:r>
      <w:proofErr w:type="spellStart"/>
      <w:r w:rsidRPr="002E66C1">
        <w:t>ühisettevõte</w:t>
      </w:r>
      <w:proofErr w:type="spellEnd"/>
      <w:r w:rsidRPr="002E66C1">
        <w:t xml:space="preserve"> sõnastaks selles aruandes esitatud soovituste täitmiseks tegevuskava</w:t>
      </w:r>
      <w:r w:rsidRPr="002E66C1">
        <w:rPr>
          <w:rStyle w:val="Sup"/>
        </w:rPr>
        <w:footnoteReference w:id="14"/>
      </w:r>
      <w:r w:rsidRPr="002E66C1">
        <w:t xml:space="preserve">; märgib, et </w:t>
      </w:r>
      <w:proofErr w:type="spellStart"/>
      <w:r w:rsidRPr="002E66C1">
        <w:t>ühisettevõtte</w:t>
      </w:r>
      <w:proofErr w:type="spellEnd"/>
      <w:r w:rsidRPr="002E66C1">
        <w:t xml:space="preserve"> juhatus võttis tegevuskava vastu 2018. aasta aprillis;</w:t>
      </w:r>
    </w:p>
    <w:p w:rsidR="00B83173" w:rsidRPr="002E66C1" w:rsidRDefault="00B83173" w:rsidP="00554676">
      <w:pPr>
        <w:pStyle w:val="Normal12Hanging"/>
        <w:spacing w:before="120" w:after="120"/>
        <w:ind w:left="720" w:hanging="720"/>
        <w:rPr>
          <w:b/>
          <w:bCs/>
          <w:i/>
          <w:iCs/>
        </w:rPr>
      </w:pPr>
      <w:r w:rsidRPr="002E66C1">
        <w:rPr>
          <w:b/>
          <w:bCs/>
          <w:i/>
          <w:iCs/>
        </w:rPr>
        <w:t>Personalijuhtimine</w:t>
      </w:r>
    </w:p>
    <w:p w:rsidR="00B83173" w:rsidRPr="002E66C1" w:rsidRDefault="00B83173" w:rsidP="00554676">
      <w:pPr>
        <w:pStyle w:val="Normal12Hanging"/>
        <w:spacing w:before="120" w:after="120"/>
        <w:ind w:left="720" w:hanging="720"/>
        <w:rPr>
          <w:bCs/>
          <w:iCs/>
        </w:rPr>
      </w:pPr>
      <w:r w:rsidRPr="002E66C1">
        <w:t>20.</w:t>
      </w:r>
      <w:r w:rsidRPr="002E66C1">
        <w:tab/>
        <w:t xml:space="preserve">märgib, et 31. detsembril 2017 töötas </w:t>
      </w:r>
      <w:proofErr w:type="spellStart"/>
      <w:r w:rsidRPr="002E66C1">
        <w:t>ühisettevõttes</w:t>
      </w:r>
      <w:proofErr w:type="spellEnd"/>
      <w:r w:rsidRPr="002E66C1">
        <w:t xml:space="preserve"> 29 töötajat, st sama palju kui aasta varem; märgib, et </w:t>
      </w:r>
      <w:proofErr w:type="spellStart"/>
      <w:r w:rsidRPr="002E66C1">
        <w:t>ühisettevõte</w:t>
      </w:r>
      <w:proofErr w:type="spellEnd"/>
      <w:r w:rsidRPr="002E66C1">
        <w:t xml:space="preserve"> täitis ühe teabevahetuse valdkonna ametikoha ja </w:t>
      </w:r>
      <w:r w:rsidRPr="002E66C1">
        <w:lastRenderedPageBreak/>
        <w:t>kuulutas välja kaks ametikohta, millest üks oli sisekontrolli ja auditi juhtkonnas ning teine oli haldus- ja rahandusjuhi koht, ning lisaks lähetatud riikliku eksperdi koha;</w:t>
      </w:r>
    </w:p>
    <w:p w:rsidR="00B83173" w:rsidRPr="002E66C1" w:rsidRDefault="00B83173" w:rsidP="00554676">
      <w:pPr>
        <w:spacing w:before="120" w:after="120"/>
        <w:ind w:left="720" w:hanging="720"/>
      </w:pPr>
      <w:r w:rsidRPr="002E66C1">
        <w:t>21.</w:t>
      </w:r>
      <w:r w:rsidRPr="002E66C1">
        <w:tab/>
        <w:t xml:space="preserve">peab tervitatavaks asjaolu, et organisatsiooni struktuuri prioriteetide ja eksperditeadmiste vajaduste järgi kohandamiseks ajakohastati 1. juunil 2017 </w:t>
      </w:r>
      <w:proofErr w:type="spellStart"/>
      <w:r w:rsidRPr="002E66C1">
        <w:t>ühisettevõtte</w:t>
      </w:r>
      <w:proofErr w:type="spellEnd"/>
      <w:r w:rsidRPr="002E66C1">
        <w:t xml:space="preserve"> organisatsioonilist struktuuri.</w:t>
      </w:r>
    </w:p>
    <w:p w:rsidR="00E365E1" w:rsidRPr="002E66C1" w:rsidRDefault="00E365E1" w:rsidP="00554676">
      <w:pPr>
        <w:spacing w:before="120" w:after="120"/>
        <w:ind w:left="720" w:hanging="720"/>
      </w:pPr>
      <w:bookmarkStart w:id="12" w:name="TextBodyEnd"/>
      <w:bookmarkEnd w:id="12"/>
    </w:p>
    <w:sectPr w:rsidR="00E365E1" w:rsidRPr="002E66C1" w:rsidSect="00432000">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1BD" w:rsidRPr="00432000" w:rsidRDefault="00E861BD">
      <w:r w:rsidRPr="00432000">
        <w:separator/>
      </w:r>
    </w:p>
  </w:endnote>
  <w:endnote w:type="continuationSeparator" w:id="0">
    <w:p w:rsidR="00E861BD" w:rsidRPr="00432000" w:rsidRDefault="00E861BD">
      <w:r w:rsidRPr="0043200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000" w:rsidRPr="00432000" w:rsidRDefault="00432000">
    <w:pPr>
      <w:pStyle w:val="Footer"/>
      <w:rPr>
        <w:lang w:val="et-E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000" w:rsidRPr="00432000" w:rsidRDefault="00432000">
    <w:pPr>
      <w:pStyle w:val="Footer"/>
      <w:rPr>
        <w:lang w:val="et-E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000" w:rsidRPr="00432000" w:rsidRDefault="00432000">
    <w:pPr>
      <w:pStyle w:val="Footer"/>
      <w:rPr>
        <w:lang w:val="et-E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1BD" w:rsidRPr="00432000" w:rsidRDefault="00E861BD">
      <w:r w:rsidRPr="00432000">
        <w:separator/>
      </w:r>
    </w:p>
  </w:footnote>
  <w:footnote w:type="continuationSeparator" w:id="0">
    <w:p w:rsidR="00E861BD" w:rsidRPr="00432000" w:rsidRDefault="00E861BD">
      <w:r w:rsidRPr="00432000">
        <w:continuationSeparator/>
      </w:r>
    </w:p>
  </w:footnote>
  <w:footnote w:id="1">
    <w:p w:rsidR="00B83173" w:rsidRPr="00432000" w:rsidRDefault="00B83173" w:rsidP="00B474AB">
      <w:pPr>
        <w:pStyle w:val="FootnoteText"/>
        <w:ind w:left="720" w:hanging="720"/>
        <w:rPr>
          <w:sz w:val="24"/>
          <w:lang w:val="et-EE"/>
        </w:rPr>
      </w:pPr>
      <w:r w:rsidRPr="00432000">
        <w:rPr>
          <w:rStyle w:val="FootnoteReference"/>
          <w:sz w:val="24"/>
          <w:lang w:val="et-EE"/>
        </w:rPr>
        <w:footnoteRef/>
      </w:r>
      <w:r w:rsidR="00432000" w:rsidRPr="00432000">
        <w:rPr>
          <w:sz w:val="24"/>
          <w:lang w:val="et-EE"/>
        </w:rPr>
        <w:t xml:space="preserve"> </w:t>
      </w:r>
      <w:r w:rsidR="00432000" w:rsidRPr="00432000">
        <w:rPr>
          <w:sz w:val="24"/>
          <w:lang w:val="et-EE"/>
        </w:rPr>
        <w:tab/>
      </w:r>
      <w:r w:rsidRPr="00432000">
        <w:rPr>
          <w:sz w:val="24"/>
          <w:lang w:val="et-EE"/>
        </w:rPr>
        <w:t>ELT C 452, 14.12.2018, lk 10.</w:t>
      </w:r>
    </w:p>
  </w:footnote>
  <w:footnote w:id="2">
    <w:p w:rsidR="00B83173" w:rsidRPr="00432000" w:rsidRDefault="00B83173" w:rsidP="00B474AB">
      <w:pPr>
        <w:pStyle w:val="FootnoteText"/>
        <w:ind w:left="720" w:hanging="720"/>
        <w:rPr>
          <w:sz w:val="24"/>
          <w:lang w:val="et-EE"/>
        </w:rPr>
      </w:pPr>
      <w:r w:rsidRPr="00432000">
        <w:rPr>
          <w:rStyle w:val="FootnoteReference"/>
          <w:sz w:val="24"/>
          <w:lang w:val="et-EE"/>
        </w:rPr>
        <w:footnoteRef/>
      </w:r>
      <w:r w:rsidR="00432000" w:rsidRPr="00432000">
        <w:rPr>
          <w:sz w:val="24"/>
          <w:lang w:val="et-EE"/>
        </w:rPr>
        <w:t xml:space="preserve"> </w:t>
      </w:r>
      <w:r w:rsidR="00432000" w:rsidRPr="00432000">
        <w:rPr>
          <w:sz w:val="24"/>
          <w:lang w:val="et-EE"/>
        </w:rPr>
        <w:tab/>
      </w:r>
      <w:r w:rsidRPr="00432000">
        <w:rPr>
          <w:sz w:val="24"/>
          <w:lang w:val="et-EE"/>
        </w:rPr>
        <w:t>ELT C 452, 14.12.2018, lk 12.</w:t>
      </w:r>
    </w:p>
  </w:footnote>
  <w:footnote w:id="3">
    <w:p w:rsidR="00B83173" w:rsidRPr="00432000" w:rsidRDefault="00B83173" w:rsidP="00B474AB">
      <w:pPr>
        <w:pStyle w:val="FootnoteText"/>
        <w:ind w:left="720" w:hanging="720"/>
        <w:rPr>
          <w:sz w:val="24"/>
          <w:lang w:val="et-EE"/>
        </w:rPr>
      </w:pPr>
      <w:r w:rsidRPr="00432000">
        <w:rPr>
          <w:rStyle w:val="FootnoteReference"/>
          <w:sz w:val="24"/>
          <w:lang w:val="et-EE"/>
        </w:rPr>
        <w:footnoteRef/>
      </w:r>
      <w:r w:rsidR="00432000" w:rsidRPr="00432000">
        <w:rPr>
          <w:sz w:val="24"/>
          <w:lang w:val="et-EE"/>
        </w:rPr>
        <w:t xml:space="preserve"> </w:t>
      </w:r>
      <w:r w:rsidR="00432000" w:rsidRPr="00432000">
        <w:rPr>
          <w:sz w:val="24"/>
          <w:lang w:val="et-EE"/>
        </w:rPr>
        <w:tab/>
      </w:r>
      <w:r w:rsidRPr="00432000">
        <w:rPr>
          <w:sz w:val="24"/>
          <w:lang w:val="et-EE"/>
        </w:rPr>
        <w:t>ELT L 298, 26.10.2012, lk 1.</w:t>
      </w:r>
    </w:p>
  </w:footnote>
  <w:footnote w:id="4">
    <w:p w:rsidR="00B474AB" w:rsidRPr="0096461B" w:rsidRDefault="00B474AB" w:rsidP="00B474AB">
      <w:pPr>
        <w:pStyle w:val="FootnoteText"/>
        <w:ind w:left="720" w:hanging="720"/>
        <w:rPr>
          <w:sz w:val="24"/>
          <w:szCs w:val="24"/>
          <w:lang w:val="et-EE"/>
        </w:rPr>
      </w:pPr>
      <w:r w:rsidRPr="00B474AB">
        <w:rPr>
          <w:rStyle w:val="FootnoteReference"/>
          <w:sz w:val="24"/>
          <w:szCs w:val="24"/>
        </w:rPr>
        <w:footnoteRef/>
      </w:r>
      <w:r w:rsidRPr="0096461B">
        <w:rPr>
          <w:sz w:val="24"/>
          <w:szCs w:val="24"/>
          <w:lang w:val="da-DK"/>
        </w:rPr>
        <w:t xml:space="preserve"> </w:t>
      </w:r>
      <w:r w:rsidRPr="00B474AB">
        <w:rPr>
          <w:sz w:val="24"/>
          <w:szCs w:val="24"/>
          <w:lang w:val="et-EE"/>
        </w:rPr>
        <w:tab/>
        <w:t>ELT L 193, 30.7.2018, lk 1.</w:t>
      </w:r>
    </w:p>
  </w:footnote>
  <w:footnote w:id="5">
    <w:p w:rsidR="00B83173" w:rsidRPr="00432000" w:rsidRDefault="00B83173" w:rsidP="00B474AB">
      <w:pPr>
        <w:pStyle w:val="FootnoteText"/>
        <w:ind w:left="720" w:hanging="720"/>
        <w:rPr>
          <w:sz w:val="24"/>
          <w:lang w:val="et-EE"/>
        </w:rPr>
      </w:pPr>
      <w:r w:rsidRPr="00432000">
        <w:rPr>
          <w:rStyle w:val="FootnoteReference"/>
          <w:sz w:val="24"/>
          <w:lang w:val="et-EE"/>
        </w:rPr>
        <w:footnoteRef/>
      </w:r>
      <w:r w:rsidR="00432000" w:rsidRPr="00432000">
        <w:rPr>
          <w:sz w:val="24"/>
          <w:lang w:val="et-EE"/>
        </w:rPr>
        <w:t xml:space="preserve"> </w:t>
      </w:r>
      <w:r w:rsidR="00432000" w:rsidRPr="00432000">
        <w:rPr>
          <w:sz w:val="24"/>
          <w:lang w:val="et-EE"/>
        </w:rPr>
        <w:tab/>
      </w:r>
      <w:r w:rsidRPr="00432000">
        <w:rPr>
          <w:sz w:val="24"/>
          <w:lang w:val="et-EE"/>
        </w:rPr>
        <w:t xml:space="preserve">ELT L </w:t>
      </w:r>
      <w:r w:rsidR="00B474AB">
        <w:rPr>
          <w:sz w:val="24"/>
          <w:lang w:val="et-EE"/>
        </w:rPr>
        <w:t>169</w:t>
      </w:r>
      <w:r w:rsidRPr="00432000">
        <w:rPr>
          <w:sz w:val="24"/>
          <w:lang w:val="et-EE"/>
        </w:rPr>
        <w:t xml:space="preserve">, </w:t>
      </w:r>
      <w:r w:rsidR="00B474AB">
        <w:rPr>
          <w:sz w:val="24"/>
          <w:lang w:val="et-EE"/>
        </w:rPr>
        <w:t>7</w:t>
      </w:r>
      <w:r w:rsidRPr="00432000">
        <w:rPr>
          <w:sz w:val="24"/>
          <w:lang w:val="et-EE"/>
        </w:rPr>
        <w:t>.</w:t>
      </w:r>
      <w:r w:rsidR="00B474AB">
        <w:rPr>
          <w:sz w:val="24"/>
          <w:lang w:val="et-EE"/>
        </w:rPr>
        <w:t>6</w:t>
      </w:r>
      <w:r w:rsidRPr="00432000">
        <w:rPr>
          <w:sz w:val="24"/>
          <w:lang w:val="et-EE"/>
        </w:rPr>
        <w:t>.201</w:t>
      </w:r>
      <w:r w:rsidR="00B474AB">
        <w:rPr>
          <w:sz w:val="24"/>
          <w:lang w:val="et-EE"/>
        </w:rPr>
        <w:t>4</w:t>
      </w:r>
      <w:r w:rsidRPr="00432000">
        <w:rPr>
          <w:sz w:val="24"/>
          <w:lang w:val="et-EE"/>
        </w:rPr>
        <w:t>, lk 1</w:t>
      </w:r>
      <w:r w:rsidR="00B474AB">
        <w:rPr>
          <w:sz w:val="24"/>
          <w:lang w:val="et-EE"/>
        </w:rPr>
        <w:t>52</w:t>
      </w:r>
      <w:r w:rsidRPr="00432000">
        <w:rPr>
          <w:sz w:val="24"/>
          <w:lang w:val="et-EE"/>
        </w:rPr>
        <w:t>.</w:t>
      </w:r>
    </w:p>
  </w:footnote>
  <w:footnote w:id="6">
    <w:p w:rsidR="00B83173" w:rsidRPr="00432000" w:rsidRDefault="00B83173" w:rsidP="00B474AB">
      <w:pPr>
        <w:pStyle w:val="FootnoteText"/>
        <w:ind w:left="720" w:hanging="720"/>
        <w:rPr>
          <w:sz w:val="24"/>
          <w:lang w:val="et-EE"/>
        </w:rPr>
      </w:pPr>
      <w:r w:rsidRPr="00432000">
        <w:rPr>
          <w:rStyle w:val="FootnoteReference"/>
          <w:sz w:val="24"/>
          <w:lang w:val="et-EE"/>
        </w:rPr>
        <w:footnoteRef/>
      </w:r>
      <w:r w:rsidR="00432000" w:rsidRPr="00432000">
        <w:rPr>
          <w:sz w:val="24"/>
          <w:lang w:val="et-EE"/>
        </w:rPr>
        <w:t xml:space="preserve"> </w:t>
      </w:r>
      <w:r w:rsidR="00432000" w:rsidRPr="00432000">
        <w:rPr>
          <w:sz w:val="24"/>
          <w:lang w:val="et-EE"/>
        </w:rPr>
        <w:tab/>
      </w:r>
      <w:r w:rsidRPr="00432000">
        <w:rPr>
          <w:sz w:val="24"/>
          <w:lang w:val="et-EE"/>
        </w:rPr>
        <w:t>ELT L 38, 7.2.2014, lk 2.</w:t>
      </w:r>
    </w:p>
  </w:footnote>
  <w:footnote w:id="7">
    <w:p w:rsidR="00B83173" w:rsidRPr="00432000" w:rsidRDefault="00B83173" w:rsidP="00B474AB">
      <w:pPr>
        <w:pStyle w:val="FootnoteText"/>
        <w:ind w:left="720" w:hanging="720"/>
        <w:rPr>
          <w:sz w:val="24"/>
          <w:lang w:val="et-EE"/>
        </w:rPr>
      </w:pPr>
      <w:r w:rsidRPr="00432000">
        <w:rPr>
          <w:rStyle w:val="FootnoteReference"/>
          <w:sz w:val="24"/>
          <w:lang w:val="et-EE"/>
        </w:rPr>
        <w:footnoteRef/>
      </w:r>
      <w:r w:rsidR="00432000" w:rsidRPr="00432000">
        <w:rPr>
          <w:sz w:val="24"/>
          <w:lang w:val="et-EE"/>
        </w:rPr>
        <w:t xml:space="preserve"> </w:t>
      </w:r>
      <w:r w:rsidR="00432000" w:rsidRPr="00432000">
        <w:rPr>
          <w:sz w:val="24"/>
          <w:lang w:val="et-EE"/>
        </w:rPr>
        <w:tab/>
      </w:r>
      <w:r w:rsidRPr="00432000">
        <w:rPr>
          <w:sz w:val="24"/>
          <w:lang w:val="et-EE"/>
        </w:rPr>
        <w:t>ELT C 452, 14.12.2018, lk 10.</w:t>
      </w:r>
    </w:p>
  </w:footnote>
  <w:footnote w:id="8">
    <w:p w:rsidR="00B83173" w:rsidRPr="00432000" w:rsidRDefault="00B83173" w:rsidP="00B474AB">
      <w:pPr>
        <w:pStyle w:val="FootnoteText"/>
        <w:ind w:left="720" w:hanging="720"/>
        <w:rPr>
          <w:sz w:val="24"/>
          <w:lang w:val="et-EE"/>
        </w:rPr>
      </w:pPr>
      <w:r w:rsidRPr="00432000">
        <w:rPr>
          <w:rStyle w:val="FootnoteReference"/>
          <w:sz w:val="24"/>
          <w:lang w:val="et-EE"/>
        </w:rPr>
        <w:footnoteRef/>
      </w:r>
      <w:r w:rsidR="00432000" w:rsidRPr="00432000">
        <w:rPr>
          <w:sz w:val="24"/>
          <w:lang w:val="et-EE"/>
        </w:rPr>
        <w:t xml:space="preserve"> </w:t>
      </w:r>
      <w:r w:rsidR="00432000" w:rsidRPr="00432000">
        <w:rPr>
          <w:sz w:val="24"/>
          <w:lang w:val="et-EE"/>
        </w:rPr>
        <w:tab/>
      </w:r>
      <w:r w:rsidRPr="00432000">
        <w:rPr>
          <w:sz w:val="24"/>
          <w:lang w:val="et-EE"/>
        </w:rPr>
        <w:t>ELT C 452, 14.12.2018, lk 12.</w:t>
      </w:r>
    </w:p>
  </w:footnote>
  <w:footnote w:id="9">
    <w:p w:rsidR="00B83173" w:rsidRPr="00432000" w:rsidRDefault="00B83173" w:rsidP="00B474AB">
      <w:pPr>
        <w:pStyle w:val="FootnoteText"/>
        <w:ind w:left="720" w:hanging="720"/>
        <w:rPr>
          <w:sz w:val="24"/>
          <w:lang w:val="et-EE"/>
        </w:rPr>
      </w:pPr>
      <w:r w:rsidRPr="00432000">
        <w:rPr>
          <w:rStyle w:val="FootnoteReference"/>
          <w:sz w:val="24"/>
          <w:lang w:val="et-EE"/>
        </w:rPr>
        <w:footnoteRef/>
      </w:r>
      <w:r w:rsidR="00432000" w:rsidRPr="00432000">
        <w:rPr>
          <w:sz w:val="24"/>
          <w:lang w:val="et-EE"/>
        </w:rPr>
        <w:t xml:space="preserve"> </w:t>
      </w:r>
      <w:r w:rsidR="00432000" w:rsidRPr="00432000">
        <w:rPr>
          <w:sz w:val="24"/>
          <w:lang w:val="et-EE"/>
        </w:rPr>
        <w:tab/>
      </w:r>
      <w:r w:rsidRPr="00432000">
        <w:rPr>
          <w:sz w:val="24"/>
          <w:lang w:val="et-EE"/>
        </w:rPr>
        <w:t>ELT L 298, 26.10.2012, lk 1.</w:t>
      </w:r>
    </w:p>
  </w:footnote>
  <w:footnote w:id="10">
    <w:p w:rsidR="00FC6B81" w:rsidRPr="00D27730" w:rsidRDefault="00FC6B81" w:rsidP="00FC6B81">
      <w:pPr>
        <w:pStyle w:val="FootnoteText"/>
        <w:ind w:left="720" w:hanging="720"/>
        <w:rPr>
          <w:sz w:val="24"/>
          <w:szCs w:val="24"/>
          <w:lang w:val="et-EE"/>
        </w:rPr>
      </w:pPr>
      <w:r w:rsidRPr="00B474AB">
        <w:rPr>
          <w:rStyle w:val="FootnoteReference"/>
          <w:sz w:val="24"/>
          <w:szCs w:val="24"/>
        </w:rPr>
        <w:footnoteRef/>
      </w:r>
      <w:r w:rsidRPr="0096461B">
        <w:rPr>
          <w:sz w:val="24"/>
          <w:szCs w:val="24"/>
          <w:lang w:val="da-DK"/>
        </w:rPr>
        <w:t xml:space="preserve"> </w:t>
      </w:r>
      <w:r w:rsidRPr="00B474AB">
        <w:rPr>
          <w:sz w:val="24"/>
          <w:szCs w:val="24"/>
          <w:lang w:val="et-EE"/>
        </w:rPr>
        <w:tab/>
        <w:t>ELT L 193, 30.7.2018, lk 1.</w:t>
      </w:r>
    </w:p>
  </w:footnote>
  <w:footnote w:id="11">
    <w:p w:rsidR="00B83173" w:rsidRPr="00432000" w:rsidRDefault="00B83173" w:rsidP="00B474AB">
      <w:pPr>
        <w:pStyle w:val="FootnoteText"/>
        <w:ind w:left="720" w:hanging="720"/>
        <w:rPr>
          <w:sz w:val="24"/>
          <w:lang w:val="et-EE"/>
        </w:rPr>
      </w:pPr>
      <w:r w:rsidRPr="00432000">
        <w:rPr>
          <w:rStyle w:val="FootnoteReference"/>
          <w:sz w:val="24"/>
          <w:lang w:val="et-EE"/>
        </w:rPr>
        <w:footnoteRef/>
      </w:r>
      <w:r w:rsidR="00432000" w:rsidRPr="00432000">
        <w:rPr>
          <w:sz w:val="24"/>
          <w:lang w:val="et-EE"/>
        </w:rPr>
        <w:t xml:space="preserve"> </w:t>
      </w:r>
      <w:r w:rsidR="00432000" w:rsidRPr="00432000">
        <w:rPr>
          <w:sz w:val="24"/>
          <w:lang w:val="et-EE"/>
        </w:rPr>
        <w:tab/>
      </w:r>
      <w:r w:rsidR="00FC6B81" w:rsidRPr="00432000">
        <w:rPr>
          <w:sz w:val="24"/>
          <w:lang w:val="et-EE"/>
        </w:rPr>
        <w:t xml:space="preserve">ELT L </w:t>
      </w:r>
      <w:r w:rsidR="00FC6B81">
        <w:rPr>
          <w:sz w:val="24"/>
          <w:lang w:val="et-EE"/>
        </w:rPr>
        <w:t>169</w:t>
      </w:r>
      <w:r w:rsidR="00FC6B81" w:rsidRPr="00432000">
        <w:rPr>
          <w:sz w:val="24"/>
          <w:lang w:val="et-EE"/>
        </w:rPr>
        <w:t xml:space="preserve">, </w:t>
      </w:r>
      <w:r w:rsidR="00FC6B81">
        <w:rPr>
          <w:sz w:val="24"/>
          <w:lang w:val="et-EE"/>
        </w:rPr>
        <w:t>7</w:t>
      </w:r>
      <w:r w:rsidR="00FC6B81" w:rsidRPr="00432000">
        <w:rPr>
          <w:sz w:val="24"/>
          <w:lang w:val="et-EE"/>
        </w:rPr>
        <w:t>.</w:t>
      </w:r>
      <w:r w:rsidR="00FC6B81">
        <w:rPr>
          <w:sz w:val="24"/>
          <w:lang w:val="et-EE"/>
        </w:rPr>
        <w:t>6</w:t>
      </w:r>
      <w:r w:rsidR="00FC6B81" w:rsidRPr="00432000">
        <w:rPr>
          <w:sz w:val="24"/>
          <w:lang w:val="et-EE"/>
        </w:rPr>
        <w:t>.201</w:t>
      </w:r>
      <w:r w:rsidR="00FC6B81">
        <w:rPr>
          <w:sz w:val="24"/>
          <w:lang w:val="et-EE"/>
        </w:rPr>
        <w:t>4</w:t>
      </w:r>
      <w:r w:rsidR="00FC6B81" w:rsidRPr="00432000">
        <w:rPr>
          <w:sz w:val="24"/>
          <w:lang w:val="et-EE"/>
        </w:rPr>
        <w:t>, lk 1</w:t>
      </w:r>
      <w:r w:rsidR="00FC6B81">
        <w:rPr>
          <w:sz w:val="24"/>
          <w:lang w:val="et-EE"/>
        </w:rPr>
        <w:t>52</w:t>
      </w:r>
      <w:r w:rsidRPr="00432000">
        <w:rPr>
          <w:sz w:val="24"/>
          <w:lang w:val="et-EE"/>
        </w:rPr>
        <w:t>.</w:t>
      </w:r>
    </w:p>
  </w:footnote>
  <w:footnote w:id="12">
    <w:p w:rsidR="00B83173" w:rsidRPr="00432000" w:rsidRDefault="00B83173" w:rsidP="00B474AB">
      <w:pPr>
        <w:pStyle w:val="FootnoteText"/>
        <w:ind w:left="720" w:hanging="720"/>
        <w:rPr>
          <w:sz w:val="24"/>
          <w:lang w:val="et-EE"/>
        </w:rPr>
      </w:pPr>
      <w:r w:rsidRPr="00432000">
        <w:rPr>
          <w:rStyle w:val="FootnoteReference"/>
          <w:sz w:val="24"/>
          <w:lang w:val="et-EE"/>
        </w:rPr>
        <w:footnoteRef/>
      </w:r>
      <w:r w:rsidR="00432000" w:rsidRPr="00432000">
        <w:rPr>
          <w:sz w:val="24"/>
          <w:lang w:val="et-EE"/>
        </w:rPr>
        <w:t xml:space="preserve"> </w:t>
      </w:r>
      <w:r w:rsidR="00432000" w:rsidRPr="00432000">
        <w:rPr>
          <w:sz w:val="24"/>
          <w:lang w:val="et-EE"/>
        </w:rPr>
        <w:tab/>
      </w:r>
      <w:r w:rsidRPr="00432000">
        <w:rPr>
          <w:sz w:val="24"/>
          <w:lang w:val="et-EE"/>
        </w:rPr>
        <w:t>ELT L 38, 7.2.2014, lk 2.</w:t>
      </w:r>
    </w:p>
  </w:footnote>
  <w:footnote w:id="13">
    <w:p w:rsidR="00B83173" w:rsidRPr="00432000" w:rsidRDefault="00B83173" w:rsidP="00B474AB">
      <w:pPr>
        <w:pStyle w:val="FootnoteText"/>
        <w:ind w:left="720" w:hanging="720"/>
        <w:rPr>
          <w:sz w:val="24"/>
          <w:lang w:val="et-EE"/>
        </w:rPr>
      </w:pPr>
      <w:r w:rsidRPr="00432000">
        <w:rPr>
          <w:rStyle w:val="FootnoteReference"/>
          <w:sz w:val="24"/>
          <w:lang w:val="et-EE"/>
        </w:rPr>
        <w:footnoteRef/>
      </w:r>
      <w:r w:rsidR="00432000" w:rsidRPr="00432000">
        <w:rPr>
          <w:sz w:val="24"/>
          <w:lang w:val="et-EE"/>
        </w:rPr>
        <w:t xml:space="preserve"> </w:t>
      </w:r>
      <w:r w:rsidR="00432000" w:rsidRPr="00432000">
        <w:rPr>
          <w:sz w:val="24"/>
          <w:lang w:val="et-EE"/>
        </w:rPr>
        <w:tab/>
      </w:r>
      <w:r w:rsidRPr="00432000">
        <w:rPr>
          <w:sz w:val="24"/>
          <w:lang w:val="et-EE"/>
        </w:rPr>
        <w:t>ELT L 169, 7.6.2014, lk 152.</w:t>
      </w:r>
    </w:p>
  </w:footnote>
  <w:footnote w:id="14">
    <w:p w:rsidR="00B83173" w:rsidRPr="00432000" w:rsidRDefault="00B83173" w:rsidP="00B474AB">
      <w:pPr>
        <w:pStyle w:val="FootnoteText"/>
        <w:ind w:left="720" w:hanging="720"/>
        <w:rPr>
          <w:sz w:val="24"/>
          <w:lang w:val="et-EE"/>
        </w:rPr>
      </w:pPr>
      <w:r w:rsidRPr="00432000">
        <w:rPr>
          <w:rStyle w:val="FootnoteReference"/>
          <w:sz w:val="24"/>
          <w:lang w:val="et-EE"/>
        </w:rPr>
        <w:footnoteRef/>
      </w:r>
      <w:r w:rsidR="00432000" w:rsidRPr="00432000">
        <w:rPr>
          <w:sz w:val="24"/>
          <w:lang w:val="et-EE"/>
        </w:rPr>
        <w:t xml:space="preserve"> </w:t>
      </w:r>
      <w:r w:rsidR="00432000" w:rsidRPr="00432000">
        <w:rPr>
          <w:sz w:val="24"/>
          <w:lang w:val="et-EE"/>
        </w:rPr>
        <w:tab/>
      </w:r>
      <w:r w:rsidRPr="00432000">
        <w:rPr>
          <w:sz w:val="24"/>
          <w:lang w:val="et-EE"/>
        </w:rPr>
        <w:t>Aasta tegevusaruanne, lk 51.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000" w:rsidRPr="00432000" w:rsidRDefault="00432000">
    <w:pPr>
      <w:pStyle w:val="Header"/>
      <w:rPr>
        <w:lang w:val="et-E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000" w:rsidRPr="00432000" w:rsidRDefault="00432000">
    <w:pPr>
      <w:pStyle w:val="Header"/>
      <w:rPr>
        <w:lang w:val="et-E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000" w:rsidRPr="00432000" w:rsidRDefault="00432000">
    <w:pPr>
      <w:pStyle w:val="Header"/>
      <w:rPr>
        <w:lang w:val="et-E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102/2019"/>
    <w:docVar w:name="dvlangue" w:val="ET"/>
    <w:docVar w:name="dvnumam" w:val="0"/>
    <w:docVar w:name="dvpe" w:val="626.828"/>
    <w:docVar w:name="dvrapporteur" w:val="Raportöör: "/>
    <w:docVar w:name="dvtitre" w:val="Euroopa Parlamendi .... 2019. aasta otsus ühisettevõtte ECSEL 2017. aasta eelarve täitmisele heakskiidu andmise kohta(2018/2218(DEC))"/>
  </w:docVars>
  <w:rsids>
    <w:rsidRoot w:val="00E861BD"/>
    <w:rsid w:val="00002272"/>
    <w:rsid w:val="000677B9"/>
    <w:rsid w:val="000E7DD9"/>
    <w:rsid w:val="0010095E"/>
    <w:rsid w:val="00125B37"/>
    <w:rsid w:val="002767FF"/>
    <w:rsid w:val="002B5493"/>
    <w:rsid w:val="002E66C1"/>
    <w:rsid w:val="00361C00"/>
    <w:rsid w:val="00395FA1"/>
    <w:rsid w:val="003E15D4"/>
    <w:rsid w:val="00411CCE"/>
    <w:rsid w:val="0041666E"/>
    <w:rsid w:val="00421060"/>
    <w:rsid w:val="00432000"/>
    <w:rsid w:val="00494A28"/>
    <w:rsid w:val="0050519A"/>
    <w:rsid w:val="005072A1"/>
    <w:rsid w:val="00514517"/>
    <w:rsid w:val="00554676"/>
    <w:rsid w:val="006037C0"/>
    <w:rsid w:val="00680577"/>
    <w:rsid w:val="006F74FA"/>
    <w:rsid w:val="00731ADD"/>
    <w:rsid w:val="00734777"/>
    <w:rsid w:val="00751A4A"/>
    <w:rsid w:val="00756632"/>
    <w:rsid w:val="007D1690"/>
    <w:rsid w:val="00865F67"/>
    <w:rsid w:val="00881A7B"/>
    <w:rsid w:val="008840E5"/>
    <w:rsid w:val="008C2AC6"/>
    <w:rsid w:val="009509D8"/>
    <w:rsid w:val="0096461B"/>
    <w:rsid w:val="00981893"/>
    <w:rsid w:val="00A4678D"/>
    <w:rsid w:val="00AF3B82"/>
    <w:rsid w:val="00B474AB"/>
    <w:rsid w:val="00B558F0"/>
    <w:rsid w:val="00B83173"/>
    <w:rsid w:val="00BC0E7C"/>
    <w:rsid w:val="00BD7BD8"/>
    <w:rsid w:val="00C05BFE"/>
    <w:rsid w:val="00C23CD4"/>
    <w:rsid w:val="00C941CB"/>
    <w:rsid w:val="00C942DC"/>
    <w:rsid w:val="00CC2357"/>
    <w:rsid w:val="00CD1727"/>
    <w:rsid w:val="00D058B8"/>
    <w:rsid w:val="00D834A0"/>
    <w:rsid w:val="00D91E21"/>
    <w:rsid w:val="00E365E1"/>
    <w:rsid w:val="00E861BD"/>
    <w:rsid w:val="00ED4235"/>
    <w:rsid w:val="00F04346"/>
    <w:rsid w:val="00F075DC"/>
    <w:rsid w:val="00F5134D"/>
    <w:rsid w:val="00FC6B81"/>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8248C7A"/>
  <w15:chartTrackingRefBased/>
  <w15:docId w15:val="{CF278BD2-D884-447C-ADF8-1E5A7F45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t-E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12HangingChar">
    <w:name w:val="Normal12Hanging Char"/>
    <w:link w:val="Normal12Hanging"/>
    <w:rsid w:val="00B83173"/>
    <w:rPr>
      <w:sz w:val="24"/>
      <w:lang w:val="et-EE"/>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Sup">
    <w:name w:val="Sup"/>
    <w:rsid w:val="00B83173"/>
    <w:rPr>
      <w:color w:val="000000"/>
      <w:vertAlign w:val="superscript"/>
    </w:rPr>
  </w:style>
  <w:style w:type="paragraph" w:styleId="BalloonText">
    <w:name w:val="Balloon Text"/>
    <w:basedOn w:val="Normal"/>
    <w:link w:val="BalloonTextChar"/>
    <w:rsid w:val="00B474AB"/>
    <w:rPr>
      <w:rFonts w:ascii="Segoe UI" w:hAnsi="Segoe UI" w:cs="Segoe UI"/>
      <w:sz w:val="18"/>
      <w:szCs w:val="18"/>
    </w:rPr>
  </w:style>
  <w:style w:type="character" w:customStyle="1" w:styleId="BalloonTextChar">
    <w:name w:val="Balloon Text Char"/>
    <w:basedOn w:val="DefaultParagraphFont"/>
    <w:link w:val="BalloonText"/>
    <w:rsid w:val="00B474AB"/>
    <w:rPr>
      <w:rFonts w:ascii="Segoe UI" w:hAnsi="Segoe UI" w:cs="Segoe UI"/>
      <w:sz w:val="18"/>
      <w:szCs w:val="18"/>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3243F-2E6E-4D60-B5E3-40A061D13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1668</Words>
  <Characters>12098</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RAUDNASK Juta</dc:creator>
  <cp:keywords/>
  <cp:lastModifiedBy>HIRV Joel</cp:lastModifiedBy>
  <cp:revision>2</cp:revision>
  <cp:lastPrinted>2004-11-19T15:42:00Z</cp:lastPrinted>
  <dcterms:created xsi:type="dcterms:W3CDTF">2019-11-04T15:18:00Z</dcterms:created>
  <dcterms:modified xsi:type="dcterms:W3CDTF">2019-11-04T15:18:00Z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ET</vt:lpwstr>
  </property>
  <property fmtid="{D5CDD505-2E9C-101B-9397-08002B2CF9AE}" pid="3" name="&lt;FdR&gt;">
    <vt:lpwstr>P8_TA-PROV(2019)0289_</vt:lpwstr>
  </property>
  <property fmtid="{D5CDD505-2E9C-101B-9397-08002B2CF9AE}" pid="4" name="&lt;Type&gt;">
    <vt:lpwstr>RR</vt:lpwstr>
  </property>
</Properties>
</file>