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93245" w:rsidTr="0010095E">
        <w:trPr>
          <w:trHeight w:hRule="exact" w:val="1418"/>
        </w:trPr>
        <w:tc>
          <w:tcPr>
            <w:tcW w:w="6804" w:type="dxa"/>
            <w:shd w:val="clear" w:color="auto" w:fill="auto"/>
            <w:vAlign w:val="center"/>
          </w:tcPr>
          <w:p w:rsidR="00751A4A" w:rsidRPr="00093245" w:rsidRDefault="002221AB" w:rsidP="0010095E">
            <w:pPr>
              <w:pStyle w:val="EPName"/>
              <w:rPr>
                <w:lang w:val="et-EE"/>
              </w:rPr>
            </w:pPr>
            <w:r w:rsidRPr="00093245">
              <w:rPr>
                <w:lang w:val="et-EE"/>
              </w:rPr>
              <w:t>Euroopa Parlament</w:t>
            </w:r>
          </w:p>
          <w:p w:rsidR="00751A4A" w:rsidRPr="00093245" w:rsidRDefault="00756632" w:rsidP="00CD51ED">
            <w:pPr>
              <w:pStyle w:val="EPTerm"/>
              <w:rPr>
                <w:rStyle w:val="HideTWBExt"/>
                <w:noProof w:val="0"/>
                <w:vanish w:val="0"/>
                <w:color w:val="auto"/>
                <w:lang w:val="et-EE"/>
              </w:rPr>
            </w:pPr>
            <w:r w:rsidRPr="00093245">
              <w:rPr>
                <w:lang w:val="et-EE"/>
              </w:rPr>
              <w:t>201</w:t>
            </w:r>
            <w:r w:rsidR="00CD51ED" w:rsidRPr="00093245">
              <w:rPr>
                <w:lang w:val="et-EE"/>
              </w:rPr>
              <w:t>9</w:t>
            </w:r>
            <w:r w:rsidR="00C941CB" w:rsidRPr="00093245">
              <w:rPr>
                <w:lang w:val="et-EE"/>
              </w:rPr>
              <w:t>-20</w:t>
            </w:r>
            <w:r w:rsidR="00CD51ED" w:rsidRPr="00093245">
              <w:rPr>
                <w:lang w:val="et-EE"/>
              </w:rPr>
              <w:t>24</w:t>
            </w:r>
          </w:p>
        </w:tc>
        <w:tc>
          <w:tcPr>
            <w:tcW w:w="2268" w:type="dxa"/>
            <w:shd w:val="clear" w:color="auto" w:fill="auto"/>
          </w:tcPr>
          <w:p w:rsidR="00751A4A" w:rsidRPr="00093245" w:rsidRDefault="00493C2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093245" w:rsidRDefault="00D058B8" w:rsidP="00D058B8">
      <w:pPr>
        <w:pStyle w:val="LineTop"/>
        <w:rPr>
          <w:lang w:val="et-EE"/>
        </w:rPr>
      </w:pPr>
    </w:p>
    <w:p w:rsidR="00680577" w:rsidRPr="00093245" w:rsidRDefault="002221AB" w:rsidP="00680577">
      <w:pPr>
        <w:pStyle w:val="ZSessionDoc"/>
        <w:rPr>
          <w:b/>
          <w:i w:val="0"/>
        </w:rPr>
      </w:pPr>
      <w:r w:rsidRPr="00093245">
        <w:rPr>
          <w:b/>
          <w:i w:val="0"/>
        </w:rPr>
        <w:t>VASTUVÕETUD TEKSTID</w:t>
      </w:r>
    </w:p>
    <w:p w:rsidR="00D058B8" w:rsidRPr="00093245" w:rsidRDefault="00D058B8" w:rsidP="00D058B8">
      <w:pPr>
        <w:pStyle w:val="LineBottom"/>
      </w:pPr>
    </w:p>
    <w:p w:rsidR="002221AB" w:rsidRPr="00093245" w:rsidRDefault="00434A4B" w:rsidP="002221AB">
      <w:pPr>
        <w:pStyle w:val="ATHeading1"/>
        <w:rPr>
          <w:noProof w:val="0"/>
          <w:lang w:val="et-EE"/>
        </w:rPr>
      </w:pPr>
      <w:bookmarkStart w:id="0" w:name="TANumber"/>
      <w:r>
        <w:rPr>
          <w:noProof w:val="0"/>
          <w:lang w:val="et-EE"/>
        </w:rPr>
        <w:t>P9_TA</w:t>
      </w:r>
      <w:r w:rsidR="002221AB" w:rsidRPr="00093245">
        <w:rPr>
          <w:noProof w:val="0"/>
          <w:lang w:val="et-EE"/>
        </w:rPr>
        <w:t>(2019)00</w:t>
      </w:r>
      <w:r w:rsidR="00CC7C71">
        <w:rPr>
          <w:noProof w:val="0"/>
          <w:lang w:val="et-EE"/>
        </w:rPr>
        <w:t>2</w:t>
      </w:r>
      <w:r w:rsidR="000940CA">
        <w:rPr>
          <w:noProof w:val="0"/>
          <w:lang w:val="et-EE"/>
        </w:rPr>
        <w:t>6</w:t>
      </w:r>
      <w:bookmarkEnd w:id="0"/>
    </w:p>
    <w:p w:rsidR="002221AB" w:rsidRPr="00093245" w:rsidRDefault="00AD6FB9" w:rsidP="002221AB">
      <w:pPr>
        <w:pStyle w:val="ATHeading2"/>
        <w:rPr>
          <w:noProof w:val="0"/>
          <w:lang w:val="et-EE"/>
        </w:rPr>
      </w:pPr>
      <w:bookmarkStart w:id="1" w:name="title"/>
      <w:r>
        <w:rPr>
          <w:noProof w:val="0"/>
          <w:lang w:val="et-EE"/>
        </w:rPr>
        <w:t xml:space="preserve">Toimeained, </w:t>
      </w:r>
      <w:r w:rsidR="00955BB8">
        <w:rPr>
          <w:noProof w:val="0"/>
          <w:lang w:val="et-EE"/>
        </w:rPr>
        <w:t>sealhulgas</w:t>
      </w:r>
      <w:r>
        <w:rPr>
          <w:noProof w:val="0"/>
          <w:lang w:val="et-EE"/>
        </w:rPr>
        <w:t xml:space="preserve"> </w:t>
      </w:r>
      <w:proofErr w:type="spellStart"/>
      <w:r>
        <w:rPr>
          <w:noProof w:val="0"/>
          <w:lang w:val="et-EE"/>
        </w:rPr>
        <w:t>flumioksasiin</w:t>
      </w:r>
      <w:bookmarkEnd w:id="1"/>
      <w:proofErr w:type="spellEnd"/>
      <w:r w:rsidR="002221AB" w:rsidRPr="00093245">
        <w:rPr>
          <w:noProof w:val="0"/>
          <w:lang w:val="et-EE"/>
        </w:rPr>
        <w:t xml:space="preserve"> </w:t>
      </w:r>
      <w:bookmarkStart w:id="2" w:name="Etoiles"/>
      <w:bookmarkEnd w:id="2"/>
    </w:p>
    <w:p w:rsidR="002221AB" w:rsidRPr="00093245" w:rsidRDefault="002221AB" w:rsidP="002221AB">
      <w:pPr>
        <w:rPr>
          <w:i/>
          <w:vanish/>
        </w:rPr>
      </w:pPr>
      <w:r w:rsidRPr="00093245">
        <w:rPr>
          <w:i/>
        </w:rPr>
        <w:fldChar w:fldCharType="begin"/>
      </w:r>
      <w:r w:rsidRPr="00093245">
        <w:rPr>
          <w:i/>
        </w:rPr>
        <w:instrText xml:space="preserve"> TC"(</w:instrText>
      </w:r>
      <w:bookmarkStart w:id="3" w:name="DocNumber"/>
      <w:r w:rsidRPr="00093245">
        <w:rPr>
          <w:i/>
        </w:rPr>
        <w:instrText>B9-0103/2019</w:instrText>
      </w:r>
      <w:bookmarkEnd w:id="3"/>
      <w:r w:rsidRPr="00093245">
        <w:rPr>
          <w:i/>
        </w:rPr>
        <w:instrText xml:space="preserve">)"\l3 \n&gt; \* MERGEFORMAT </w:instrText>
      </w:r>
      <w:r w:rsidRPr="00093245">
        <w:rPr>
          <w:i/>
        </w:rPr>
        <w:fldChar w:fldCharType="end"/>
      </w:r>
    </w:p>
    <w:p w:rsidR="002221AB" w:rsidRPr="00093245" w:rsidRDefault="002221AB" w:rsidP="002221AB">
      <w:pPr>
        <w:rPr>
          <w:vanish/>
        </w:rPr>
      </w:pPr>
      <w:bookmarkStart w:id="4" w:name="PE"/>
      <w:r w:rsidRPr="00093245">
        <w:rPr>
          <w:vanish/>
        </w:rPr>
        <w:t>PE637.842</w:t>
      </w:r>
      <w:bookmarkEnd w:id="4"/>
    </w:p>
    <w:p w:rsidR="002221AB" w:rsidRPr="00093245" w:rsidRDefault="002221AB" w:rsidP="002221AB">
      <w:pPr>
        <w:pStyle w:val="ATHeading3"/>
        <w:rPr>
          <w:noProof w:val="0"/>
          <w:lang w:val="et-EE"/>
        </w:rPr>
      </w:pPr>
      <w:bookmarkStart w:id="5" w:name="Sujet"/>
      <w:r w:rsidRPr="00093245">
        <w:rPr>
          <w:noProof w:val="0"/>
          <w:lang w:val="et-EE"/>
        </w:rPr>
        <w:t xml:space="preserve">Euroopa Parlamendi </w:t>
      </w:r>
      <w:r w:rsidR="00AD6FB9">
        <w:rPr>
          <w:noProof w:val="0"/>
          <w:lang w:val="et-EE"/>
        </w:rPr>
        <w:t>10. oktoobri</w:t>
      </w:r>
      <w:r w:rsidRPr="00093245">
        <w:rPr>
          <w:noProof w:val="0"/>
          <w:lang w:val="et-EE"/>
        </w:rPr>
        <w:t xml:space="preserve"> 2019.</w:t>
      </w:r>
      <w:r w:rsidR="00AD6FB9">
        <w:rPr>
          <w:noProof w:val="0"/>
          <w:lang w:val="et-EE"/>
        </w:rPr>
        <w:t> </w:t>
      </w:r>
      <w:r w:rsidRPr="00093245">
        <w:rPr>
          <w:noProof w:val="0"/>
          <w:lang w:val="et-EE"/>
        </w:rPr>
        <w:t>aasta resolutsioon komisjoni 7. mai 2019.</w:t>
      </w:r>
      <w:r w:rsidR="00AD6FB9">
        <w:rPr>
          <w:noProof w:val="0"/>
          <w:lang w:val="et-EE"/>
        </w:rPr>
        <w:t> </w:t>
      </w:r>
      <w:r w:rsidRPr="00093245">
        <w:rPr>
          <w:noProof w:val="0"/>
          <w:lang w:val="et-EE"/>
        </w:rPr>
        <w:t>aasta rakendusmääruse (EL) 2019/707 kohta, millega muudetakse rakendusmäärust (EL) nr 540/2011 seoses toimeainete α-</w:t>
      </w:r>
      <w:proofErr w:type="spellStart"/>
      <w:r w:rsidRPr="00093245">
        <w:rPr>
          <w:noProof w:val="0"/>
          <w:lang w:val="et-EE"/>
        </w:rPr>
        <w:t>tsüpermetriini</w:t>
      </w:r>
      <w:proofErr w:type="spellEnd"/>
      <w:r w:rsidRPr="00093245">
        <w:rPr>
          <w:noProof w:val="0"/>
          <w:lang w:val="et-EE"/>
        </w:rPr>
        <w:t xml:space="preserve">, </w:t>
      </w:r>
      <w:proofErr w:type="spellStart"/>
      <w:r w:rsidRPr="00093245">
        <w:rPr>
          <w:noProof w:val="0"/>
          <w:lang w:val="et-EE"/>
        </w:rPr>
        <w:t>beflubutamiidi</w:t>
      </w:r>
      <w:proofErr w:type="spellEnd"/>
      <w:r w:rsidRPr="00093245">
        <w:rPr>
          <w:noProof w:val="0"/>
          <w:lang w:val="et-EE"/>
        </w:rPr>
        <w:t xml:space="preserve">, </w:t>
      </w:r>
      <w:proofErr w:type="spellStart"/>
      <w:r w:rsidRPr="00093245">
        <w:rPr>
          <w:noProof w:val="0"/>
          <w:lang w:val="et-EE"/>
        </w:rPr>
        <w:t>benalaksüüli</w:t>
      </w:r>
      <w:proofErr w:type="spellEnd"/>
      <w:r w:rsidRPr="00093245">
        <w:rPr>
          <w:noProof w:val="0"/>
          <w:lang w:val="et-EE"/>
        </w:rPr>
        <w:t xml:space="preserve">, </w:t>
      </w:r>
      <w:proofErr w:type="spellStart"/>
      <w:r w:rsidRPr="00093245">
        <w:rPr>
          <w:noProof w:val="0"/>
          <w:lang w:val="et-EE"/>
        </w:rPr>
        <w:t>bentiavalikarbi</w:t>
      </w:r>
      <w:proofErr w:type="spellEnd"/>
      <w:r w:rsidRPr="00093245">
        <w:rPr>
          <w:noProof w:val="0"/>
          <w:lang w:val="et-EE"/>
        </w:rPr>
        <w:t xml:space="preserve">, </w:t>
      </w:r>
      <w:proofErr w:type="spellStart"/>
      <w:r w:rsidRPr="00093245">
        <w:rPr>
          <w:noProof w:val="0"/>
          <w:lang w:val="et-EE"/>
        </w:rPr>
        <w:t>bifenasaadi</w:t>
      </w:r>
      <w:proofErr w:type="spellEnd"/>
      <w:r w:rsidRPr="00093245">
        <w:rPr>
          <w:noProof w:val="0"/>
          <w:lang w:val="et-EE"/>
        </w:rPr>
        <w:t xml:space="preserve">, </w:t>
      </w:r>
      <w:proofErr w:type="spellStart"/>
      <w:r w:rsidRPr="00093245">
        <w:rPr>
          <w:noProof w:val="0"/>
          <w:lang w:val="et-EE"/>
        </w:rPr>
        <w:t>boskaliidi</w:t>
      </w:r>
      <w:proofErr w:type="spellEnd"/>
      <w:r w:rsidRPr="00093245">
        <w:rPr>
          <w:noProof w:val="0"/>
          <w:lang w:val="et-EE"/>
        </w:rPr>
        <w:t xml:space="preserve">, </w:t>
      </w:r>
      <w:proofErr w:type="spellStart"/>
      <w:r w:rsidRPr="00093245">
        <w:rPr>
          <w:noProof w:val="0"/>
          <w:lang w:val="et-EE"/>
        </w:rPr>
        <w:t>bromoksüniili</w:t>
      </w:r>
      <w:proofErr w:type="spellEnd"/>
      <w:r w:rsidRPr="00093245">
        <w:rPr>
          <w:noProof w:val="0"/>
          <w:lang w:val="et-EE"/>
        </w:rPr>
        <w:t xml:space="preserve">, </w:t>
      </w:r>
      <w:proofErr w:type="spellStart"/>
      <w:r w:rsidRPr="00093245">
        <w:rPr>
          <w:noProof w:val="0"/>
          <w:lang w:val="et-EE"/>
        </w:rPr>
        <w:t>kaptaani</w:t>
      </w:r>
      <w:proofErr w:type="spellEnd"/>
      <w:r w:rsidRPr="00093245">
        <w:rPr>
          <w:noProof w:val="0"/>
          <w:lang w:val="et-EE"/>
        </w:rPr>
        <w:t xml:space="preserve">, </w:t>
      </w:r>
      <w:proofErr w:type="spellStart"/>
      <w:r w:rsidRPr="00093245">
        <w:rPr>
          <w:noProof w:val="0"/>
          <w:lang w:val="et-EE"/>
        </w:rPr>
        <w:t>tsüasofamiidi</w:t>
      </w:r>
      <w:proofErr w:type="spellEnd"/>
      <w:r w:rsidRPr="00093245">
        <w:rPr>
          <w:noProof w:val="0"/>
          <w:lang w:val="et-EE"/>
        </w:rPr>
        <w:t xml:space="preserve">, </w:t>
      </w:r>
      <w:proofErr w:type="spellStart"/>
      <w:r w:rsidRPr="00093245">
        <w:rPr>
          <w:noProof w:val="0"/>
          <w:lang w:val="et-EE"/>
        </w:rPr>
        <w:t>desmedifaami</w:t>
      </w:r>
      <w:proofErr w:type="spellEnd"/>
      <w:r w:rsidRPr="00093245">
        <w:rPr>
          <w:noProof w:val="0"/>
          <w:lang w:val="et-EE"/>
        </w:rPr>
        <w:t xml:space="preserve">, </w:t>
      </w:r>
      <w:proofErr w:type="spellStart"/>
      <w:r w:rsidRPr="00093245">
        <w:rPr>
          <w:noProof w:val="0"/>
          <w:lang w:val="et-EE"/>
        </w:rPr>
        <w:t>dimetoaadi</w:t>
      </w:r>
      <w:proofErr w:type="spellEnd"/>
      <w:r w:rsidRPr="00093245">
        <w:rPr>
          <w:noProof w:val="0"/>
          <w:lang w:val="et-EE"/>
        </w:rPr>
        <w:t xml:space="preserve">, </w:t>
      </w:r>
      <w:proofErr w:type="spellStart"/>
      <w:r w:rsidRPr="00093245">
        <w:rPr>
          <w:noProof w:val="0"/>
          <w:lang w:val="et-EE"/>
        </w:rPr>
        <w:t>dimetomorfi</w:t>
      </w:r>
      <w:proofErr w:type="spellEnd"/>
      <w:r w:rsidRPr="00093245">
        <w:rPr>
          <w:noProof w:val="0"/>
          <w:lang w:val="et-EE"/>
        </w:rPr>
        <w:t xml:space="preserve">, </w:t>
      </w:r>
      <w:proofErr w:type="spellStart"/>
      <w:r w:rsidRPr="00093245">
        <w:rPr>
          <w:noProof w:val="0"/>
          <w:lang w:val="et-EE"/>
        </w:rPr>
        <w:t>diurooni</w:t>
      </w:r>
      <w:proofErr w:type="spellEnd"/>
      <w:r w:rsidRPr="00093245">
        <w:rPr>
          <w:noProof w:val="0"/>
          <w:lang w:val="et-EE"/>
        </w:rPr>
        <w:t xml:space="preserve">, </w:t>
      </w:r>
      <w:proofErr w:type="spellStart"/>
      <w:r w:rsidRPr="00093245">
        <w:rPr>
          <w:noProof w:val="0"/>
          <w:lang w:val="et-EE"/>
        </w:rPr>
        <w:t>etefooni</w:t>
      </w:r>
      <w:proofErr w:type="spellEnd"/>
      <w:r w:rsidRPr="00093245">
        <w:rPr>
          <w:noProof w:val="0"/>
          <w:lang w:val="et-EE"/>
        </w:rPr>
        <w:t xml:space="preserve">, </w:t>
      </w:r>
      <w:proofErr w:type="spellStart"/>
      <w:r w:rsidRPr="00093245">
        <w:rPr>
          <w:noProof w:val="0"/>
          <w:lang w:val="et-EE"/>
        </w:rPr>
        <w:t>etoksasooli</w:t>
      </w:r>
      <w:proofErr w:type="spellEnd"/>
      <w:r w:rsidRPr="00093245">
        <w:rPr>
          <w:noProof w:val="0"/>
          <w:lang w:val="et-EE"/>
        </w:rPr>
        <w:t xml:space="preserve">, </w:t>
      </w:r>
      <w:proofErr w:type="spellStart"/>
      <w:r w:rsidRPr="00093245">
        <w:rPr>
          <w:noProof w:val="0"/>
          <w:lang w:val="et-EE"/>
        </w:rPr>
        <w:t>famoksadooni</w:t>
      </w:r>
      <w:proofErr w:type="spellEnd"/>
      <w:r w:rsidRPr="00093245">
        <w:rPr>
          <w:noProof w:val="0"/>
          <w:lang w:val="et-EE"/>
        </w:rPr>
        <w:t xml:space="preserve">, </w:t>
      </w:r>
      <w:proofErr w:type="spellStart"/>
      <w:r w:rsidRPr="00093245">
        <w:rPr>
          <w:noProof w:val="0"/>
          <w:lang w:val="et-EE"/>
        </w:rPr>
        <w:t>fenamifossi</w:t>
      </w:r>
      <w:proofErr w:type="spellEnd"/>
      <w:r w:rsidRPr="00093245">
        <w:rPr>
          <w:noProof w:val="0"/>
          <w:lang w:val="et-EE"/>
        </w:rPr>
        <w:t xml:space="preserve">, </w:t>
      </w:r>
      <w:proofErr w:type="spellStart"/>
      <w:r w:rsidRPr="00093245">
        <w:rPr>
          <w:noProof w:val="0"/>
          <w:lang w:val="et-EE"/>
        </w:rPr>
        <w:t>flumioksasiini</w:t>
      </w:r>
      <w:proofErr w:type="spellEnd"/>
      <w:r w:rsidRPr="00093245">
        <w:rPr>
          <w:noProof w:val="0"/>
          <w:lang w:val="et-EE"/>
        </w:rPr>
        <w:t xml:space="preserve">, </w:t>
      </w:r>
      <w:proofErr w:type="spellStart"/>
      <w:r w:rsidRPr="00093245">
        <w:rPr>
          <w:noProof w:val="0"/>
          <w:lang w:val="et-EE"/>
        </w:rPr>
        <w:t>fluoksastrobiini</w:t>
      </w:r>
      <w:proofErr w:type="spellEnd"/>
      <w:r w:rsidRPr="00093245">
        <w:rPr>
          <w:noProof w:val="0"/>
          <w:lang w:val="et-EE"/>
        </w:rPr>
        <w:t xml:space="preserve">, </w:t>
      </w:r>
      <w:proofErr w:type="spellStart"/>
      <w:r w:rsidRPr="00093245">
        <w:rPr>
          <w:noProof w:val="0"/>
          <w:lang w:val="et-EE"/>
        </w:rPr>
        <w:t>folpeedi</w:t>
      </w:r>
      <w:proofErr w:type="spellEnd"/>
      <w:r w:rsidRPr="00093245">
        <w:rPr>
          <w:noProof w:val="0"/>
          <w:lang w:val="et-EE"/>
        </w:rPr>
        <w:t xml:space="preserve">, </w:t>
      </w:r>
      <w:proofErr w:type="spellStart"/>
      <w:r w:rsidRPr="00093245">
        <w:rPr>
          <w:noProof w:val="0"/>
          <w:lang w:val="et-EE"/>
        </w:rPr>
        <w:t>foraamsulfurooni</w:t>
      </w:r>
      <w:proofErr w:type="spellEnd"/>
      <w:r w:rsidRPr="00093245">
        <w:rPr>
          <w:noProof w:val="0"/>
          <w:lang w:val="et-EE"/>
        </w:rPr>
        <w:t xml:space="preserve">, </w:t>
      </w:r>
      <w:proofErr w:type="spellStart"/>
      <w:r w:rsidRPr="00093245">
        <w:rPr>
          <w:noProof w:val="0"/>
          <w:lang w:val="et-EE"/>
        </w:rPr>
        <w:t>formetanaadi</w:t>
      </w:r>
      <w:proofErr w:type="spellEnd"/>
      <w:r w:rsidRPr="00093245">
        <w:rPr>
          <w:noProof w:val="0"/>
          <w:lang w:val="et-EE"/>
        </w:rPr>
        <w:t xml:space="preserve">, </w:t>
      </w:r>
      <w:proofErr w:type="spellStart"/>
      <w:r w:rsidRPr="00093245">
        <w:rPr>
          <w:noProof w:val="0"/>
          <w:lang w:val="et-EE"/>
        </w:rPr>
        <w:t>metalaksüül</w:t>
      </w:r>
      <w:proofErr w:type="spellEnd"/>
      <w:r w:rsidRPr="00093245">
        <w:rPr>
          <w:noProof w:val="0"/>
          <w:lang w:val="et-EE"/>
        </w:rPr>
        <w:t xml:space="preserve">-M-i, </w:t>
      </w:r>
      <w:proofErr w:type="spellStart"/>
      <w:r w:rsidRPr="00093245">
        <w:rPr>
          <w:noProof w:val="0"/>
          <w:lang w:val="et-EE"/>
        </w:rPr>
        <w:t>metiokarbi</w:t>
      </w:r>
      <w:proofErr w:type="spellEnd"/>
      <w:r w:rsidRPr="00093245">
        <w:rPr>
          <w:noProof w:val="0"/>
          <w:lang w:val="et-EE"/>
        </w:rPr>
        <w:t xml:space="preserve">, </w:t>
      </w:r>
      <w:proofErr w:type="spellStart"/>
      <w:r w:rsidRPr="00093245">
        <w:rPr>
          <w:noProof w:val="0"/>
          <w:lang w:val="et-EE"/>
        </w:rPr>
        <w:t>metribusiini</w:t>
      </w:r>
      <w:proofErr w:type="spellEnd"/>
      <w:r w:rsidRPr="00093245">
        <w:rPr>
          <w:noProof w:val="0"/>
          <w:lang w:val="et-EE"/>
        </w:rPr>
        <w:t xml:space="preserve">, </w:t>
      </w:r>
      <w:proofErr w:type="spellStart"/>
      <w:r w:rsidRPr="00093245">
        <w:rPr>
          <w:noProof w:val="0"/>
          <w:lang w:val="et-EE"/>
        </w:rPr>
        <w:t>milbemektiini</w:t>
      </w:r>
      <w:proofErr w:type="spellEnd"/>
      <w:r w:rsidR="00AD6FB9">
        <w:rPr>
          <w:noProof w:val="0"/>
          <w:lang w:val="et-EE"/>
        </w:rPr>
        <w:t xml:space="preserve">, </w:t>
      </w:r>
      <w:proofErr w:type="spellStart"/>
      <w:r w:rsidR="00AD6FB9">
        <w:rPr>
          <w:noProof w:val="0"/>
          <w:lang w:val="et-EE"/>
        </w:rPr>
        <w:t>Paecilomyces</w:t>
      </w:r>
      <w:proofErr w:type="spellEnd"/>
      <w:r w:rsidR="00AD6FB9">
        <w:rPr>
          <w:noProof w:val="0"/>
          <w:lang w:val="et-EE"/>
        </w:rPr>
        <w:t xml:space="preserve"> </w:t>
      </w:r>
      <w:proofErr w:type="spellStart"/>
      <w:r w:rsidR="00AD6FB9">
        <w:rPr>
          <w:noProof w:val="0"/>
          <w:lang w:val="et-EE"/>
        </w:rPr>
        <w:t>lilacinus'e</w:t>
      </w:r>
      <w:proofErr w:type="spellEnd"/>
      <w:r w:rsidR="00AD6FB9">
        <w:rPr>
          <w:noProof w:val="0"/>
          <w:lang w:val="et-EE"/>
        </w:rPr>
        <w:t xml:space="preserve"> tüve </w:t>
      </w:r>
      <w:r w:rsidRPr="00093245">
        <w:rPr>
          <w:noProof w:val="0"/>
          <w:lang w:val="et-EE"/>
        </w:rPr>
        <w:t xml:space="preserve">251, </w:t>
      </w:r>
      <w:proofErr w:type="spellStart"/>
      <w:r w:rsidRPr="00093245">
        <w:rPr>
          <w:noProof w:val="0"/>
          <w:lang w:val="et-EE"/>
        </w:rPr>
        <w:t>fenmedifaami</w:t>
      </w:r>
      <w:proofErr w:type="spellEnd"/>
      <w:r w:rsidRPr="00093245">
        <w:rPr>
          <w:noProof w:val="0"/>
          <w:lang w:val="et-EE"/>
        </w:rPr>
        <w:t xml:space="preserve">, </w:t>
      </w:r>
      <w:proofErr w:type="spellStart"/>
      <w:r w:rsidRPr="00093245">
        <w:rPr>
          <w:noProof w:val="0"/>
          <w:lang w:val="et-EE"/>
        </w:rPr>
        <w:t>fosmeedi</w:t>
      </w:r>
      <w:proofErr w:type="spellEnd"/>
      <w:r w:rsidRPr="00093245">
        <w:rPr>
          <w:noProof w:val="0"/>
          <w:lang w:val="et-EE"/>
        </w:rPr>
        <w:t xml:space="preserve">, </w:t>
      </w:r>
      <w:proofErr w:type="spellStart"/>
      <w:r w:rsidRPr="00093245">
        <w:rPr>
          <w:noProof w:val="0"/>
          <w:lang w:val="et-EE"/>
        </w:rPr>
        <w:t>metüülpirimifossi</w:t>
      </w:r>
      <w:proofErr w:type="spellEnd"/>
      <w:r w:rsidRPr="00093245">
        <w:rPr>
          <w:noProof w:val="0"/>
          <w:lang w:val="et-EE"/>
        </w:rPr>
        <w:t xml:space="preserve">, </w:t>
      </w:r>
      <w:proofErr w:type="spellStart"/>
      <w:r w:rsidRPr="00093245">
        <w:rPr>
          <w:noProof w:val="0"/>
          <w:lang w:val="et-EE"/>
        </w:rPr>
        <w:t>propamokarbi</w:t>
      </w:r>
      <w:proofErr w:type="spellEnd"/>
      <w:r w:rsidRPr="00093245">
        <w:rPr>
          <w:noProof w:val="0"/>
          <w:lang w:val="et-EE"/>
        </w:rPr>
        <w:t xml:space="preserve">, </w:t>
      </w:r>
      <w:proofErr w:type="spellStart"/>
      <w:r w:rsidRPr="00093245">
        <w:rPr>
          <w:noProof w:val="0"/>
          <w:lang w:val="et-EE"/>
        </w:rPr>
        <w:t>protiokonasooli</w:t>
      </w:r>
      <w:proofErr w:type="spellEnd"/>
      <w:r w:rsidRPr="00093245">
        <w:rPr>
          <w:noProof w:val="0"/>
          <w:lang w:val="et-EE"/>
        </w:rPr>
        <w:t>, S</w:t>
      </w:r>
      <w:r w:rsidR="00AD6FB9">
        <w:rPr>
          <w:noProof w:val="0"/>
          <w:lang w:val="et-EE"/>
        </w:rPr>
        <w:noBreakHyphen/>
      </w:r>
      <w:proofErr w:type="spellStart"/>
      <w:r w:rsidRPr="00093245">
        <w:rPr>
          <w:noProof w:val="0"/>
          <w:lang w:val="et-EE"/>
        </w:rPr>
        <w:t>metolakloori</w:t>
      </w:r>
      <w:proofErr w:type="spellEnd"/>
      <w:r w:rsidRPr="00093245">
        <w:rPr>
          <w:noProof w:val="0"/>
          <w:lang w:val="et-EE"/>
        </w:rPr>
        <w:t xml:space="preserve"> ja </w:t>
      </w:r>
      <w:proofErr w:type="spellStart"/>
      <w:r w:rsidRPr="00093245">
        <w:rPr>
          <w:noProof w:val="0"/>
          <w:lang w:val="et-EE"/>
        </w:rPr>
        <w:t>tebukonasooli</w:t>
      </w:r>
      <w:proofErr w:type="spellEnd"/>
      <w:r w:rsidRPr="00093245">
        <w:rPr>
          <w:noProof w:val="0"/>
          <w:lang w:val="et-EE"/>
        </w:rPr>
        <w:t xml:space="preserve"> heakskiidu kehtivusaja pikendamisega</w:t>
      </w:r>
      <w:bookmarkEnd w:id="5"/>
      <w:r w:rsidRPr="00093245">
        <w:rPr>
          <w:noProof w:val="0"/>
          <w:lang w:val="et-EE"/>
        </w:rPr>
        <w:t xml:space="preserve"> </w:t>
      </w:r>
      <w:bookmarkStart w:id="6" w:name="References"/>
      <w:r w:rsidRPr="00093245">
        <w:rPr>
          <w:noProof w:val="0"/>
          <w:lang w:val="et-EE"/>
        </w:rPr>
        <w:t>(2019/2825(RSP))</w:t>
      </w:r>
      <w:bookmarkEnd w:id="6"/>
    </w:p>
    <w:p w:rsidR="004C3135" w:rsidRPr="00093245" w:rsidRDefault="004C3135" w:rsidP="00576268">
      <w:pPr>
        <w:pStyle w:val="Normal12"/>
        <w:spacing w:before="120" w:after="120"/>
        <w:ind w:left="720" w:hanging="720"/>
      </w:pPr>
      <w:bookmarkStart w:id="7" w:name="TextBodyBegin"/>
      <w:bookmarkEnd w:id="7"/>
      <w:r w:rsidRPr="00093245">
        <w:rPr>
          <w:i/>
        </w:rPr>
        <w:t>Euroopa Parlament</w:t>
      </w:r>
      <w:r w:rsidRPr="00093245">
        <w:t>,</w:t>
      </w:r>
    </w:p>
    <w:p w:rsidR="004C3135" w:rsidRPr="00093245" w:rsidRDefault="004C3135" w:rsidP="00576268">
      <w:pPr>
        <w:pStyle w:val="Normal12Hanging"/>
        <w:spacing w:before="120" w:after="120"/>
        <w:ind w:left="720" w:hanging="720"/>
      </w:pPr>
      <w:r w:rsidRPr="00093245">
        <w:t>–</w:t>
      </w:r>
      <w:r w:rsidRPr="00093245">
        <w:tab/>
        <w:t>võttes arvesse komisjoni 7. mai 2019. aasta rakendusmäärust (EL)</w:t>
      </w:r>
      <w:r w:rsidR="00C71730">
        <w:t> </w:t>
      </w:r>
      <w:r w:rsidRPr="00093245">
        <w:t>2019/707, millega muudetakse rakendusmäärust (EL) nr 540/2011 seoses toimeainete α-</w:t>
      </w:r>
      <w:proofErr w:type="spellStart"/>
      <w:r w:rsidRPr="00093245">
        <w:t>tsüpermetriini</w:t>
      </w:r>
      <w:proofErr w:type="spellEnd"/>
      <w:r w:rsidRPr="00093245">
        <w:t xml:space="preserve">, </w:t>
      </w:r>
      <w:proofErr w:type="spellStart"/>
      <w:r w:rsidRPr="00093245">
        <w:t>beflubutamiidi</w:t>
      </w:r>
      <w:proofErr w:type="spellEnd"/>
      <w:r w:rsidRPr="00093245">
        <w:t xml:space="preserve">, </w:t>
      </w:r>
      <w:proofErr w:type="spellStart"/>
      <w:r w:rsidRPr="00093245">
        <w:t>benalaksüüli</w:t>
      </w:r>
      <w:proofErr w:type="spellEnd"/>
      <w:r w:rsidRPr="00093245">
        <w:t xml:space="preserve">, </w:t>
      </w:r>
      <w:proofErr w:type="spellStart"/>
      <w:r w:rsidRPr="00093245">
        <w:t>bentiavalikarbi</w:t>
      </w:r>
      <w:proofErr w:type="spellEnd"/>
      <w:r w:rsidRPr="00093245">
        <w:t xml:space="preserve">, </w:t>
      </w:r>
      <w:proofErr w:type="spellStart"/>
      <w:r w:rsidRPr="00093245">
        <w:t>bifenasaadi</w:t>
      </w:r>
      <w:proofErr w:type="spellEnd"/>
      <w:r w:rsidRPr="00093245">
        <w:t xml:space="preserve">, </w:t>
      </w:r>
      <w:proofErr w:type="spellStart"/>
      <w:r w:rsidRPr="00093245">
        <w:t>boskaliidi</w:t>
      </w:r>
      <w:proofErr w:type="spellEnd"/>
      <w:r w:rsidRPr="00093245">
        <w:t xml:space="preserve">, </w:t>
      </w:r>
      <w:proofErr w:type="spellStart"/>
      <w:r w:rsidRPr="00093245">
        <w:t>bromoksüniili</w:t>
      </w:r>
      <w:proofErr w:type="spellEnd"/>
      <w:r w:rsidRPr="00093245">
        <w:t xml:space="preserve">, </w:t>
      </w:r>
      <w:proofErr w:type="spellStart"/>
      <w:r w:rsidRPr="00093245">
        <w:t>kaptaani</w:t>
      </w:r>
      <w:proofErr w:type="spellEnd"/>
      <w:r w:rsidRPr="00093245">
        <w:t xml:space="preserve">, </w:t>
      </w:r>
      <w:proofErr w:type="spellStart"/>
      <w:r w:rsidRPr="00093245">
        <w:t>tsüasofamiidi</w:t>
      </w:r>
      <w:proofErr w:type="spellEnd"/>
      <w:r w:rsidRPr="00093245">
        <w:t xml:space="preserve">, </w:t>
      </w:r>
      <w:proofErr w:type="spellStart"/>
      <w:r w:rsidRPr="00093245">
        <w:t>desmedifaami</w:t>
      </w:r>
      <w:proofErr w:type="spellEnd"/>
      <w:r w:rsidRPr="00093245">
        <w:t xml:space="preserve">, </w:t>
      </w:r>
      <w:proofErr w:type="spellStart"/>
      <w:r w:rsidRPr="00093245">
        <w:t>dimetoaadi</w:t>
      </w:r>
      <w:proofErr w:type="spellEnd"/>
      <w:r w:rsidRPr="00093245">
        <w:t xml:space="preserve">, </w:t>
      </w:r>
      <w:proofErr w:type="spellStart"/>
      <w:r w:rsidRPr="00093245">
        <w:t>dimetomorfi</w:t>
      </w:r>
      <w:proofErr w:type="spellEnd"/>
      <w:r w:rsidRPr="00093245">
        <w:t xml:space="preserve">, </w:t>
      </w:r>
      <w:proofErr w:type="spellStart"/>
      <w:r w:rsidRPr="00093245">
        <w:t>diurooni</w:t>
      </w:r>
      <w:proofErr w:type="spellEnd"/>
      <w:r w:rsidRPr="00093245">
        <w:t xml:space="preserve">, </w:t>
      </w:r>
      <w:proofErr w:type="spellStart"/>
      <w:r w:rsidRPr="00093245">
        <w:t>etefooni</w:t>
      </w:r>
      <w:proofErr w:type="spellEnd"/>
      <w:r w:rsidRPr="00093245">
        <w:t xml:space="preserve">, </w:t>
      </w:r>
      <w:proofErr w:type="spellStart"/>
      <w:r w:rsidRPr="00093245">
        <w:t>etoksasooli</w:t>
      </w:r>
      <w:proofErr w:type="spellEnd"/>
      <w:r w:rsidRPr="00093245">
        <w:t xml:space="preserve">, </w:t>
      </w:r>
      <w:proofErr w:type="spellStart"/>
      <w:r w:rsidRPr="00093245">
        <w:t>famoksadooni</w:t>
      </w:r>
      <w:proofErr w:type="spellEnd"/>
      <w:r w:rsidRPr="00093245">
        <w:t xml:space="preserve">, </w:t>
      </w:r>
      <w:proofErr w:type="spellStart"/>
      <w:r w:rsidRPr="00093245">
        <w:t>fenamifossi</w:t>
      </w:r>
      <w:proofErr w:type="spellEnd"/>
      <w:r w:rsidRPr="00093245">
        <w:t xml:space="preserve">, </w:t>
      </w:r>
      <w:proofErr w:type="spellStart"/>
      <w:r w:rsidRPr="00093245">
        <w:t>flumioksasiini</w:t>
      </w:r>
      <w:proofErr w:type="spellEnd"/>
      <w:r w:rsidRPr="00093245">
        <w:t xml:space="preserve">, </w:t>
      </w:r>
      <w:proofErr w:type="spellStart"/>
      <w:r w:rsidRPr="00093245">
        <w:t>fluoksastrobiini</w:t>
      </w:r>
      <w:proofErr w:type="spellEnd"/>
      <w:r w:rsidRPr="00093245">
        <w:t xml:space="preserve">, </w:t>
      </w:r>
      <w:proofErr w:type="spellStart"/>
      <w:r w:rsidRPr="00093245">
        <w:t>folpeedi</w:t>
      </w:r>
      <w:proofErr w:type="spellEnd"/>
      <w:r w:rsidRPr="00093245">
        <w:t xml:space="preserve">, </w:t>
      </w:r>
      <w:proofErr w:type="spellStart"/>
      <w:r w:rsidRPr="00093245">
        <w:t>foraamsulfurooni</w:t>
      </w:r>
      <w:proofErr w:type="spellEnd"/>
      <w:r w:rsidRPr="00093245">
        <w:t xml:space="preserve">, </w:t>
      </w:r>
      <w:proofErr w:type="spellStart"/>
      <w:r w:rsidRPr="00093245">
        <w:t>formetanaadi</w:t>
      </w:r>
      <w:proofErr w:type="spellEnd"/>
      <w:r w:rsidRPr="00093245">
        <w:t xml:space="preserve">, </w:t>
      </w:r>
      <w:proofErr w:type="spellStart"/>
      <w:r w:rsidRPr="00093245">
        <w:t>metalaksüül</w:t>
      </w:r>
      <w:proofErr w:type="spellEnd"/>
      <w:r w:rsidRPr="00093245">
        <w:t xml:space="preserve">-M-i, </w:t>
      </w:r>
      <w:proofErr w:type="spellStart"/>
      <w:r w:rsidRPr="00093245">
        <w:t>metiokarbi</w:t>
      </w:r>
      <w:proofErr w:type="spellEnd"/>
      <w:r w:rsidRPr="00093245">
        <w:t xml:space="preserve">, </w:t>
      </w:r>
      <w:proofErr w:type="spellStart"/>
      <w:r w:rsidRPr="00093245">
        <w:t>metribusiini</w:t>
      </w:r>
      <w:proofErr w:type="spellEnd"/>
      <w:r w:rsidRPr="00093245">
        <w:t xml:space="preserve">, </w:t>
      </w:r>
      <w:proofErr w:type="spellStart"/>
      <w:r w:rsidRPr="00093245">
        <w:t>milbemektiini</w:t>
      </w:r>
      <w:proofErr w:type="spellEnd"/>
      <w:r w:rsidRPr="00093245">
        <w:t xml:space="preserve">, </w:t>
      </w:r>
      <w:proofErr w:type="spellStart"/>
      <w:r w:rsidRPr="00093245">
        <w:rPr>
          <w:i/>
        </w:rPr>
        <w:t>Paecilomyces</w:t>
      </w:r>
      <w:proofErr w:type="spellEnd"/>
      <w:r w:rsidRPr="00093245">
        <w:rPr>
          <w:i/>
        </w:rPr>
        <w:t xml:space="preserve"> </w:t>
      </w:r>
      <w:proofErr w:type="spellStart"/>
      <w:r w:rsidRPr="00093245">
        <w:rPr>
          <w:i/>
        </w:rPr>
        <w:t>lilacinus</w:t>
      </w:r>
      <w:r w:rsidRPr="00093245">
        <w:t>'e</w:t>
      </w:r>
      <w:proofErr w:type="spellEnd"/>
      <w:r w:rsidRPr="00093245">
        <w:t xml:space="preserve"> tüve 251, </w:t>
      </w:r>
      <w:proofErr w:type="spellStart"/>
      <w:r w:rsidRPr="00093245">
        <w:t>fenmedifaami</w:t>
      </w:r>
      <w:proofErr w:type="spellEnd"/>
      <w:r w:rsidRPr="00093245">
        <w:t xml:space="preserve">, </w:t>
      </w:r>
      <w:proofErr w:type="spellStart"/>
      <w:r w:rsidRPr="00093245">
        <w:t>fosmeedi</w:t>
      </w:r>
      <w:proofErr w:type="spellEnd"/>
      <w:r w:rsidRPr="00093245">
        <w:t xml:space="preserve">, </w:t>
      </w:r>
      <w:proofErr w:type="spellStart"/>
      <w:r w:rsidRPr="00093245">
        <w:t>metüülpirimifossi</w:t>
      </w:r>
      <w:proofErr w:type="spellEnd"/>
      <w:r w:rsidRPr="00093245">
        <w:t xml:space="preserve">, </w:t>
      </w:r>
      <w:proofErr w:type="spellStart"/>
      <w:r w:rsidRPr="00093245">
        <w:t>propamokarbi</w:t>
      </w:r>
      <w:proofErr w:type="spellEnd"/>
      <w:r w:rsidRPr="00093245">
        <w:t xml:space="preserve">, </w:t>
      </w:r>
      <w:proofErr w:type="spellStart"/>
      <w:r w:rsidRPr="00093245">
        <w:t>protiokonasooli</w:t>
      </w:r>
      <w:proofErr w:type="spellEnd"/>
      <w:r w:rsidRPr="00093245">
        <w:t>, S-</w:t>
      </w:r>
      <w:proofErr w:type="spellStart"/>
      <w:r w:rsidRPr="00093245">
        <w:t>metolakloori</w:t>
      </w:r>
      <w:proofErr w:type="spellEnd"/>
      <w:r w:rsidRPr="00093245">
        <w:t xml:space="preserve"> ja </w:t>
      </w:r>
      <w:proofErr w:type="spellStart"/>
      <w:r w:rsidRPr="00093245">
        <w:t>tebukonasooli</w:t>
      </w:r>
      <w:proofErr w:type="spellEnd"/>
      <w:r w:rsidRPr="00093245">
        <w:t xml:space="preserve"> heakskiidu kehtivusaja pikendamisega</w:t>
      </w:r>
      <w:r w:rsidRPr="00093245">
        <w:rPr>
          <w:rStyle w:val="FootnoteReference"/>
          <w:color w:val="000000"/>
          <w:szCs w:val="24"/>
        </w:rPr>
        <w:footnoteReference w:id="1"/>
      </w:r>
      <w:r w:rsidRPr="00093245">
        <w:t>,</w:t>
      </w:r>
    </w:p>
    <w:p w:rsidR="004C3135" w:rsidRPr="00093245" w:rsidRDefault="004C3135" w:rsidP="00576268">
      <w:pPr>
        <w:pStyle w:val="Normal12Hanging"/>
        <w:spacing w:before="120" w:after="120"/>
        <w:ind w:left="720" w:hanging="720"/>
        <w:rPr>
          <w:color w:val="000000"/>
          <w:szCs w:val="24"/>
        </w:rPr>
      </w:pPr>
      <w:r w:rsidRPr="00093245">
        <w:rPr>
          <w:color w:val="000000"/>
          <w:szCs w:val="24"/>
        </w:rPr>
        <w:t>–</w:t>
      </w:r>
      <w:r w:rsidRPr="00093245">
        <w:rPr>
          <w:color w:val="000000"/>
          <w:szCs w:val="24"/>
        </w:rPr>
        <w:tab/>
        <w:t xml:space="preserve">võttes arvesse Euroopa Parlamendi ja nõukogu 21. oktoobri 2009. aasta määrust (EÜ) nr 1107/2009 taimekaitsevahendite </w:t>
      </w:r>
      <w:proofErr w:type="spellStart"/>
      <w:r w:rsidRPr="00093245">
        <w:rPr>
          <w:color w:val="000000"/>
          <w:szCs w:val="24"/>
        </w:rPr>
        <w:t>turulel</w:t>
      </w:r>
      <w:r w:rsidR="00C71730">
        <w:rPr>
          <w:color w:val="000000"/>
          <w:szCs w:val="24"/>
        </w:rPr>
        <w:t>askmise</w:t>
      </w:r>
      <w:proofErr w:type="spellEnd"/>
      <w:r w:rsidR="00C71730">
        <w:rPr>
          <w:color w:val="000000"/>
          <w:szCs w:val="24"/>
        </w:rPr>
        <w:t xml:space="preserve"> ja nõukogu direktiivide </w:t>
      </w:r>
      <w:r w:rsidRPr="00093245">
        <w:rPr>
          <w:color w:val="000000"/>
          <w:szCs w:val="24"/>
        </w:rPr>
        <w:t>79/117/EMÜ ja 91/414/EMÜ kehtetuks tunnistamise kohta</w:t>
      </w:r>
      <w:r w:rsidRPr="00093245">
        <w:rPr>
          <w:rStyle w:val="FootnoteReference"/>
          <w:color w:val="000000"/>
          <w:szCs w:val="24"/>
        </w:rPr>
        <w:footnoteReference w:id="2"/>
      </w:r>
      <w:r w:rsidRPr="00093245">
        <w:rPr>
          <w:color w:val="000000"/>
          <w:szCs w:val="24"/>
        </w:rPr>
        <w:t>, eriti selle artiklit</w:t>
      </w:r>
      <w:r w:rsidR="00C71730">
        <w:rPr>
          <w:color w:val="000000"/>
          <w:szCs w:val="24"/>
        </w:rPr>
        <w:t> </w:t>
      </w:r>
      <w:r w:rsidRPr="00093245">
        <w:rPr>
          <w:color w:val="000000"/>
          <w:szCs w:val="24"/>
        </w:rPr>
        <w:t>21 ja artikli 17 esimest lõiku,</w:t>
      </w:r>
    </w:p>
    <w:p w:rsidR="004C3135" w:rsidRPr="00093245" w:rsidRDefault="004C3135" w:rsidP="00576268">
      <w:pPr>
        <w:pStyle w:val="Normal12Hanging"/>
        <w:spacing w:before="120" w:after="120"/>
        <w:ind w:left="720" w:hanging="720"/>
        <w:rPr>
          <w:color w:val="000000"/>
          <w:szCs w:val="24"/>
        </w:rPr>
      </w:pPr>
      <w:r w:rsidRPr="00093245">
        <w:rPr>
          <w:color w:val="000000"/>
          <w:szCs w:val="24"/>
        </w:rPr>
        <w:t>–</w:t>
      </w:r>
      <w:r w:rsidRPr="00093245">
        <w:rPr>
          <w:color w:val="000000"/>
          <w:szCs w:val="24"/>
        </w:rPr>
        <w:tab/>
        <w:t>võttes arvesse komisjoni 11. märtsi 2015. aasta rakendusmäärust (EL)</w:t>
      </w:r>
      <w:r w:rsidR="00C71730">
        <w:rPr>
          <w:color w:val="000000"/>
          <w:szCs w:val="24"/>
        </w:rPr>
        <w:t> </w:t>
      </w:r>
      <w:r w:rsidRPr="00093245">
        <w:rPr>
          <w:color w:val="000000"/>
          <w:szCs w:val="24"/>
        </w:rPr>
        <w:t xml:space="preserve">2015/408, millega rakendatakse Euroopa Parlamendi ja nõukogu määruse (EÜ) nr 1107/2009 (taimekaitsevahendite </w:t>
      </w:r>
      <w:proofErr w:type="spellStart"/>
      <w:r w:rsidRPr="00093245">
        <w:rPr>
          <w:color w:val="000000"/>
          <w:szCs w:val="24"/>
        </w:rPr>
        <w:t>turulelaskmise</w:t>
      </w:r>
      <w:proofErr w:type="spellEnd"/>
      <w:r w:rsidRPr="00093245">
        <w:rPr>
          <w:color w:val="000000"/>
          <w:szCs w:val="24"/>
        </w:rPr>
        <w:t xml:space="preserve"> kohta) artikli 80 lõiget 7 ja kehtestatakse asendamisele kuuluvate ainete loetelu</w:t>
      </w:r>
      <w:r w:rsidRPr="00093245">
        <w:rPr>
          <w:rStyle w:val="FootnoteReference"/>
          <w:color w:val="000000"/>
          <w:szCs w:val="24"/>
        </w:rPr>
        <w:footnoteReference w:id="3"/>
      </w:r>
      <w:r w:rsidRPr="00093245">
        <w:rPr>
          <w:color w:val="000000"/>
          <w:szCs w:val="24"/>
        </w:rPr>
        <w:t>,</w:t>
      </w:r>
    </w:p>
    <w:p w:rsidR="004C3135" w:rsidRPr="00093245" w:rsidRDefault="004C3135" w:rsidP="00576268">
      <w:pPr>
        <w:pStyle w:val="NoSpacing"/>
        <w:spacing w:before="120" w:after="120"/>
        <w:ind w:left="720" w:hanging="720"/>
        <w:jc w:val="left"/>
        <w:rPr>
          <w:color w:val="000000"/>
          <w:szCs w:val="24"/>
        </w:rPr>
      </w:pPr>
      <w:r w:rsidRPr="00093245">
        <w:rPr>
          <w:color w:val="000000"/>
          <w:szCs w:val="24"/>
        </w:rPr>
        <w:lastRenderedPageBreak/>
        <w:t>–</w:t>
      </w:r>
      <w:r w:rsidRPr="00093245">
        <w:rPr>
          <w:color w:val="000000"/>
          <w:szCs w:val="24"/>
        </w:rPr>
        <w:tab/>
        <w:t>võttes arvesse Euroopa Parlamendi ja nõukogu 16.</w:t>
      </w:r>
      <w:r w:rsidR="00C71730">
        <w:rPr>
          <w:color w:val="000000"/>
          <w:szCs w:val="24"/>
        </w:rPr>
        <w:t> </w:t>
      </w:r>
      <w:r w:rsidRPr="00093245">
        <w:rPr>
          <w:color w:val="000000"/>
          <w:szCs w:val="24"/>
        </w:rPr>
        <w:t>veebruari 2011.</w:t>
      </w:r>
      <w:r w:rsidR="00C71730">
        <w:rPr>
          <w:color w:val="000000"/>
          <w:szCs w:val="24"/>
        </w:rPr>
        <w:t> </w:t>
      </w:r>
      <w:r w:rsidRPr="00093245">
        <w:rPr>
          <w:color w:val="000000"/>
          <w:szCs w:val="24"/>
        </w:rPr>
        <w:t>aasta määruse (EL) nr</w:t>
      </w:r>
      <w:r w:rsidR="00C71730">
        <w:rPr>
          <w:color w:val="000000"/>
          <w:szCs w:val="24"/>
        </w:rPr>
        <w:t> </w:t>
      </w:r>
      <w:r w:rsidRPr="00093245">
        <w:rPr>
          <w:color w:val="000000"/>
          <w:szCs w:val="24"/>
        </w:rPr>
        <w:t xml:space="preserve">182/2011 (millega kehtestatakse eeskirjad ja </w:t>
      </w:r>
      <w:proofErr w:type="spellStart"/>
      <w:r w:rsidRPr="00093245">
        <w:rPr>
          <w:color w:val="000000"/>
          <w:szCs w:val="24"/>
        </w:rPr>
        <w:t>üldpõhimõtted</w:t>
      </w:r>
      <w:proofErr w:type="spellEnd"/>
      <w:r w:rsidRPr="00093245">
        <w:rPr>
          <w:color w:val="000000"/>
          <w:szCs w:val="24"/>
        </w:rPr>
        <w:t>, mis käsitlevad liikmesriikide läbiviidava kontrolli mehhanisme, mida kohaldatakse komisjoni rakendamisvolituste teostamise suhtes)</w:t>
      </w:r>
      <w:r w:rsidRPr="00093245">
        <w:rPr>
          <w:rStyle w:val="FootnoteReference"/>
          <w:color w:val="000000"/>
          <w:szCs w:val="24"/>
        </w:rPr>
        <w:footnoteReference w:id="4"/>
      </w:r>
      <w:r w:rsidRPr="00093245">
        <w:rPr>
          <w:color w:val="000000"/>
          <w:szCs w:val="24"/>
        </w:rPr>
        <w:t xml:space="preserve"> artikleid</w:t>
      </w:r>
      <w:r w:rsidR="00C71730">
        <w:rPr>
          <w:color w:val="000000"/>
          <w:szCs w:val="24"/>
        </w:rPr>
        <w:t> </w:t>
      </w:r>
      <w:r w:rsidRPr="00093245">
        <w:rPr>
          <w:color w:val="000000"/>
          <w:szCs w:val="24"/>
        </w:rPr>
        <w:t>11 ja 13,</w:t>
      </w:r>
    </w:p>
    <w:p w:rsidR="004C3135" w:rsidRPr="00093245" w:rsidRDefault="004C3135" w:rsidP="00576268">
      <w:pPr>
        <w:pStyle w:val="Normal12Hanging"/>
        <w:spacing w:before="120" w:after="120"/>
        <w:ind w:left="720" w:hanging="720"/>
        <w:rPr>
          <w:color w:val="000000"/>
          <w:szCs w:val="24"/>
        </w:rPr>
      </w:pPr>
      <w:r w:rsidRPr="00093245">
        <w:rPr>
          <w:color w:val="000000"/>
          <w:szCs w:val="24"/>
        </w:rPr>
        <w:t>–</w:t>
      </w:r>
      <w:r w:rsidRPr="00093245">
        <w:rPr>
          <w:color w:val="000000"/>
          <w:szCs w:val="24"/>
        </w:rPr>
        <w:tab/>
        <w:t>võttes arvesse oma 13. septembri 2018. aasta resolutsiooni taimekaitsevahendite määruse (EÜ) nr 1107/2009 rakendamise kohta</w:t>
      </w:r>
      <w:r w:rsidRPr="00093245">
        <w:rPr>
          <w:rStyle w:val="FootnoteReference"/>
          <w:color w:val="000000"/>
          <w:szCs w:val="24"/>
        </w:rPr>
        <w:footnoteReference w:id="5"/>
      </w:r>
      <w:r w:rsidRPr="00093245">
        <w:rPr>
          <w:color w:val="000000"/>
          <w:szCs w:val="24"/>
        </w:rPr>
        <w:t>,</w:t>
      </w:r>
    </w:p>
    <w:p w:rsidR="004C3135" w:rsidRPr="00093245" w:rsidRDefault="004C3135" w:rsidP="00576268">
      <w:pPr>
        <w:pStyle w:val="Normal12Hanging"/>
        <w:spacing w:before="120" w:after="120"/>
        <w:ind w:left="720" w:hanging="720"/>
        <w:rPr>
          <w:color w:val="000000"/>
          <w:szCs w:val="24"/>
        </w:rPr>
      </w:pPr>
      <w:r w:rsidRPr="00093245">
        <w:rPr>
          <w:color w:val="000000"/>
          <w:szCs w:val="24"/>
        </w:rPr>
        <w:t>–</w:t>
      </w:r>
      <w:r w:rsidRPr="00093245">
        <w:rPr>
          <w:color w:val="000000"/>
          <w:szCs w:val="24"/>
        </w:rPr>
        <w:tab/>
        <w:t>võttes arvesse kodukorra artikli</w:t>
      </w:r>
      <w:r w:rsidR="00C71730">
        <w:rPr>
          <w:color w:val="000000"/>
          <w:szCs w:val="24"/>
        </w:rPr>
        <w:t> </w:t>
      </w:r>
      <w:r w:rsidRPr="00093245">
        <w:rPr>
          <w:color w:val="000000"/>
          <w:szCs w:val="24"/>
        </w:rPr>
        <w:t>112 lõikeid</w:t>
      </w:r>
      <w:r w:rsidR="00C71730">
        <w:rPr>
          <w:color w:val="000000"/>
          <w:szCs w:val="24"/>
        </w:rPr>
        <w:t> </w:t>
      </w:r>
      <w:r w:rsidRPr="00093245">
        <w:rPr>
          <w:color w:val="000000"/>
          <w:szCs w:val="24"/>
        </w:rPr>
        <w:t>2 ja 3,</w:t>
      </w:r>
    </w:p>
    <w:p w:rsidR="004C3135" w:rsidRPr="00093245" w:rsidRDefault="004C3135" w:rsidP="00576268">
      <w:pPr>
        <w:pStyle w:val="Normal12Hanging"/>
        <w:spacing w:before="120" w:after="120"/>
        <w:ind w:left="720" w:hanging="720"/>
        <w:rPr>
          <w:color w:val="000000"/>
          <w:szCs w:val="24"/>
        </w:rPr>
      </w:pPr>
      <w:r w:rsidRPr="00093245">
        <w:rPr>
          <w:color w:val="000000"/>
          <w:szCs w:val="24"/>
        </w:rPr>
        <w:t>–</w:t>
      </w:r>
      <w:r w:rsidRPr="00093245">
        <w:rPr>
          <w:color w:val="000000"/>
          <w:szCs w:val="24"/>
        </w:rPr>
        <w:tab/>
        <w:t>võttes arvesse keskkonna-, rahvatervise ja toiduohutuse komisjoni resolutsiooni ettepanekut,</w:t>
      </w:r>
    </w:p>
    <w:p w:rsidR="004C3135" w:rsidRPr="00093245" w:rsidRDefault="004C3135" w:rsidP="00576268">
      <w:pPr>
        <w:pStyle w:val="NoSpacing"/>
        <w:spacing w:before="120" w:after="120"/>
        <w:ind w:left="720" w:hanging="720"/>
        <w:jc w:val="left"/>
      </w:pPr>
      <w:r w:rsidRPr="00093245">
        <w:t>A.</w:t>
      </w:r>
      <w:r w:rsidRPr="00093245">
        <w:tab/>
        <w:t xml:space="preserve">arvestades, et </w:t>
      </w:r>
      <w:proofErr w:type="spellStart"/>
      <w:r w:rsidRPr="00093245">
        <w:t>flumioksasiin</w:t>
      </w:r>
      <w:proofErr w:type="spellEnd"/>
      <w:r w:rsidRPr="00093245">
        <w:t xml:space="preserve"> kanti nõukogu direktiivi</w:t>
      </w:r>
      <w:r w:rsidR="00C71730">
        <w:t> </w:t>
      </w:r>
      <w:r w:rsidRPr="00093245">
        <w:t>91/414/EMÜ</w:t>
      </w:r>
      <w:r w:rsidRPr="00093245">
        <w:rPr>
          <w:rStyle w:val="FootnoteReference"/>
        </w:rPr>
        <w:footnoteReference w:id="6"/>
      </w:r>
      <w:r w:rsidR="00C71730">
        <w:t xml:space="preserve"> I lisasse 1. </w:t>
      </w:r>
      <w:r w:rsidRPr="00093245">
        <w:t>jaanuaril 2003 komisjoni direktiiviga</w:t>
      </w:r>
      <w:r w:rsidR="00C71730">
        <w:t> </w:t>
      </w:r>
      <w:r w:rsidRPr="00093245">
        <w:t>2002/81/EÜ</w:t>
      </w:r>
      <w:r w:rsidRPr="00093245">
        <w:rPr>
          <w:rStyle w:val="FootnoteReference"/>
        </w:rPr>
        <w:footnoteReference w:id="7"/>
      </w:r>
      <w:r w:rsidR="00C71730">
        <w:t xml:space="preserve"> ning on loetud määruse (EÜ) nr </w:t>
      </w:r>
      <w:r w:rsidRPr="00093245">
        <w:t>1107/2009 kohaselt heakskiidetuks;</w:t>
      </w:r>
    </w:p>
    <w:p w:rsidR="004C3135" w:rsidRPr="00093245" w:rsidRDefault="004C3135" w:rsidP="00576268">
      <w:pPr>
        <w:pStyle w:val="NoSpacing"/>
        <w:spacing w:before="120" w:after="120"/>
        <w:ind w:left="720" w:hanging="720"/>
        <w:jc w:val="left"/>
      </w:pPr>
      <w:r w:rsidRPr="00093245">
        <w:t>B.</w:t>
      </w:r>
      <w:r w:rsidRPr="00093245">
        <w:tab/>
        <w:t>arvestades, et komisjoni rakendusmääruse (EL) nr</w:t>
      </w:r>
      <w:r w:rsidR="00C71730">
        <w:t> </w:t>
      </w:r>
      <w:r w:rsidRPr="00093245">
        <w:t>844/2012</w:t>
      </w:r>
      <w:r w:rsidRPr="00093245">
        <w:rPr>
          <w:rStyle w:val="FootnoteReference"/>
        </w:rPr>
        <w:footnoteReference w:id="8"/>
      </w:r>
      <w:r w:rsidRPr="00093245">
        <w:t xml:space="preserve"> kohane </w:t>
      </w:r>
      <w:proofErr w:type="spellStart"/>
      <w:r w:rsidRPr="00093245">
        <w:t>flumioksasiini</w:t>
      </w:r>
      <w:proofErr w:type="spellEnd"/>
      <w:r w:rsidRPr="00093245">
        <w:t xml:space="preserve"> heakskiidu pikendamise menetlus on kestnud alates 2010.</w:t>
      </w:r>
      <w:r w:rsidR="00C71730">
        <w:t> </w:t>
      </w:r>
      <w:r w:rsidRPr="00093245">
        <w:t>aastast</w:t>
      </w:r>
      <w:r w:rsidRPr="00093245">
        <w:rPr>
          <w:rStyle w:val="FootnoteReference"/>
        </w:rPr>
        <w:footnoteReference w:id="9"/>
      </w:r>
      <w:r w:rsidRPr="00093245">
        <w:t xml:space="preserve"> ja selleks on esitatud taotlus kooskõlas komisjoni määruse (EL) nr</w:t>
      </w:r>
      <w:r w:rsidR="00C71730">
        <w:t> </w:t>
      </w:r>
      <w:r w:rsidRPr="00093245">
        <w:t>1141/2010 artikliga</w:t>
      </w:r>
      <w:r w:rsidR="00C71730">
        <w:t> </w:t>
      </w:r>
      <w:r w:rsidRPr="00093245">
        <w:t>4</w:t>
      </w:r>
      <w:r w:rsidRPr="00093245">
        <w:rPr>
          <w:rStyle w:val="FootnoteReference"/>
        </w:rPr>
        <w:footnoteReference w:id="10"/>
      </w:r>
      <w:r w:rsidRPr="00093245">
        <w:t>;</w:t>
      </w:r>
    </w:p>
    <w:p w:rsidR="004C3135" w:rsidRPr="00093245" w:rsidRDefault="004C3135" w:rsidP="00576268">
      <w:pPr>
        <w:pStyle w:val="NoSpacing"/>
        <w:spacing w:before="120" w:after="120"/>
        <w:ind w:left="720" w:hanging="720"/>
        <w:jc w:val="left"/>
      </w:pPr>
      <w:r w:rsidRPr="00093245">
        <w:t>C.</w:t>
      </w:r>
      <w:r w:rsidRPr="00093245">
        <w:tab/>
        <w:t xml:space="preserve">arvestades, et toimeaine </w:t>
      </w:r>
      <w:proofErr w:type="spellStart"/>
      <w:r w:rsidRPr="00093245">
        <w:t>flumioksasiini</w:t>
      </w:r>
      <w:proofErr w:type="spellEnd"/>
      <w:r w:rsidRPr="00093245">
        <w:t xml:space="preserve"> heakskiidu kehtivusaega on juba pikendatud, kõigepealt viie aasta võrra komisjoni direktiiviga</w:t>
      </w:r>
      <w:r w:rsidR="00C71730">
        <w:t> </w:t>
      </w:r>
      <w:r w:rsidRPr="00093245">
        <w:t>2010/77/EL</w:t>
      </w:r>
      <w:r w:rsidRPr="00093245">
        <w:rPr>
          <w:rStyle w:val="FootnoteReference"/>
        </w:rPr>
        <w:footnoteReference w:id="11"/>
      </w:r>
      <w:r w:rsidRPr="00093245">
        <w:t xml:space="preserve"> ja hiljem, alates 2015.</w:t>
      </w:r>
      <w:r w:rsidR="00C71730">
        <w:t> </w:t>
      </w:r>
      <w:r w:rsidRPr="00093245">
        <w:t>aastast, ühe aasta kaupa komisjoni rakendusmäärustega (EL)</w:t>
      </w:r>
      <w:r w:rsidR="00C71730">
        <w:t> </w:t>
      </w:r>
      <w:r w:rsidRPr="00093245">
        <w:t>2015/1885</w:t>
      </w:r>
      <w:r w:rsidRPr="00093245">
        <w:rPr>
          <w:rStyle w:val="FootnoteReference"/>
        </w:rPr>
        <w:footnoteReference w:id="12"/>
      </w:r>
      <w:r w:rsidRPr="00093245">
        <w:t xml:space="preserve">, </w:t>
      </w:r>
      <w:r w:rsidR="006556F5" w:rsidRPr="00093245">
        <w:t xml:space="preserve">(EL) </w:t>
      </w:r>
      <w:r w:rsidRPr="00093245">
        <w:lastRenderedPageBreak/>
        <w:t>2016/549</w:t>
      </w:r>
      <w:r w:rsidRPr="00093245">
        <w:rPr>
          <w:rStyle w:val="FootnoteReference"/>
        </w:rPr>
        <w:footnoteReference w:id="13"/>
      </w:r>
      <w:r w:rsidRPr="00093245">
        <w:t xml:space="preserve">, </w:t>
      </w:r>
      <w:r w:rsidR="006556F5" w:rsidRPr="00093245">
        <w:t xml:space="preserve">(EL) </w:t>
      </w:r>
      <w:r w:rsidRPr="00093245">
        <w:t>2017/841</w:t>
      </w:r>
      <w:r w:rsidRPr="00093245">
        <w:rPr>
          <w:rStyle w:val="FootnoteReference"/>
        </w:rPr>
        <w:footnoteReference w:id="14"/>
      </w:r>
      <w:r w:rsidRPr="00093245">
        <w:t xml:space="preserve"> ja </w:t>
      </w:r>
      <w:r w:rsidR="006556F5" w:rsidRPr="00093245">
        <w:t xml:space="preserve">(EL) </w:t>
      </w:r>
      <w:r w:rsidRPr="00093245">
        <w:t>2018/917</w:t>
      </w:r>
      <w:r w:rsidRPr="00093245">
        <w:rPr>
          <w:rStyle w:val="FootnoteReference"/>
        </w:rPr>
        <w:footnoteReference w:id="15"/>
      </w:r>
      <w:r w:rsidRPr="00093245">
        <w:t xml:space="preserve"> ning viimati kom</w:t>
      </w:r>
      <w:r w:rsidR="00604F1A">
        <w:t>isjoni rakendusmäärusega (EL)</w:t>
      </w:r>
      <w:r w:rsidR="00C71730">
        <w:t> </w:t>
      </w:r>
      <w:r w:rsidRPr="00093245">
        <w:t>2019/707, millega heakskiidu kehtivusaega pikendatakse 30.</w:t>
      </w:r>
      <w:r w:rsidR="00C71730">
        <w:t> </w:t>
      </w:r>
      <w:r w:rsidRPr="00093245">
        <w:t>juunini 2020;</w:t>
      </w:r>
    </w:p>
    <w:p w:rsidR="004C3135" w:rsidRPr="00093245" w:rsidRDefault="004C3135" w:rsidP="00576268">
      <w:pPr>
        <w:pStyle w:val="NoSpacing"/>
        <w:spacing w:before="120" w:after="120"/>
        <w:ind w:left="720" w:hanging="720"/>
        <w:jc w:val="left"/>
      </w:pPr>
      <w:r w:rsidRPr="00093245">
        <w:t>D.</w:t>
      </w:r>
      <w:r w:rsidRPr="00093245">
        <w:tab/>
        <w:t>arvestades, et komisjon ei ole pikendamise põhjusi selgitanud, vaid on piirdunud järgmise märkusega: „Kuna ainete hindamine on taotlejatest mittesõltuvatel põhjustel hilinenud, aegub nende toimeainete heakskiit tõenäoliselt enne selle pikendamist käsitleva otsuse vastuvõtmist.“</w:t>
      </w:r>
    </w:p>
    <w:p w:rsidR="004C3135" w:rsidRPr="00093245" w:rsidRDefault="004C3135" w:rsidP="00576268">
      <w:pPr>
        <w:pStyle w:val="NoSpacing"/>
        <w:spacing w:before="120" w:after="120"/>
        <w:ind w:left="720" w:hanging="720"/>
        <w:jc w:val="left"/>
      </w:pPr>
      <w:r w:rsidRPr="00093245">
        <w:t>E.</w:t>
      </w:r>
      <w:r w:rsidRPr="00093245">
        <w:tab/>
        <w:t>arvestades, et määruse (EÜ) nr 1107/2009 eesmärk on tagada nii inimeste kui ka loomade tervise ja keskkonna kaitse kõrge tase ning samal ajal kaitsta liidu põllumajanduse konkurentsivõimet; arvestades, et erilist tähelepanu tuleks pöörata kergesti rünnatavate elanikkonnarühmade, sealhulgas rasedate, imikute ja laste kaitsele;</w:t>
      </w:r>
    </w:p>
    <w:p w:rsidR="004C3135" w:rsidRPr="00093245" w:rsidRDefault="004C3135" w:rsidP="00576268">
      <w:pPr>
        <w:pStyle w:val="NoSpacing"/>
        <w:spacing w:before="120" w:after="120"/>
        <w:ind w:left="720" w:hanging="720"/>
        <w:jc w:val="left"/>
      </w:pPr>
      <w:r w:rsidRPr="00093245">
        <w:t>F.</w:t>
      </w:r>
      <w:r w:rsidRPr="00093245">
        <w:tab/>
        <w:t>arvestades, et järgida tuleks ettevaatuspõhimõtet, ja arvestades, et määruses (EÜ) nr 1107/2009 märgitakse, et taimekaitsevahendite koostises tuleks kasutada ainult selliseid aineid, mille puhul on tõendatud, et need on taimekasvatusele selgelt kasulikud ning nende kasutamine ei avalda eeldatavalt kahjulikku mõju inimeste ja loomade tervisele ega lubamatut mõju keskkonnale;</w:t>
      </w:r>
    </w:p>
    <w:p w:rsidR="004C3135" w:rsidRPr="00093245" w:rsidRDefault="004C3135" w:rsidP="00576268">
      <w:pPr>
        <w:pStyle w:val="NoSpacing"/>
        <w:spacing w:before="120" w:after="120"/>
        <w:ind w:left="720" w:hanging="720"/>
        <w:jc w:val="left"/>
      </w:pPr>
      <w:r w:rsidRPr="00093245">
        <w:t>G.</w:t>
      </w:r>
      <w:r w:rsidRPr="00093245">
        <w:tab/>
        <w:t xml:space="preserve">arvestades, et määruses (EÜ) nr 1107/2009 viidatakse, et ohutuse huvides peaks toimeaine heakskiidu kehtivusaeg olema ajaliselt piiratud; arvestades, et heakskiidu </w:t>
      </w:r>
      <w:r w:rsidRPr="00093245">
        <w:lastRenderedPageBreak/>
        <w:t>kehtivusaeg peaks olema proportsionaalne selliste ainete kasutamisest tulenevate võimalike ohtudega, kuid selline proportsionaalsus ilmselt puudub;</w:t>
      </w:r>
    </w:p>
    <w:p w:rsidR="004C3135" w:rsidRPr="00093245" w:rsidRDefault="004C3135" w:rsidP="00576268">
      <w:pPr>
        <w:pStyle w:val="NoSpacing"/>
        <w:spacing w:before="120" w:after="120"/>
        <w:ind w:left="720" w:hanging="720"/>
        <w:jc w:val="left"/>
      </w:pPr>
      <w:r w:rsidRPr="00093245">
        <w:t>H.</w:t>
      </w:r>
      <w:r w:rsidRPr="00093245">
        <w:tab/>
        <w:t xml:space="preserve">arvestades, et 16 aastat pärast </w:t>
      </w:r>
      <w:proofErr w:type="spellStart"/>
      <w:r w:rsidRPr="00093245">
        <w:t>flumioksasiini</w:t>
      </w:r>
      <w:proofErr w:type="spellEnd"/>
      <w:r w:rsidRPr="00093245">
        <w:t xml:space="preserve"> heakskiitmist toimeainena on see määratletud ja klassifitseeritud 1B</w:t>
      </w:r>
      <w:r w:rsidR="00C71730">
        <w:t> </w:t>
      </w:r>
      <w:r w:rsidRPr="00093245">
        <w:t xml:space="preserve">kategooria reproduktiivtoksilise ainena ja endokriinfunktsiooni potentsiaalselt kahjustava kemikaalina ning ometigi ei ole sellel ajal </w:t>
      </w:r>
      <w:proofErr w:type="spellStart"/>
      <w:r w:rsidRPr="00093245">
        <w:t>flumioksasiini</w:t>
      </w:r>
      <w:proofErr w:type="spellEnd"/>
      <w:r w:rsidRPr="00093245">
        <w:t xml:space="preserve"> heakskiitu läbi vaadatud ega tagasi võetud;</w:t>
      </w:r>
    </w:p>
    <w:p w:rsidR="004C3135" w:rsidRPr="00093245" w:rsidRDefault="004C3135" w:rsidP="00576268">
      <w:pPr>
        <w:pStyle w:val="NoSpacing"/>
        <w:spacing w:before="120" w:after="120"/>
        <w:ind w:left="720" w:hanging="720"/>
        <w:jc w:val="left"/>
      </w:pPr>
      <w:r w:rsidRPr="00093245">
        <w:t>I.</w:t>
      </w:r>
      <w:r w:rsidRPr="00093245">
        <w:tab/>
        <w:t xml:space="preserve">arvestades, et komisjonil ja liikmesriikidel on võimalus ja kohustus tegutseda vastavalt ettevaatuspõhimõttele, kui tervistkahjustav mõju on tuvastatud, kuid teaduslik ebakindlus püsib, võttes esialgseid </w:t>
      </w:r>
      <w:proofErr w:type="spellStart"/>
      <w:r w:rsidRPr="00093245">
        <w:t>riskijuhtimismeetmeid</w:t>
      </w:r>
      <w:proofErr w:type="spellEnd"/>
      <w:r w:rsidRPr="00093245">
        <w:t xml:space="preserve">, mis on vajalikud </w:t>
      </w:r>
      <w:proofErr w:type="spellStart"/>
      <w:r w:rsidRPr="00093245">
        <w:t>inimtervise</w:t>
      </w:r>
      <w:proofErr w:type="spellEnd"/>
      <w:r w:rsidRPr="00093245">
        <w:t xml:space="preserve"> kaitse kõrge taseme tagamiseks;</w:t>
      </w:r>
    </w:p>
    <w:p w:rsidR="004C3135" w:rsidRPr="00093245" w:rsidRDefault="004C3135" w:rsidP="00576268">
      <w:pPr>
        <w:pStyle w:val="NoSpacing"/>
        <w:spacing w:before="120" w:after="120"/>
        <w:ind w:left="720" w:hanging="720"/>
        <w:jc w:val="left"/>
      </w:pPr>
      <w:r w:rsidRPr="00093245">
        <w:t>J.</w:t>
      </w:r>
      <w:r w:rsidRPr="00093245">
        <w:tab/>
        <w:t>arvestades, et täpsemalt on määruse (EÜ) nr</w:t>
      </w:r>
      <w:r w:rsidR="00C71730">
        <w:t> </w:t>
      </w:r>
      <w:r w:rsidRPr="00093245">
        <w:t>1107/2009 artiklis</w:t>
      </w:r>
      <w:r w:rsidR="00C71730">
        <w:t> </w:t>
      </w:r>
      <w:r w:rsidRPr="00093245">
        <w:t>21 sätestatud, et komisjonil on õigus toimeaine heakskiit igal ajal läbi vaadata, eelkõige juhul, kui ta leiab uute teaduslike ja tehniliste teadmiste valguses, et on tõendeid selle kohta, et aine ei vasta enam artiklis</w:t>
      </w:r>
      <w:r w:rsidR="00C71730">
        <w:t> </w:t>
      </w:r>
      <w:r w:rsidRPr="00093245">
        <w:t>4 sätestatud kriteeriumidele, ning arvestades, et see läbivaatamine võib kaasa tuua aine heakskiidu tagasivõtmise või muutmise;</w:t>
      </w:r>
    </w:p>
    <w:p w:rsidR="004C3135" w:rsidRPr="00093245" w:rsidRDefault="004C3135" w:rsidP="00576268">
      <w:pPr>
        <w:spacing w:before="120" w:after="120"/>
        <w:ind w:left="720" w:hanging="720"/>
        <w:rPr>
          <w:b/>
          <w:bCs/>
        </w:rPr>
      </w:pPr>
      <w:r w:rsidRPr="00093245">
        <w:rPr>
          <w:b/>
          <w:i/>
        </w:rPr>
        <w:t xml:space="preserve">1B kategooria reproduktiivtoksiline aine ning endokriinfunktsiooni kahjustav kemikaal </w:t>
      </w:r>
    </w:p>
    <w:p w:rsidR="004C3135" w:rsidRPr="00093245" w:rsidRDefault="004C3135" w:rsidP="00576268">
      <w:pPr>
        <w:pStyle w:val="NoSpacing"/>
        <w:spacing w:before="120" w:after="120"/>
        <w:ind w:left="720" w:hanging="720"/>
        <w:jc w:val="left"/>
      </w:pPr>
      <w:r w:rsidRPr="00093245">
        <w:t>K.</w:t>
      </w:r>
      <w:r w:rsidRPr="00093245">
        <w:tab/>
        <w:t>arvestades, et Euroopa Parlamendi ja nõukogu määruse (EÜ) nr</w:t>
      </w:r>
      <w:r w:rsidR="00C71730">
        <w:t> </w:t>
      </w:r>
      <w:r w:rsidRPr="00093245">
        <w:t>1272/2008</w:t>
      </w:r>
      <w:r w:rsidRPr="00093245">
        <w:rPr>
          <w:rStyle w:val="FootnoteReference"/>
        </w:rPr>
        <w:footnoteReference w:id="16"/>
      </w:r>
      <w:r w:rsidRPr="00093245">
        <w:t xml:space="preserve"> kohaselt on </w:t>
      </w:r>
      <w:proofErr w:type="spellStart"/>
      <w:r w:rsidRPr="00093245">
        <w:t>flumioksasiinil</w:t>
      </w:r>
      <w:proofErr w:type="spellEnd"/>
      <w:r w:rsidRPr="00093245">
        <w:t xml:space="preserve"> ühtlustatud klassifikatsioon 1B kategooria reproduktiivtoksilise ainena, väga mürgisena veeorganismidele ja väga mürgisena veeorganismidele, pikaajalise toimega;</w:t>
      </w:r>
    </w:p>
    <w:p w:rsidR="004C3135" w:rsidRPr="00093245" w:rsidRDefault="004C3135" w:rsidP="00576268">
      <w:pPr>
        <w:pStyle w:val="NoSpacing"/>
        <w:spacing w:before="120" w:after="120"/>
        <w:ind w:left="720" w:hanging="720"/>
        <w:jc w:val="left"/>
      </w:pPr>
      <w:r w:rsidRPr="00093245">
        <w:t>L.</w:t>
      </w:r>
      <w:r w:rsidRPr="00093245">
        <w:tab/>
        <w:t>arvestades, et Euroopa Toiduohutusamet jõudis juba 2014.</w:t>
      </w:r>
      <w:r w:rsidR="00C71730">
        <w:t> </w:t>
      </w:r>
      <w:r w:rsidRPr="00093245">
        <w:t>aastal ning seejärel 2017. ja 2018.</w:t>
      </w:r>
      <w:r w:rsidR="00C71730">
        <w:t> </w:t>
      </w:r>
      <w:r w:rsidRPr="00093245">
        <w:t xml:space="preserve">aastal järeldusele, et on olemas murettekitavad valdkonnad, kuna </w:t>
      </w:r>
      <w:proofErr w:type="spellStart"/>
      <w:r w:rsidRPr="00093245">
        <w:t>flumioksasiin</w:t>
      </w:r>
      <w:proofErr w:type="spellEnd"/>
      <w:r w:rsidRPr="00093245">
        <w:t xml:space="preserve"> on liigitatud 1B</w:t>
      </w:r>
      <w:r w:rsidR="00C71730">
        <w:t> </w:t>
      </w:r>
      <w:r w:rsidRPr="00093245">
        <w:t xml:space="preserve">kategooria reproduktiivtoksiliseks aineks ning </w:t>
      </w:r>
      <w:proofErr w:type="spellStart"/>
      <w:r w:rsidRPr="00093245">
        <w:t>flumioksasiini</w:t>
      </w:r>
      <w:proofErr w:type="spellEnd"/>
      <w:r w:rsidRPr="00093245">
        <w:t xml:space="preserve"> uurimist endokriinfunktsiooni potentsiaalselt kahjustava kemikaalina ei saadud lõpuni menetleda, mis on eriti murettekitav;</w:t>
      </w:r>
    </w:p>
    <w:p w:rsidR="004C3135" w:rsidRPr="00093245" w:rsidRDefault="004C3135" w:rsidP="00576268">
      <w:pPr>
        <w:pStyle w:val="NoSpacing"/>
        <w:spacing w:before="120" w:after="120"/>
        <w:ind w:left="720" w:hanging="720"/>
        <w:jc w:val="left"/>
      </w:pPr>
      <w:r w:rsidRPr="00093245">
        <w:t>M.</w:t>
      </w:r>
      <w:r w:rsidRPr="00093245">
        <w:tab/>
        <w:t xml:space="preserve">arvestades, et </w:t>
      </w:r>
      <w:proofErr w:type="spellStart"/>
      <w:r w:rsidRPr="00093245">
        <w:t>flumioksasiin</w:t>
      </w:r>
      <w:proofErr w:type="spellEnd"/>
      <w:r w:rsidRPr="00093245">
        <w:t xml:space="preserve"> kanti 2015.</w:t>
      </w:r>
      <w:r w:rsidR="00C71730">
        <w:t> </w:t>
      </w:r>
      <w:r w:rsidRPr="00093245">
        <w:t>aastal komisjoni rakendusm</w:t>
      </w:r>
      <w:r w:rsidR="00C71730">
        <w:t>äärusega (EL) </w:t>
      </w:r>
      <w:r w:rsidRPr="00093245">
        <w:t>2015/408 asendamisele kuuluvate ainete loetellu, sest see on klassifitseeritud või tuleb vastavalt määrusele (EÜ) nr</w:t>
      </w:r>
      <w:r w:rsidR="00C71730">
        <w:t> </w:t>
      </w:r>
      <w:r w:rsidRPr="00093245">
        <w:t>1272/2008 klassifitseerida 1A või 1B</w:t>
      </w:r>
      <w:r w:rsidR="00C71730">
        <w:t> </w:t>
      </w:r>
      <w:r w:rsidRPr="00093245">
        <w:t>kategooria reproduktiivtoksiliseks aineks;</w:t>
      </w:r>
    </w:p>
    <w:p w:rsidR="004C3135" w:rsidRPr="00093245" w:rsidRDefault="004C3135" w:rsidP="00576268">
      <w:pPr>
        <w:pStyle w:val="NoSpacing"/>
        <w:spacing w:before="120" w:after="120"/>
        <w:ind w:left="720" w:hanging="720"/>
        <w:jc w:val="left"/>
      </w:pPr>
      <w:r w:rsidRPr="00093245">
        <w:t>N.</w:t>
      </w:r>
      <w:r w:rsidRPr="00093245">
        <w:tab/>
        <w:t>arvestades, et määruse (EÜ) nr</w:t>
      </w:r>
      <w:r w:rsidR="00C71730">
        <w:t> </w:t>
      </w:r>
      <w:r w:rsidRPr="00093245">
        <w:t>1107/2009 II</w:t>
      </w:r>
      <w:r w:rsidR="00C71730">
        <w:t> </w:t>
      </w:r>
      <w:r w:rsidRPr="00093245">
        <w:t>lisa punkti 3.6.4 kohaselt ei saa toimeained heakskiitu, kui need kuuluvad 1B</w:t>
      </w:r>
      <w:r w:rsidR="00C71730">
        <w:t> </w:t>
      </w:r>
      <w:r w:rsidRPr="00093245">
        <w:t xml:space="preserve">kategooria reproduktiivtoksiliste ainete hulka, välja arvatud juhul, kui taotluses esitatud dokumenteeritud tõendite põhjal on vaja toimeainet, et kontrollida tõsist ohtu taimetervisele, mida ei saa tõrjuda muude olemasolevate vahenditega, sealhulgas mittekeemiliste meetoditega, mille puhul tuleb võtta </w:t>
      </w:r>
      <w:proofErr w:type="spellStart"/>
      <w:r w:rsidRPr="00093245">
        <w:t>riskimaandamismeetmeid</w:t>
      </w:r>
      <w:proofErr w:type="spellEnd"/>
      <w:r w:rsidRPr="00093245">
        <w:t>, millega tagatakse, et inimeste ja keskkonna kokkupuude ainega on minimeeritud;</w:t>
      </w:r>
    </w:p>
    <w:p w:rsidR="004C3135" w:rsidRPr="00093245" w:rsidRDefault="004C3135" w:rsidP="00576268">
      <w:pPr>
        <w:pStyle w:val="NoSpacing"/>
        <w:spacing w:before="120" w:after="120"/>
        <w:ind w:left="720" w:hanging="720"/>
        <w:jc w:val="left"/>
      </w:pPr>
      <w:r w:rsidRPr="00093245">
        <w:lastRenderedPageBreak/>
        <w:t>O.</w:t>
      </w:r>
      <w:r w:rsidRPr="00093245">
        <w:tab/>
        <w:t>arvestades, et vastavalt määruse (EÜ) nr</w:t>
      </w:r>
      <w:r w:rsidR="00C71730">
        <w:t> </w:t>
      </w:r>
      <w:r w:rsidRPr="00093245">
        <w:t>1107/2009 II lisa punktile 3.6.5 ei saa toimeaineid heaks kiita, kui neil leitakse olevat endokriinseid häireid põhjustavaid omadusi, mis võivad avaldada inimestele kahjulikku mõju, välja arvatud juhul, kui inimeste kokkupuude selle taimekaitsevahendis sisalduva toimeaine, taimekaitseaine või sünergistiga kavandatavates realistlikes kasutustingimustes on väheoluli</w:t>
      </w:r>
      <w:bookmarkStart w:id="8" w:name="_GoBack"/>
      <w:bookmarkEnd w:id="8"/>
      <w:r w:rsidRPr="00093245">
        <w:t>ne, st vahendit kasutatakse suletud süsteemis või muudes tingimustes, mis välistavad kokkupuute inimestega, ning asjaomase toimeaine, taimekaitseaine või sünergisti jäägid toidul või söödal ei ületa vaikimisi väärtust, mis on kehtestatud Euroopa Parlamendi ja nõukogu määruse (EÜ) nr</w:t>
      </w:r>
      <w:r w:rsidR="00C71730">
        <w:t> </w:t>
      </w:r>
      <w:r w:rsidRPr="00093245">
        <w:t>396/2005</w:t>
      </w:r>
      <w:r w:rsidR="00493C20" w:rsidRPr="00093245">
        <w:rPr>
          <w:rStyle w:val="FootnoteReference"/>
        </w:rPr>
        <w:footnoteReference w:id="17"/>
      </w:r>
      <w:r w:rsidRPr="00093245">
        <w:t xml:space="preserve"> artikli</w:t>
      </w:r>
      <w:r w:rsidR="00C71730">
        <w:t> </w:t>
      </w:r>
      <w:r w:rsidRPr="00093245">
        <w:t>18 lõike</w:t>
      </w:r>
      <w:r w:rsidR="00C71730">
        <w:t> </w:t>
      </w:r>
      <w:r w:rsidRPr="00093245">
        <w:t>1 punkti</w:t>
      </w:r>
      <w:r w:rsidR="00C71730">
        <w:t> </w:t>
      </w:r>
      <w:r w:rsidRPr="00093245">
        <w:t>b kohaselt.</w:t>
      </w:r>
    </w:p>
    <w:p w:rsidR="004C3135" w:rsidRPr="00093245" w:rsidRDefault="004C3135" w:rsidP="00576268">
      <w:pPr>
        <w:pStyle w:val="NoSpacing"/>
        <w:spacing w:before="120" w:after="120"/>
        <w:ind w:left="720" w:hanging="720"/>
        <w:jc w:val="left"/>
      </w:pPr>
      <w:r w:rsidRPr="00093245">
        <w:t>P.</w:t>
      </w:r>
      <w:r w:rsidRPr="00093245">
        <w:tab/>
        <w:t xml:space="preserve">arvestades, et </w:t>
      </w:r>
      <w:proofErr w:type="spellStart"/>
      <w:r w:rsidRPr="00093245">
        <w:t>flumioksasiinil</w:t>
      </w:r>
      <w:proofErr w:type="spellEnd"/>
      <w:r w:rsidRPr="00093245">
        <w:t xml:space="preserve"> on suur </w:t>
      </w:r>
      <w:proofErr w:type="spellStart"/>
      <w:r w:rsidRPr="00093245">
        <w:t>biokontsentratsiooni</w:t>
      </w:r>
      <w:proofErr w:type="spellEnd"/>
      <w:r w:rsidRPr="00093245">
        <w:t xml:space="preserve"> oht ning see on väga mürgine vetikatele ja veetaimedele ning mõõdukalt mürgine vihmaussidele, mesilastele, kaladele ja veeselgrootutele;</w:t>
      </w:r>
    </w:p>
    <w:p w:rsidR="004C3135" w:rsidRPr="00093245" w:rsidRDefault="004C3135" w:rsidP="00576268">
      <w:pPr>
        <w:pStyle w:val="NoSpacing"/>
        <w:spacing w:before="120" w:after="120"/>
        <w:ind w:left="720" w:hanging="720"/>
        <w:jc w:val="left"/>
      </w:pPr>
      <w:r w:rsidRPr="00093245">
        <w:t>Q.</w:t>
      </w:r>
      <w:r w:rsidRPr="00093245">
        <w:tab/>
        <w:t xml:space="preserve">arvestades, et on vastuvõetamatu, et aine, mis teadaolevalt vastab selliste toimeainete piirkriteeriumitele (mis on kehtestatud </w:t>
      </w:r>
      <w:proofErr w:type="spellStart"/>
      <w:r w:rsidRPr="00093245">
        <w:t>inimtervise</w:t>
      </w:r>
      <w:proofErr w:type="spellEnd"/>
      <w:r w:rsidRPr="00093245">
        <w:t xml:space="preserve"> ja keskkonna kaitseks), mis on mutageensed, kantserogeensed ja/või reproduktiivtoksilised või millel on endokriinseid häireid põhjustavad omadused, on liidus jätkuvalt lubatud, mis seab ohtu </w:t>
      </w:r>
      <w:proofErr w:type="spellStart"/>
      <w:r w:rsidRPr="00093245">
        <w:t>inimtervise</w:t>
      </w:r>
      <w:proofErr w:type="spellEnd"/>
      <w:r w:rsidRPr="00093245">
        <w:t xml:space="preserve"> ja keskkonna;</w:t>
      </w:r>
    </w:p>
    <w:p w:rsidR="004C3135" w:rsidRPr="00093245" w:rsidRDefault="004C3135" w:rsidP="00576268">
      <w:pPr>
        <w:pStyle w:val="NoSpacing"/>
        <w:spacing w:before="120" w:after="120"/>
        <w:ind w:left="720" w:hanging="720"/>
        <w:jc w:val="left"/>
      </w:pPr>
      <w:r w:rsidRPr="00093245">
        <w:t>R.</w:t>
      </w:r>
      <w:r w:rsidRPr="00093245">
        <w:tab/>
        <w:t xml:space="preserve">arvestades, et taotlejad saavad ära kasutada komisjoni töömeetoditega tekitatud automaatsust, et tagada toimeainete heakskiidu kehtivusaja viivitamatu pikendamine juhul, kui riskide ümberhindamist ei ole veel lõpule viidud, pikendades mittetäielike andmete esitamisega ja rohkemate erandite ja eritingimuste nõudmisega ümberhindamisprotsessi, mis põhjustab keskkonnale ja </w:t>
      </w:r>
      <w:proofErr w:type="spellStart"/>
      <w:r w:rsidRPr="00093245">
        <w:t>inimtervisele</w:t>
      </w:r>
      <w:proofErr w:type="spellEnd"/>
      <w:r w:rsidRPr="00093245">
        <w:t xml:space="preserve"> lubamatuid ohte, kuna selle aja jooksul jätkub kokkupuude ohtliku ainega;</w:t>
      </w:r>
    </w:p>
    <w:p w:rsidR="004C3135" w:rsidRPr="00093245" w:rsidRDefault="004C3135" w:rsidP="00576268">
      <w:pPr>
        <w:pStyle w:val="NoSpacing"/>
        <w:spacing w:before="120" w:after="120"/>
        <w:ind w:left="720" w:hanging="720"/>
        <w:jc w:val="left"/>
        <w:rPr>
          <w:vertAlign w:val="superscript"/>
        </w:rPr>
      </w:pPr>
      <w:r w:rsidRPr="00093245">
        <w:t>S.</w:t>
      </w:r>
      <w:r w:rsidRPr="00093245">
        <w:tab/>
        <w:t>arvestades, et Euroopa Parlament palus oma 13.</w:t>
      </w:r>
      <w:r w:rsidR="00C71730">
        <w:t> </w:t>
      </w:r>
      <w:r w:rsidRPr="00093245">
        <w:t>septembri 2018.</w:t>
      </w:r>
      <w:r w:rsidR="00C71730">
        <w:t> </w:t>
      </w:r>
      <w:r w:rsidRPr="00093245">
        <w:t xml:space="preserve">aasta resolutsioonis taimekaitsevahendite määruse (EÜ) nr 1107/2009 rakendamise kohta komisjonil ja liikmesriikidel „tagada, et määruse artikli 17 kohast heakskiidu kehtivusaja menetluslikku pikendamist menetluse kestel ei kasutata selliste toimeainete puhul, mis on mutageensed, kantserogeensed, reproduktiivtoksilised ja kuuluvad seega kategooriasse 1A või 1B, või nende toimeainete puhul, millel on endokriinfunktsiooni kahjustavad omadused ning mis kahjustavad inimesi või loomi, näiteks praegu niisugused ained nagu </w:t>
      </w:r>
      <w:proofErr w:type="spellStart"/>
      <w:r w:rsidRPr="00093245">
        <w:t>flumioksasiin</w:t>
      </w:r>
      <w:proofErr w:type="spellEnd"/>
      <w:r w:rsidRPr="00093245">
        <w:t xml:space="preserve">, </w:t>
      </w:r>
      <w:proofErr w:type="spellStart"/>
      <w:r w:rsidRPr="00093245">
        <w:t>tiaklopriid</w:t>
      </w:r>
      <w:proofErr w:type="spellEnd"/>
      <w:r w:rsidRPr="00093245">
        <w:t xml:space="preserve">, </w:t>
      </w:r>
      <w:proofErr w:type="spellStart"/>
      <w:r w:rsidRPr="00093245">
        <w:t>klorotoluroon</w:t>
      </w:r>
      <w:proofErr w:type="spellEnd"/>
      <w:r w:rsidRPr="00093245">
        <w:t xml:space="preserve"> ja </w:t>
      </w:r>
      <w:proofErr w:type="spellStart"/>
      <w:r w:rsidRPr="00093245">
        <w:t>dimoksüstrobiin</w:t>
      </w:r>
      <w:proofErr w:type="spellEnd"/>
      <w:r w:rsidRPr="00093245">
        <w:t>“;</w:t>
      </w:r>
    </w:p>
    <w:p w:rsidR="004C3135" w:rsidRPr="00093245" w:rsidRDefault="004C3135" w:rsidP="00576268">
      <w:pPr>
        <w:pStyle w:val="NoSpacing"/>
        <w:spacing w:before="120" w:after="120"/>
        <w:ind w:left="720" w:hanging="720"/>
        <w:jc w:val="left"/>
      </w:pPr>
      <w:r w:rsidRPr="00093245">
        <w:t>T.</w:t>
      </w:r>
      <w:r w:rsidRPr="00093245">
        <w:tab/>
        <w:t>arvestades, et Madalmaade parlament väljendas muret selliste pikendamiste pärast ja nõuab, et lõpetataks selliste ainete heakskiidu kehtivusaja pikendamine, mis teadaolevalt kujutavad märkimisväärset ohtu bioloogilisele mitmekesisusele (eelkõige mesilastele ja kimalastele) või mis on kantserogeensed, mutageensed, kahjustavad endokriinfunktsiooni ja/või on reproduktiivtoksilised</w:t>
      </w:r>
      <w:r w:rsidRPr="00093245">
        <w:rPr>
          <w:rStyle w:val="FootnoteReference"/>
        </w:rPr>
        <w:footnoteReference w:id="18"/>
      </w:r>
      <w:r w:rsidRPr="00093245">
        <w:t>;</w:t>
      </w:r>
    </w:p>
    <w:p w:rsidR="004C3135" w:rsidRPr="00093245" w:rsidRDefault="004C3135" w:rsidP="00576268">
      <w:pPr>
        <w:pStyle w:val="Normal12Hanging"/>
        <w:spacing w:before="120" w:after="120"/>
        <w:ind w:left="720" w:hanging="720"/>
        <w:rPr>
          <w:color w:val="000000"/>
          <w:szCs w:val="24"/>
        </w:rPr>
      </w:pPr>
      <w:r w:rsidRPr="00093245">
        <w:rPr>
          <w:color w:val="000000"/>
          <w:szCs w:val="24"/>
        </w:rPr>
        <w:t>1.</w:t>
      </w:r>
      <w:r w:rsidRPr="00093245">
        <w:rPr>
          <w:color w:val="000000"/>
          <w:szCs w:val="24"/>
        </w:rPr>
        <w:tab/>
        <w:t>on seisukohal, et komisjoni rakendusmääruses (EL)</w:t>
      </w:r>
      <w:r w:rsidR="00C71730">
        <w:rPr>
          <w:color w:val="000000"/>
          <w:szCs w:val="24"/>
        </w:rPr>
        <w:t> </w:t>
      </w:r>
      <w:r w:rsidRPr="00093245">
        <w:rPr>
          <w:color w:val="000000"/>
          <w:szCs w:val="24"/>
        </w:rPr>
        <w:t>2019/707 ületatakse määruses (EÜ) nr</w:t>
      </w:r>
      <w:r w:rsidR="00C71730">
        <w:rPr>
          <w:color w:val="000000"/>
          <w:szCs w:val="24"/>
        </w:rPr>
        <w:t> </w:t>
      </w:r>
      <w:r w:rsidRPr="00093245">
        <w:rPr>
          <w:color w:val="000000"/>
          <w:szCs w:val="24"/>
        </w:rPr>
        <w:t>1107/2009 sätestatud rakendamisvolitusi;</w:t>
      </w:r>
    </w:p>
    <w:p w:rsidR="004C3135" w:rsidRPr="00093245" w:rsidRDefault="004C3135" w:rsidP="00576268">
      <w:pPr>
        <w:pStyle w:val="Normal12Hanging"/>
        <w:spacing w:before="120" w:after="120"/>
        <w:ind w:left="720" w:hanging="720"/>
        <w:rPr>
          <w:rFonts w:eastAsia="Calibri"/>
          <w:szCs w:val="32"/>
        </w:rPr>
      </w:pPr>
      <w:r w:rsidRPr="00093245">
        <w:rPr>
          <w:color w:val="000000"/>
          <w:szCs w:val="24"/>
        </w:rPr>
        <w:lastRenderedPageBreak/>
        <w:t>2.</w:t>
      </w:r>
      <w:r w:rsidRPr="00093245">
        <w:rPr>
          <w:color w:val="000000"/>
          <w:szCs w:val="24"/>
        </w:rPr>
        <w:tab/>
      </w:r>
      <w:r w:rsidRPr="00093245">
        <w:t xml:space="preserve">on seisukohal, et </w:t>
      </w:r>
      <w:r w:rsidR="00C71730">
        <w:t>komisjoni rakendusmääruses (EL) </w:t>
      </w:r>
      <w:r w:rsidRPr="00093245">
        <w:t>2019/707 ei järgita ettevaatuspõhimõtet;</w:t>
      </w:r>
    </w:p>
    <w:p w:rsidR="004C3135" w:rsidRPr="00093245" w:rsidRDefault="004C3135" w:rsidP="00576268">
      <w:pPr>
        <w:pStyle w:val="Normal12Hanging"/>
        <w:spacing w:before="120" w:after="120"/>
        <w:ind w:left="720" w:hanging="720"/>
        <w:rPr>
          <w:rFonts w:eastAsia="Calibri"/>
          <w:szCs w:val="32"/>
        </w:rPr>
      </w:pPr>
      <w:r w:rsidRPr="00093245">
        <w:t>3.</w:t>
      </w:r>
      <w:r w:rsidRPr="00093245">
        <w:tab/>
        <w:t xml:space="preserve">on arvamusel, et </w:t>
      </w:r>
      <w:proofErr w:type="spellStart"/>
      <w:r w:rsidRPr="00093245">
        <w:t>flumioksasiini</w:t>
      </w:r>
      <w:proofErr w:type="spellEnd"/>
      <w:r w:rsidRPr="00093245">
        <w:t xml:space="preserve"> taotlusperioodi pikendamise otsus ei ole kooskõlas määruses (EÜ) nr</w:t>
      </w:r>
      <w:r w:rsidR="00C71730">
        <w:t> </w:t>
      </w:r>
      <w:r w:rsidRPr="00093245">
        <w:t xml:space="preserve">1107/2009 sätestatud ohutuskriteeriumidega ning see ei tugine ei tõenditele selle aine ohutu kasutamise kohta ega tõendatud pakilisele vajadusele toimeaine </w:t>
      </w:r>
      <w:proofErr w:type="spellStart"/>
      <w:r w:rsidRPr="00093245">
        <w:t>flumioksasiini</w:t>
      </w:r>
      <w:proofErr w:type="spellEnd"/>
      <w:r w:rsidRPr="00093245">
        <w:t xml:space="preserve"> kasutamise järele toiduainete tootmisel liidus;</w:t>
      </w:r>
    </w:p>
    <w:p w:rsidR="004C3135" w:rsidRPr="00093245" w:rsidRDefault="004C3135" w:rsidP="00576268">
      <w:pPr>
        <w:pStyle w:val="Normal12Hanging"/>
        <w:spacing w:before="120" w:after="120"/>
        <w:ind w:left="720" w:hanging="720"/>
        <w:rPr>
          <w:rFonts w:eastAsia="Calibri"/>
          <w:szCs w:val="32"/>
        </w:rPr>
      </w:pPr>
      <w:r w:rsidRPr="00093245">
        <w:t>4.</w:t>
      </w:r>
      <w:r w:rsidRPr="00093245">
        <w:tab/>
        <w:t xml:space="preserve">palub komisjonil tunnistada kehtetuks oma rakendusmäärus </w:t>
      </w:r>
      <w:r w:rsidRPr="00093245">
        <w:rPr>
          <w:color w:val="000000"/>
          <w:szCs w:val="24"/>
        </w:rPr>
        <w:t>(EL)</w:t>
      </w:r>
      <w:r w:rsidR="00C71730">
        <w:rPr>
          <w:color w:val="000000"/>
          <w:szCs w:val="24"/>
        </w:rPr>
        <w:t> </w:t>
      </w:r>
      <w:r w:rsidRPr="00093245">
        <w:rPr>
          <w:color w:val="000000"/>
          <w:szCs w:val="24"/>
        </w:rPr>
        <w:t>2019/707</w:t>
      </w:r>
      <w:r w:rsidRPr="00093245">
        <w:t xml:space="preserve"> ning esitada komiteele uus eelnõu, milles võetakse arvesse teaduslikke tõendeid kõikide asjaomaste ainete, eelkõige </w:t>
      </w:r>
      <w:proofErr w:type="spellStart"/>
      <w:r w:rsidRPr="00093245">
        <w:t>flumioksasiini</w:t>
      </w:r>
      <w:proofErr w:type="spellEnd"/>
      <w:r w:rsidRPr="00093245">
        <w:t xml:space="preserve"> kahjulike omaduste kohta;</w:t>
      </w:r>
    </w:p>
    <w:p w:rsidR="004C3135" w:rsidRPr="00093245" w:rsidRDefault="004C3135" w:rsidP="00576268">
      <w:pPr>
        <w:pStyle w:val="Normal12Hanging"/>
        <w:spacing w:before="120" w:after="120"/>
        <w:ind w:left="720" w:hanging="720"/>
        <w:rPr>
          <w:rFonts w:eastAsia="Calibri"/>
          <w:szCs w:val="32"/>
        </w:rPr>
      </w:pPr>
      <w:r w:rsidRPr="00093245">
        <w:t>5.</w:t>
      </w:r>
      <w:r w:rsidRPr="00093245">
        <w:tab/>
        <w:t>kutsub komisjoni üles esitama üksnes selliste rakendusmääruste eelnõud, millega pikendatakse selliste ainete heakskiidu kehtivusaega, mille puhul ei eeldata, et teaduse hetkeseis viib komisjoni ettepanekuni asjaomase toimeaine loa uuendamata jätmise kohta;</w:t>
      </w:r>
    </w:p>
    <w:p w:rsidR="004C3135" w:rsidRPr="00093245" w:rsidRDefault="004C3135" w:rsidP="00576268">
      <w:pPr>
        <w:pStyle w:val="Normal12Hanging"/>
        <w:spacing w:before="120" w:after="120"/>
        <w:ind w:left="720" w:hanging="720"/>
        <w:rPr>
          <w:rFonts w:eastAsia="Calibri"/>
          <w:szCs w:val="32"/>
        </w:rPr>
      </w:pPr>
      <w:r w:rsidRPr="00093245">
        <w:t>6.</w:t>
      </w:r>
      <w:r w:rsidRPr="00093245">
        <w:tab/>
        <w:t>palub komisjonil ainete taotlused tagasi võtta, kui on tõendatud või põhjendatud kahtlus, et need ei vasta määruses (EÜ) nr</w:t>
      </w:r>
      <w:r w:rsidR="00C71730">
        <w:t> </w:t>
      </w:r>
      <w:r w:rsidRPr="00093245">
        <w:t>1107/2009 sätestatud ohutuskriteeriumidele;</w:t>
      </w:r>
    </w:p>
    <w:p w:rsidR="004C3135" w:rsidRPr="00093245" w:rsidRDefault="004C3135" w:rsidP="00576268">
      <w:pPr>
        <w:pStyle w:val="Normal12Hanging"/>
        <w:spacing w:before="120" w:after="120"/>
        <w:ind w:left="720" w:hanging="720"/>
        <w:rPr>
          <w:rFonts w:eastAsia="Calibri"/>
          <w:szCs w:val="32"/>
        </w:rPr>
      </w:pPr>
      <w:r w:rsidRPr="00093245">
        <w:t>7.</w:t>
      </w:r>
      <w:r w:rsidRPr="00093245">
        <w:tab/>
        <w:t>kutsub liikmesriike üles tagama selliste toimeainete lubade nõuetekohane ja õigeaegne ümberhindamine, mille puhul on nad andmeid esitavad liikmesriigid, ja tagada, et praegustele viivitustele leitakse tõhus lahendus nii kiiresti kui võimalik;</w:t>
      </w:r>
    </w:p>
    <w:p w:rsidR="00E365E1" w:rsidRPr="00093245" w:rsidRDefault="004C3135" w:rsidP="00576268">
      <w:pPr>
        <w:spacing w:before="120" w:after="120"/>
        <w:ind w:left="720" w:hanging="720"/>
      </w:pPr>
      <w:r w:rsidRPr="00093245">
        <w:t>8.</w:t>
      </w:r>
      <w:r w:rsidRPr="00093245">
        <w:tab/>
        <w:t>teeb presidendile ülesandeks edastada käesolev resolutsioon nõukogule ja komisjonile ning liikmesriikide valitsustele ja parlamentidele.</w:t>
      </w:r>
      <w:bookmarkStart w:id="9" w:name="TextBodyEnd"/>
      <w:bookmarkEnd w:id="9"/>
    </w:p>
    <w:sectPr w:rsidR="00E365E1" w:rsidRPr="00093245" w:rsidSect="0009324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AB" w:rsidRPr="00093245" w:rsidRDefault="002221AB">
      <w:r w:rsidRPr="00093245">
        <w:separator/>
      </w:r>
    </w:p>
  </w:endnote>
  <w:endnote w:type="continuationSeparator" w:id="0">
    <w:p w:rsidR="002221AB" w:rsidRPr="00093245" w:rsidRDefault="002221AB">
      <w:r w:rsidRPr="000932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Footer"/>
      <w:rPr>
        <w:lang w:val="et-E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Footer"/>
      <w:rPr>
        <w:lang w:val="et-E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AB" w:rsidRPr="00093245" w:rsidRDefault="002221AB">
      <w:r w:rsidRPr="00093245">
        <w:separator/>
      </w:r>
    </w:p>
  </w:footnote>
  <w:footnote w:type="continuationSeparator" w:id="0">
    <w:p w:rsidR="002221AB" w:rsidRPr="00093245" w:rsidRDefault="002221AB">
      <w:r w:rsidRPr="00093245">
        <w:continuationSeparator/>
      </w:r>
    </w:p>
  </w:footnote>
  <w:footnote w:id="1">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 xml:space="preserve">ELT L 120, 8.5.2019, lk 16. </w:t>
      </w:r>
    </w:p>
  </w:footnote>
  <w:footnote w:id="2">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ELT L 309, 24.11.2009, lk 1.</w:t>
      </w:r>
    </w:p>
  </w:footnote>
  <w:footnote w:id="3">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ELT L 67, 12.3.2015, lk</w:t>
      </w:r>
      <w:r w:rsidR="00C71730">
        <w:rPr>
          <w:sz w:val="24"/>
          <w:lang w:val="et-EE"/>
        </w:rPr>
        <w:t> </w:t>
      </w:r>
      <w:r w:rsidRPr="00093245">
        <w:rPr>
          <w:sz w:val="24"/>
          <w:lang w:val="et-EE"/>
        </w:rPr>
        <w:t>18.</w:t>
      </w:r>
    </w:p>
  </w:footnote>
  <w:footnote w:id="4">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ELT L 55, 28.2.2011, lk</w:t>
      </w:r>
      <w:r w:rsidR="00C71730">
        <w:rPr>
          <w:sz w:val="24"/>
          <w:lang w:val="et-EE"/>
        </w:rPr>
        <w:t> </w:t>
      </w:r>
      <w:r w:rsidRPr="00093245">
        <w:rPr>
          <w:sz w:val="24"/>
          <w:lang w:val="et-EE"/>
        </w:rPr>
        <w:t>13.</w:t>
      </w:r>
    </w:p>
  </w:footnote>
  <w:footnote w:id="5">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 xml:space="preserve">Vastuvõetud tekstid, P8_TA(2018)0356. </w:t>
      </w:r>
    </w:p>
  </w:footnote>
  <w:footnote w:id="6">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Nõukogu 15.</w:t>
      </w:r>
      <w:r w:rsidR="00C71730">
        <w:rPr>
          <w:sz w:val="24"/>
          <w:lang w:val="et-EE"/>
        </w:rPr>
        <w:t> </w:t>
      </w:r>
      <w:r w:rsidRPr="00093245">
        <w:rPr>
          <w:sz w:val="24"/>
          <w:lang w:val="et-EE"/>
        </w:rPr>
        <w:t>juuli 1991.</w:t>
      </w:r>
      <w:r w:rsidR="00C71730">
        <w:rPr>
          <w:sz w:val="24"/>
          <w:lang w:val="et-EE"/>
        </w:rPr>
        <w:t> </w:t>
      </w:r>
      <w:r w:rsidRPr="00093245">
        <w:rPr>
          <w:sz w:val="24"/>
          <w:lang w:val="et-EE"/>
        </w:rPr>
        <w:t>aasta direktiiv</w:t>
      </w:r>
      <w:r w:rsidR="00C71730">
        <w:rPr>
          <w:sz w:val="24"/>
          <w:lang w:val="et-EE"/>
        </w:rPr>
        <w:t> </w:t>
      </w:r>
      <w:r w:rsidRPr="00093245">
        <w:rPr>
          <w:sz w:val="24"/>
          <w:lang w:val="et-EE"/>
        </w:rPr>
        <w:t xml:space="preserve">91/414/EMÜ taimekaitsevahendite </w:t>
      </w:r>
      <w:proofErr w:type="spellStart"/>
      <w:r w:rsidRPr="00093245">
        <w:rPr>
          <w:sz w:val="24"/>
          <w:lang w:val="et-EE"/>
        </w:rPr>
        <w:t>turuleviimise</w:t>
      </w:r>
      <w:proofErr w:type="spellEnd"/>
      <w:r w:rsidRPr="00093245">
        <w:rPr>
          <w:sz w:val="24"/>
          <w:lang w:val="et-EE"/>
        </w:rPr>
        <w:t xml:space="preserve"> kohta (EÜT L 230, 19.8.1991, lk</w:t>
      </w:r>
      <w:r w:rsidR="00C71730">
        <w:rPr>
          <w:sz w:val="24"/>
          <w:lang w:val="et-EE"/>
        </w:rPr>
        <w:t> </w:t>
      </w:r>
      <w:r w:rsidRPr="00093245">
        <w:rPr>
          <w:sz w:val="24"/>
          <w:lang w:val="et-EE"/>
        </w:rPr>
        <w:t>1).</w:t>
      </w:r>
    </w:p>
  </w:footnote>
  <w:footnote w:id="7">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10.</w:t>
      </w:r>
      <w:r w:rsidR="00C71730">
        <w:rPr>
          <w:sz w:val="24"/>
          <w:lang w:val="et-EE"/>
        </w:rPr>
        <w:t> </w:t>
      </w:r>
      <w:r w:rsidRPr="00093245">
        <w:rPr>
          <w:sz w:val="24"/>
          <w:lang w:val="et-EE"/>
        </w:rPr>
        <w:t>oktoobri 2002.</w:t>
      </w:r>
      <w:r w:rsidR="00C71730">
        <w:rPr>
          <w:sz w:val="24"/>
          <w:lang w:val="et-EE"/>
        </w:rPr>
        <w:t> </w:t>
      </w:r>
      <w:r w:rsidRPr="00093245">
        <w:rPr>
          <w:sz w:val="24"/>
          <w:lang w:val="et-EE"/>
        </w:rPr>
        <w:t>aasta direktiiv</w:t>
      </w:r>
      <w:r w:rsidR="00C71730">
        <w:rPr>
          <w:sz w:val="24"/>
          <w:lang w:val="et-EE"/>
        </w:rPr>
        <w:t> </w:t>
      </w:r>
      <w:r w:rsidRPr="00093245">
        <w:rPr>
          <w:sz w:val="24"/>
          <w:lang w:val="et-EE"/>
        </w:rPr>
        <w:t>2002/81/EÜ, millega muudetakse nõukogu direktiivi</w:t>
      </w:r>
      <w:r w:rsidR="00C71730">
        <w:rPr>
          <w:sz w:val="24"/>
          <w:lang w:val="et-EE"/>
        </w:rPr>
        <w:t> </w:t>
      </w:r>
      <w:r w:rsidRPr="00093245">
        <w:rPr>
          <w:sz w:val="24"/>
          <w:lang w:val="et-EE"/>
        </w:rPr>
        <w:t xml:space="preserve">91/414/EMÜ, et lisada toimeainete hulka </w:t>
      </w:r>
      <w:proofErr w:type="spellStart"/>
      <w:r w:rsidRPr="00093245">
        <w:rPr>
          <w:sz w:val="24"/>
          <w:lang w:val="et-EE"/>
        </w:rPr>
        <w:t>flumioksasiin</w:t>
      </w:r>
      <w:proofErr w:type="spellEnd"/>
      <w:r w:rsidRPr="00093245">
        <w:rPr>
          <w:sz w:val="24"/>
          <w:lang w:val="et-EE"/>
        </w:rPr>
        <w:t xml:space="preserve"> (ELT L 276, 12.10.2002, lk 28).</w:t>
      </w:r>
    </w:p>
  </w:footnote>
  <w:footnote w:id="8">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18.</w:t>
      </w:r>
      <w:r w:rsidR="00C71730">
        <w:rPr>
          <w:sz w:val="24"/>
          <w:lang w:val="et-EE"/>
        </w:rPr>
        <w:t> </w:t>
      </w:r>
      <w:r w:rsidRPr="00093245">
        <w:rPr>
          <w:sz w:val="24"/>
          <w:lang w:val="et-EE"/>
        </w:rPr>
        <w:t>septembri 2012.</w:t>
      </w:r>
      <w:r w:rsidR="00C71730">
        <w:rPr>
          <w:sz w:val="24"/>
          <w:lang w:val="et-EE"/>
        </w:rPr>
        <w:t> </w:t>
      </w:r>
      <w:r w:rsidRPr="00093245">
        <w:rPr>
          <w:sz w:val="24"/>
          <w:lang w:val="et-EE"/>
        </w:rPr>
        <w:t>aasta rakendusmäärus (EL) nr</w:t>
      </w:r>
      <w:r w:rsidR="00C71730">
        <w:rPr>
          <w:sz w:val="24"/>
          <w:lang w:val="et-EE"/>
        </w:rPr>
        <w:t> </w:t>
      </w:r>
      <w:r w:rsidRPr="00093245">
        <w:rPr>
          <w:sz w:val="24"/>
          <w:lang w:val="et-EE"/>
        </w:rPr>
        <w:t>844/2012, millega kehtestatakse Euroopa Parlamendi ja nõukogu määruses (EÜ) nr</w:t>
      </w:r>
      <w:r w:rsidR="00C71730">
        <w:rPr>
          <w:sz w:val="24"/>
          <w:lang w:val="et-EE"/>
        </w:rPr>
        <w:t> </w:t>
      </w:r>
      <w:r w:rsidRPr="00093245">
        <w:rPr>
          <w:sz w:val="24"/>
          <w:lang w:val="et-EE"/>
        </w:rPr>
        <w:t xml:space="preserve">1107/2009 (taimekaitsevahendite </w:t>
      </w:r>
      <w:proofErr w:type="spellStart"/>
      <w:r w:rsidRPr="00093245">
        <w:rPr>
          <w:sz w:val="24"/>
          <w:lang w:val="et-EE"/>
        </w:rPr>
        <w:t>turulelaskmise</w:t>
      </w:r>
      <w:proofErr w:type="spellEnd"/>
      <w:r w:rsidRPr="00093245">
        <w:rPr>
          <w:sz w:val="24"/>
          <w:lang w:val="et-EE"/>
        </w:rPr>
        <w:t xml:space="preserve"> kohta) ette nähtud toimeainete heakskiidu pikendamise menetluse rakendamiseks vajalikud sätted (ELT L 252, 19.9.2012, lk</w:t>
      </w:r>
      <w:r w:rsidR="00C71730">
        <w:rPr>
          <w:sz w:val="24"/>
          <w:lang w:val="et-EE"/>
        </w:rPr>
        <w:t> </w:t>
      </w:r>
      <w:r w:rsidRPr="00093245">
        <w:rPr>
          <w:sz w:val="24"/>
          <w:lang w:val="et-EE"/>
        </w:rPr>
        <w:t>26).</w:t>
      </w:r>
    </w:p>
  </w:footnote>
  <w:footnote w:id="9">
    <w:p w:rsidR="004C3135" w:rsidRPr="00093245" w:rsidRDefault="004C3135" w:rsidP="00576268">
      <w:pPr>
        <w:pStyle w:val="FootnoteText"/>
        <w:ind w:left="720" w:hanging="720"/>
        <w:rPr>
          <w:iCs/>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ELT L 293, 11.11.2010, lk</w:t>
      </w:r>
      <w:r w:rsidR="00C71730">
        <w:rPr>
          <w:sz w:val="24"/>
          <w:lang w:val="et-EE"/>
        </w:rPr>
        <w:t> </w:t>
      </w:r>
      <w:r w:rsidRPr="00093245">
        <w:rPr>
          <w:sz w:val="24"/>
          <w:lang w:val="et-EE"/>
        </w:rPr>
        <w:t>48.</w:t>
      </w:r>
    </w:p>
  </w:footnote>
  <w:footnote w:id="10">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7. detsembri 2010. aasta määrus (EL) nr 1141/2010, millega sätestatakse menetlus teise toimeainete rühma nõukogu direktiivi</w:t>
      </w:r>
      <w:r w:rsidR="00C71730">
        <w:rPr>
          <w:sz w:val="24"/>
          <w:lang w:val="et-EE"/>
        </w:rPr>
        <w:t> </w:t>
      </w:r>
      <w:r w:rsidRPr="00093245">
        <w:rPr>
          <w:sz w:val="24"/>
          <w:lang w:val="et-EE"/>
        </w:rPr>
        <w:t>91/414/EMÜ I lisasse kuulumise pikendamiseks ja kehtestatakse kõnealuste ainete loetelu (ELT L 322, 8.12.2010, lk 10).</w:t>
      </w:r>
    </w:p>
  </w:footnote>
  <w:footnote w:id="11">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10.</w:t>
      </w:r>
      <w:r w:rsidR="00C71730">
        <w:rPr>
          <w:sz w:val="24"/>
          <w:lang w:val="et-EE"/>
        </w:rPr>
        <w:t> </w:t>
      </w:r>
      <w:r w:rsidRPr="00093245">
        <w:rPr>
          <w:sz w:val="24"/>
          <w:lang w:val="et-EE"/>
        </w:rPr>
        <w:t>novembri 2010.</w:t>
      </w:r>
      <w:r w:rsidR="00C71730">
        <w:rPr>
          <w:sz w:val="24"/>
          <w:lang w:val="et-EE"/>
        </w:rPr>
        <w:t> </w:t>
      </w:r>
      <w:r w:rsidRPr="00093245">
        <w:rPr>
          <w:sz w:val="24"/>
          <w:lang w:val="et-EE"/>
        </w:rPr>
        <w:t>aasta direktiiv</w:t>
      </w:r>
      <w:r w:rsidR="00C71730">
        <w:rPr>
          <w:sz w:val="24"/>
          <w:lang w:val="et-EE"/>
        </w:rPr>
        <w:t> </w:t>
      </w:r>
      <w:r w:rsidRPr="00093245">
        <w:rPr>
          <w:sz w:val="24"/>
          <w:lang w:val="et-EE"/>
        </w:rPr>
        <w:t>2010/77/EL, millega muudetakse nõukogu direktiivi</w:t>
      </w:r>
      <w:r w:rsidR="00C71730">
        <w:rPr>
          <w:sz w:val="24"/>
          <w:lang w:val="et-EE"/>
        </w:rPr>
        <w:t> </w:t>
      </w:r>
      <w:r w:rsidRPr="00093245">
        <w:rPr>
          <w:sz w:val="24"/>
          <w:lang w:val="et-EE"/>
        </w:rPr>
        <w:t>91/414/EMÜ seoses teatavate toimeainete I</w:t>
      </w:r>
      <w:r w:rsidR="00C71730">
        <w:rPr>
          <w:sz w:val="24"/>
          <w:lang w:val="et-EE"/>
        </w:rPr>
        <w:t> </w:t>
      </w:r>
      <w:r w:rsidRPr="00093245">
        <w:rPr>
          <w:sz w:val="24"/>
          <w:lang w:val="et-EE"/>
        </w:rPr>
        <w:t>lisasse kuulumise lõppemise kuupäevadega (ELT L 293, 11.11.2010</w:t>
      </w:r>
      <w:r w:rsidR="00493C20">
        <w:rPr>
          <w:sz w:val="24"/>
          <w:lang w:val="et-EE"/>
        </w:rPr>
        <w:t>, lk 48</w:t>
      </w:r>
      <w:r w:rsidRPr="00093245">
        <w:rPr>
          <w:sz w:val="24"/>
          <w:lang w:val="et-EE"/>
        </w:rPr>
        <w:t>).</w:t>
      </w:r>
    </w:p>
  </w:footnote>
  <w:footnote w:id="12">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20. oktoobri 2015.</w:t>
      </w:r>
      <w:r w:rsidR="00C71730">
        <w:rPr>
          <w:sz w:val="24"/>
          <w:lang w:val="et-EE"/>
        </w:rPr>
        <w:t> </w:t>
      </w:r>
      <w:r w:rsidRPr="00093245">
        <w:rPr>
          <w:sz w:val="24"/>
          <w:lang w:val="et-EE"/>
        </w:rPr>
        <w:t>aasta rakendusmäärus (EL)</w:t>
      </w:r>
      <w:r w:rsidR="00C71730">
        <w:rPr>
          <w:sz w:val="24"/>
          <w:lang w:val="et-EE"/>
        </w:rPr>
        <w:t> </w:t>
      </w:r>
      <w:r w:rsidRPr="00093245">
        <w:rPr>
          <w:sz w:val="24"/>
          <w:lang w:val="et-EE"/>
        </w:rPr>
        <w:t>2015/1885, millega muudetakse rakendusmäärust (EL) nr 540/2011 seoses toimeainete 2,4</w:t>
      </w:r>
      <w:r w:rsidR="00C71730">
        <w:rPr>
          <w:sz w:val="24"/>
          <w:lang w:val="et-EE"/>
        </w:rPr>
        <w:noBreakHyphen/>
      </w:r>
      <w:r w:rsidRPr="00093245">
        <w:rPr>
          <w:sz w:val="24"/>
          <w:lang w:val="et-EE"/>
        </w:rPr>
        <w:t xml:space="preserve">D, </w:t>
      </w:r>
      <w:proofErr w:type="spellStart"/>
      <w:r w:rsidRPr="00093245">
        <w:rPr>
          <w:sz w:val="24"/>
          <w:lang w:val="et-EE"/>
        </w:rPr>
        <w:t>atsibensolaar</w:t>
      </w:r>
      <w:proofErr w:type="spellEnd"/>
      <w:r w:rsidR="00C71730">
        <w:rPr>
          <w:sz w:val="24"/>
          <w:lang w:val="et-EE"/>
        </w:rPr>
        <w:noBreakHyphen/>
      </w:r>
      <w:r w:rsidRPr="00093245">
        <w:rPr>
          <w:sz w:val="24"/>
          <w:lang w:val="et-EE"/>
        </w:rPr>
        <w:t>S</w:t>
      </w:r>
      <w:r w:rsidR="00C71730">
        <w:rPr>
          <w:sz w:val="24"/>
          <w:lang w:val="et-EE"/>
        </w:rPr>
        <w:noBreakHyphen/>
      </w:r>
      <w:r w:rsidRPr="00093245">
        <w:rPr>
          <w:sz w:val="24"/>
          <w:lang w:val="et-EE"/>
        </w:rPr>
        <w:t xml:space="preserve">metüüli, </w:t>
      </w:r>
      <w:proofErr w:type="spellStart"/>
      <w:r w:rsidRPr="00093245">
        <w:rPr>
          <w:sz w:val="24"/>
          <w:lang w:val="et-EE"/>
        </w:rPr>
        <w:t>amitrooli</w:t>
      </w:r>
      <w:proofErr w:type="spellEnd"/>
      <w:r w:rsidRPr="00093245">
        <w:rPr>
          <w:sz w:val="24"/>
          <w:lang w:val="et-EE"/>
        </w:rPr>
        <w:t xml:space="preserve">, </w:t>
      </w:r>
      <w:proofErr w:type="spellStart"/>
      <w:r w:rsidRPr="00093245">
        <w:rPr>
          <w:sz w:val="24"/>
          <w:lang w:val="et-EE"/>
        </w:rPr>
        <w:t>bentasooni</w:t>
      </w:r>
      <w:proofErr w:type="spellEnd"/>
      <w:r w:rsidRPr="00093245">
        <w:rPr>
          <w:sz w:val="24"/>
          <w:lang w:val="et-EE"/>
        </w:rPr>
        <w:t xml:space="preserve">, </w:t>
      </w:r>
      <w:proofErr w:type="spellStart"/>
      <w:r w:rsidRPr="00093245">
        <w:rPr>
          <w:sz w:val="24"/>
          <w:lang w:val="et-EE"/>
        </w:rPr>
        <w:t>butüültsühalofopi</w:t>
      </w:r>
      <w:proofErr w:type="spellEnd"/>
      <w:r w:rsidRPr="00093245">
        <w:rPr>
          <w:sz w:val="24"/>
          <w:lang w:val="et-EE"/>
        </w:rPr>
        <w:t xml:space="preserve">, </w:t>
      </w:r>
      <w:proofErr w:type="spellStart"/>
      <w:r w:rsidRPr="00093245">
        <w:rPr>
          <w:sz w:val="24"/>
          <w:lang w:val="et-EE"/>
        </w:rPr>
        <w:t>dikvaadi</w:t>
      </w:r>
      <w:proofErr w:type="spellEnd"/>
      <w:r w:rsidRPr="00093245">
        <w:rPr>
          <w:sz w:val="24"/>
          <w:lang w:val="et-EE"/>
        </w:rPr>
        <w:t xml:space="preserve">, </w:t>
      </w:r>
      <w:proofErr w:type="spellStart"/>
      <w:r w:rsidRPr="00093245">
        <w:rPr>
          <w:sz w:val="24"/>
          <w:lang w:val="et-EE"/>
        </w:rPr>
        <w:t>esfenvaleraadi</w:t>
      </w:r>
      <w:proofErr w:type="spellEnd"/>
      <w:r w:rsidRPr="00093245">
        <w:rPr>
          <w:sz w:val="24"/>
          <w:lang w:val="et-EE"/>
        </w:rPr>
        <w:t xml:space="preserve">, </w:t>
      </w:r>
      <w:proofErr w:type="spellStart"/>
      <w:r w:rsidRPr="00093245">
        <w:rPr>
          <w:sz w:val="24"/>
          <w:lang w:val="et-EE"/>
        </w:rPr>
        <w:t>famoksadooni</w:t>
      </w:r>
      <w:proofErr w:type="spellEnd"/>
      <w:r w:rsidRPr="00093245">
        <w:rPr>
          <w:sz w:val="24"/>
          <w:lang w:val="et-EE"/>
        </w:rPr>
        <w:t xml:space="preserve">, </w:t>
      </w:r>
      <w:proofErr w:type="spellStart"/>
      <w:r w:rsidRPr="00093245">
        <w:rPr>
          <w:sz w:val="24"/>
          <w:lang w:val="et-EE"/>
        </w:rPr>
        <w:t>flumioksasiini</w:t>
      </w:r>
      <w:proofErr w:type="spellEnd"/>
      <w:r w:rsidRPr="00093245">
        <w:rPr>
          <w:sz w:val="24"/>
          <w:lang w:val="et-EE"/>
        </w:rPr>
        <w:t>, DPX KE 459 (</w:t>
      </w:r>
      <w:proofErr w:type="spellStart"/>
      <w:r w:rsidRPr="00093245">
        <w:rPr>
          <w:sz w:val="24"/>
          <w:lang w:val="et-EE"/>
        </w:rPr>
        <w:t>metüülflupüürsulfurooni</w:t>
      </w:r>
      <w:proofErr w:type="spellEnd"/>
      <w:r w:rsidRPr="00093245">
        <w:rPr>
          <w:sz w:val="24"/>
          <w:lang w:val="et-EE"/>
        </w:rPr>
        <w:t xml:space="preserve">), </w:t>
      </w:r>
      <w:proofErr w:type="spellStart"/>
      <w:r w:rsidRPr="00093245">
        <w:rPr>
          <w:sz w:val="24"/>
          <w:lang w:val="et-EE"/>
        </w:rPr>
        <w:t>glüfosaadi</w:t>
      </w:r>
      <w:proofErr w:type="spellEnd"/>
      <w:r w:rsidRPr="00093245">
        <w:rPr>
          <w:sz w:val="24"/>
          <w:lang w:val="et-EE"/>
        </w:rPr>
        <w:t xml:space="preserve">, </w:t>
      </w:r>
      <w:proofErr w:type="spellStart"/>
      <w:r w:rsidRPr="00093245">
        <w:rPr>
          <w:sz w:val="24"/>
          <w:lang w:val="et-EE"/>
        </w:rPr>
        <w:t>iprovalikarbi</w:t>
      </w:r>
      <w:proofErr w:type="spellEnd"/>
      <w:r w:rsidRPr="00093245">
        <w:rPr>
          <w:sz w:val="24"/>
          <w:lang w:val="et-EE"/>
        </w:rPr>
        <w:t xml:space="preserve">, </w:t>
      </w:r>
      <w:proofErr w:type="spellStart"/>
      <w:r w:rsidRPr="00093245">
        <w:rPr>
          <w:sz w:val="24"/>
          <w:lang w:val="et-EE"/>
        </w:rPr>
        <w:t>isoproturooni</w:t>
      </w:r>
      <w:proofErr w:type="spellEnd"/>
      <w:r w:rsidRPr="00093245">
        <w:rPr>
          <w:sz w:val="24"/>
          <w:lang w:val="et-EE"/>
        </w:rPr>
        <w:t xml:space="preserve">, </w:t>
      </w:r>
      <w:proofErr w:type="spellStart"/>
      <w:r w:rsidRPr="00093245">
        <w:rPr>
          <w:sz w:val="24"/>
          <w:lang w:val="et-EE"/>
        </w:rPr>
        <w:t>lambda-tsühalotriini</w:t>
      </w:r>
      <w:proofErr w:type="spellEnd"/>
      <w:r w:rsidRPr="00093245">
        <w:rPr>
          <w:sz w:val="24"/>
          <w:lang w:val="et-EE"/>
        </w:rPr>
        <w:t xml:space="preserve">, </w:t>
      </w:r>
      <w:proofErr w:type="spellStart"/>
      <w:r w:rsidRPr="00093245">
        <w:rPr>
          <w:sz w:val="24"/>
          <w:lang w:val="et-EE"/>
        </w:rPr>
        <w:t>metalaksüül-M'i</w:t>
      </w:r>
      <w:proofErr w:type="spellEnd"/>
      <w:r w:rsidRPr="00093245">
        <w:rPr>
          <w:sz w:val="24"/>
          <w:lang w:val="et-EE"/>
        </w:rPr>
        <w:t xml:space="preserve">, </w:t>
      </w:r>
      <w:proofErr w:type="spellStart"/>
      <w:r w:rsidRPr="00093245">
        <w:rPr>
          <w:sz w:val="24"/>
          <w:lang w:val="et-EE"/>
        </w:rPr>
        <w:t>metsulfuroon</w:t>
      </w:r>
      <w:proofErr w:type="spellEnd"/>
      <w:r w:rsidRPr="00093245">
        <w:rPr>
          <w:sz w:val="24"/>
          <w:lang w:val="et-EE"/>
        </w:rPr>
        <w:t xml:space="preserve">-metüüli, </w:t>
      </w:r>
      <w:proofErr w:type="spellStart"/>
      <w:r w:rsidRPr="00093245">
        <w:rPr>
          <w:sz w:val="24"/>
          <w:lang w:val="et-EE"/>
        </w:rPr>
        <w:t>pikolinafeeni</w:t>
      </w:r>
      <w:proofErr w:type="spellEnd"/>
      <w:r w:rsidRPr="00093245">
        <w:rPr>
          <w:sz w:val="24"/>
          <w:lang w:val="et-EE"/>
        </w:rPr>
        <w:t xml:space="preserve">, </w:t>
      </w:r>
      <w:proofErr w:type="spellStart"/>
      <w:r w:rsidRPr="00093245">
        <w:rPr>
          <w:sz w:val="24"/>
          <w:lang w:val="et-EE"/>
        </w:rPr>
        <w:t>prosulfurooni</w:t>
      </w:r>
      <w:proofErr w:type="spellEnd"/>
      <w:r w:rsidRPr="00093245">
        <w:rPr>
          <w:sz w:val="24"/>
          <w:lang w:val="et-EE"/>
        </w:rPr>
        <w:t xml:space="preserve">, </w:t>
      </w:r>
      <w:proofErr w:type="spellStart"/>
      <w:r w:rsidRPr="00093245">
        <w:rPr>
          <w:sz w:val="24"/>
          <w:lang w:val="et-EE"/>
        </w:rPr>
        <w:t>pümetrosiini</w:t>
      </w:r>
      <w:proofErr w:type="spellEnd"/>
      <w:r w:rsidRPr="00093245">
        <w:rPr>
          <w:sz w:val="24"/>
          <w:lang w:val="et-EE"/>
        </w:rPr>
        <w:t xml:space="preserve">, </w:t>
      </w:r>
      <w:proofErr w:type="spellStart"/>
      <w:r w:rsidRPr="00093245">
        <w:rPr>
          <w:sz w:val="24"/>
          <w:lang w:val="et-EE"/>
        </w:rPr>
        <w:t>püraflufeenetüüli</w:t>
      </w:r>
      <w:proofErr w:type="spellEnd"/>
      <w:r w:rsidRPr="00093245">
        <w:rPr>
          <w:sz w:val="24"/>
          <w:lang w:val="et-EE"/>
        </w:rPr>
        <w:t xml:space="preserve">, </w:t>
      </w:r>
      <w:proofErr w:type="spellStart"/>
      <w:r w:rsidRPr="00093245">
        <w:rPr>
          <w:sz w:val="24"/>
          <w:lang w:val="et-EE"/>
        </w:rPr>
        <w:t>tiabendasooli</w:t>
      </w:r>
      <w:proofErr w:type="spellEnd"/>
      <w:r w:rsidRPr="00093245">
        <w:rPr>
          <w:sz w:val="24"/>
          <w:lang w:val="et-EE"/>
        </w:rPr>
        <w:t xml:space="preserve">, </w:t>
      </w:r>
      <w:proofErr w:type="spellStart"/>
      <w:r w:rsidRPr="00093245">
        <w:rPr>
          <w:sz w:val="24"/>
          <w:lang w:val="et-EE"/>
        </w:rPr>
        <w:t>metüültifensulfurooni</w:t>
      </w:r>
      <w:proofErr w:type="spellEnd"/>
      <w:r w:rsidRPr="00093245">
        <w:rPr>
          <w:sz w:val="24"/>
          <w:lang w:val="et-EE"/>
        </w:rPr>
        <w:t xml:space="preserve"> ja </w:t>
      </w:r>
      <w:proofErr w:type="spellStart"/>
      <w:r w:rsidRPr="00093245">
        <w:rPr>
          <w:sz w:val="24"/>
          <w:lang w:val="et-EE"/>
        </w:rPr>
        <w:t>triasulfurooni</w:t>
      </w:r>
      <w:proofErr w:type="spellEnd"/>
      <w:r w:rsidRPr="00093245">
        <w:rPr>
          <w:sz w:val="24"/>
          <w:lang w:val="et-EE"/>
        </w:rPr>
        <w:t xml:space="preserve"> heakskiidu kehtivusaja pikendamisega (ELT L 276, 21.10.2015, lk 48).</w:t>
      </w:r>
    </w:p>
  </w:footnote>
  <w:footnote w:id="13">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8. aprilli 2016.</w:t>
      </w:r>
      <w:r w:rsidR="00C71730">
        <w:rPr>
          <w:sz w:val="24"/>
          <w:lang w:val="et-EE"/>
        </w:rPr>
        <w:t> </w:t>
      </w:r>
      <w:r w:rsidRPr="00093245">
        <w:rPr>
          <w:sz w:val="24"/>
          <w:lang w:val="et-EE"/>
        </w:rPr>
        <w:t>aasta rakendusmäärus (EL)</w:t>
      </w:r>
      <w:r w:rsidR="00C71730">
        <w:rPr>
          <w:sz w:val="24"/>
          <w:lang w:val="et-EE"/>
        </w:rPr>
        <w:t> </w:t>
      </w:r>
      <w:r w:rsidRPr="00093245">
        <w:rPr>
          <w:sz w:val="24"/>
          <w:lang w:val="et-EE"/>
        </w:rPr>
        <w:t xml:space="preserve">2016/549, millega muudetakse rakendusmäärust (EL) nr 540/2011 seoses toimeainete </w:t>
      </w:r>
      <w:proofErr w:type="spellStart"/>
      <w:r w:rsidRPr="00093245">
        <w:rPr>
          <w:sz w:val="24"/>
          <w:lang w:val="et-EE"/>
        </w:rPr>
        <w:t>bentasooni</w:t>
      </w:r>
      <w:proofErr w:type="spellEnd"/>
      <w:r w:rsidRPr="00093245">
        <w:rPr>
          <w:sz w:val="24"/>
          <w:lang w:val="et-EE"/>
        </w:rPr>
        <w:t xml:space="preserve">, </w:t>
      </w:r>
      <w:proofErr w:type="spellStart"/>
      <w:r w:rsidRPr="00093245">
        <w:rPr>
          <w:sz w:val="24"/>
          <w:lang w:val="et-EE"/>
        </w:rPr>
        <w:t>butüültsühalofopi</w:t>
      </w:r>
      <w:proofErr w:type="spellEnd"/>
      <w:r w:rsidRPr="00093245">
        <w:rPr>
          <w:sz w:val="24"/>
          <w:lang w:val="et-EE"/>
        </w:rPr>
        <w:t xml:space="preserve">, </w:t>
      </w:r>
      <w:proofErr w:type="spellStart"/>
      <w:r w:rsidRPr="00093245">
        <w:rPr>
          <w:sz w:val="24"/>
          <w:lang w:val="et-EE"/>
        </w:rPr>
        <w:t>dikvaadi</w:t>
      </w:r>
      <w:proofErr w:type="spellEnd"/>
      <w:r w:rsidRPr="00093245">
        <w:rPr>
          <w:sz w:val="24"/>
          <w:lang w:val="et-EE"/>
        </w:rPr>
        <w:t xml:space="preserve">, </w:t>
      </w:r>
      <w:proofErr w:type="spellStart"/>
      <w:r w:rsidRPr="00093245">
        <w:rPr>
          <w:sz w:val="24"/>
          <w:lang w:val="et-EE"/>
        </w:rPr>
        <w:t>famoksadooni</w:t>
      </w:r>
      <w:proofErr w:type="spellEnd"/>
      <w:r w:rsidRPr="00093245">
        <w:rPr>
          <w:sz w:val="24"/>
          <w:lang w:val="et-EE"/>
        </w:rPr>
        <w:t xml:space="preserve">, </w:t>
      </w:r>
      <w:proofErr w:type="spellStart"/>
      <w:r w:rsidRPr="00093245">
        <w:rPr>
          <w:sz w:val="24"/>
          <w:lang w:val="et-EE"/>
        </w:rPr>
        <w:t>flumioksasiini</w:t>
      </w:r>
      <w:proofErr w:type="spellEnd"/>
      <w:r w:rsidRPr="00093245">
        <w:rPr>
          <w:sz w:val="24"/>
          <w:lang w:val="et-EE"/>
        </w:rPr>
        <w:t>, DPX KE 459 (</w:t>
      </w:r>
      <w:proofErr w:type="spellStart"/>
      <w:r w:rsidRPr="00093245">
        <w:rPr>
          <w:sz w:val="24"/>
          <w:lang w:val="et-EE"/>
        </w:rPr>
        <w:t>metüülflupüürsulfurooni</w:t>
      </w:r>
      <w:proofErr w:type="spellEnd"/>
      <w:r w:rsidRPr="00093245">
        <w:rPr>
          <w:sz w:val="24"/>
          <w:lang w:val="et-EE"/>
        </w:rPr>
        <w:t xml:space="preserve">), </w:t>
      </w:r>
      <w:proofErr w:type="spellStart"/>
      <w:r w:rsidRPr="00093245">
        <w:rPr>
          <w:sz w:val="24"/>
          <w:lang w:val="et-EE"/>
        </w:rPr>
        <w:t>metalaksüül</w:t>
      </w:r>
      <w:proofErr w:type="spellEnd"/>
      <w:r w:rsidR="00C71730">
        <w:rPr>
          <w:sz w:val="24"/>
          <w:lang w:val="et-EE"/>
        </w:rPr>
        <w:noBreakHyphen/>
      </w:r>
      <w:r w:rsidRPr="00093245">
        <w:rPr>
          <w:sz w:val="24"/>
          <w:lang w:val="et-EE"/>
        </w:rPr>
        <w:t>M</w:t>
      </w:r>
      <w:r w:rsidR="00C71730">
        <w:rPr>
          <w:sz w:val="24"/>
          <w:lang w:val="et-EE"/>
        </w:rPr>
        <w:noBreakHyphen/>
      </w:r>
      <w:r w:rsidRPr="00093245">
        <w:rPr>
          <w:sz w:val="24"/>
          <w:lang w:val="et-EE"/>
        </w:rPr>
        <w:t xml:space="preserve">i, </w:t>
      </w:r>
      <w:proofErr w:type="spellStart"/>
      <w:r w:rsidRPr="00093245">
        <w:rPr>
          <w:sz w:val="24"/>
          <w:lang w:val="et-EE"/>
        </w:rPr>
        <w:t>pikolinafeeni</w:t>
      </w:r>
      <w:proofErr w:type="spellEnd"/>
      <w:r w:rsidRPr="00093245">
        <w:rPr>
          <w:sz w:val="24"/>
          <w:lang w:val="et-EE"/>
        </w:rPr>
        <w:t xml:space="preserve">, </w:t>
      </w:r>
      <w:proofErr w:type="spellStart"/>
      <w:r w:rsidRPr="00093245">
        <w:rPr>
          <w:sz w:val="24"/>
          <w:lang w:val="et-EE"/>
        </w:rPr>
        <w:t>prosulfurooni</w:t>
      </w:r>
      <w:proofErr w:type="spellEnd"/>
      <w:r w:rsidRPr="00093245">
        <w:rPr>
          <w:sz w:val="24"/>
          <w:lang w:val="et-EE"/>
        </w:rPr>
        <w:t xml:space="preserve">, </w:t>
      </w:r>
      <w:proofErr w:type="spellStart"/>
      <w:r w:rsidRPr="00093245">
        <w:rPr>
          <w:sz w:val="24"/>
          <w:lang w:val="et-EE"/>
        </w:rPr>
        <w:t>pümetrosiini</w:t>
      </w:r>
      <w:proofErr w:type="spellEnd"/>
      <w:r w:rsidRPr="00093245">
        <w:rPr>
          <w:sz w:val="24"/>
          <w:lang w:val="et-EE"/>
        </w:rPr>
        <w:t xml:space="preserve">, </w:t>
      </w:r>
      <w:proofErr w:type="spellStart"/>
      <w:r w:rsidRPr="00093245">
        <w:rPr>
          <w:sz w:val="24"/>
          <w:lang w:val="et-EE"/>
        </w:rPr>
        <w:t>tiabendasooli</w:t>
      </w:r>
      <w:proofErr w:type="spellEnd"/>
      <w:r w:rsidRPr="00093245">
        <w:rPr>
          <w:sz w:val="24"/>
          <w:lang w:val="et-EE"/>
        </w:rPr>
        <w:t xml:space="preserve"> ja </w:t>
      </w:r>
      <w:proofErr w:type="spellStart"/>
      <w:r w:rsidRPr="00093245">
        <w:rPr>
          <w:sz w:val="24"/>
          <w:lang w:val="et-EE"/>
        </w:rPr>
        <w:t>metüültifensulfurooni</w:t>
      </w:r>
      <w:proofErr w:type="spellEnd"/>
      <w:r w:rsidRPr="00093245">
        <w:rPr>
          <w:sz w:val="24"/>
          <w:lang w:val="et-EE"/>
        </w:rPr>
        <w:t xml:space="preserve"> heakskiidu kehtivusaja pikendamisega (ELT L 95, 9.4.2016, lk 4).</w:t>
      </w:r>
      <w:r w:rsidRPr="00093245">
        <w:rPr>
          <w:color w:val="444444"/>
          <w:sz w:val="24"/>
          <w:lang w:val="et-EE"/>
        </w:rPr>
        <w:t xml:space="preserve"> </w:t>
      </w:r>
    </w:p>
  </w:footnote>
  <w:footnote w:id="14">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17.</w:t>
      </w:r>
      <w:r w:rsidR="00C71730">
        <w:rPr>
          <w:sz w:val="24"/>
          <w:lang w:val="et-EE"/>
        </w:rPr>
        <w:t> </w:t>
      </w:r>
      <w:r w:rsidRPr="00093245">
        <w:rPr>
          <w:sz w:val="24"/>
          <w:lang w:val="et-EE"/>
        </w:rPr>
        <w:t>mai 2017.</w:t>
      </w:r>
      <w:r w:rsidR="00C71730">
        <w:rPr>
          <w:sz w:val="24"/>
          <w:lang w:val="et-EE"/>
        </w:rPr>
        <w:t> </w:t>
      </w:r>
      <w:r w:rsidRPr="00093245">
        <w:rPr>
          <w:sz w:val="24"/>
          <w:lang w:val="et-EE"/>
        </w:rPr>
        <w:t>aasta rakendusmäärus (EL)</w:t>
      </w:r>
      <w:r w:rsidR="00C71730">
        <w:rPr>
          <w:sz w:val="24"/>
          <w:lang w:val="et-EE"/>
        </w:rPr>
        <w:t> </w:t>
      </w:r>
      <w:r w:rsidRPr="00093245">
        <w:rPr>
          <w:sz w:val="24"/>
          <w:lang w:val="et-EE"/>
        </w:rPr>
        <w:t>2017/841, millega muudetakse rakendusmäärust (EL) nr 540/2011 seoses toimeainete α-</w:t>
      </w:r>
      <w:proofErr w:type="spellStart"/>
      <w:r w:rsidRPr="00093245">
        <w:rPr>
          <w:sz w:val="24"/>
          <w:lang w:val="et-EE"/>
        </w:rPr>
        <w:t>tsüpermetriini</w:t>
      </w:r>
      <w:proofErr w:type="spellEnd"/>
      <w:r w:rsidRPr="00093245">
        <w:rPr>
          <w:sz w:val="24"/>
          <w:lang w:val="et-EE"/>
        </w:rPr>
        <w:t xml:space="preserve">, </w:t>
      </w:r>
      <w:proofErr w:type="spellStart"/>
      <w:r w:rsidRPr="00093245">
        <w:rPr>
          <w:sz w:val="24"/>
          <w:lang w:val="et-EE"/>
        </w:rPr>
        <w:t>Ampelomyces</w:t>
      </w:r>
      <w:proofErr w:type="spellEnd"/>
      <w:r w:rsidRPr="00093245">
        <w:rPr>
          <w:sz w:val="24"/>
          <w:lang w:val="et-EE"/>
        </w:rPr>
        <w:t xml:space="preserve"> </w:t>
      </w:r>
      <w:proofErr w:type="spellStart"/>
      <w:r w:rsidRPr="00093245">
        <w:rPr>
          <w:sz w:val="24"/>
          <w:lang w:val="et-EE"/>
        </w:rPr>
        <w:t>quisqualis'e</w:t>
      </w:r>
      <w:proofErr w:type="spellEnd"/>
      <w:r w:rsidRPr="00093245">
        <w:rPr>
          <w:sz w:val="24"/>
          <w:lang w:val="et-EE"/>
        </w:rPr>
        <w:t xml:space="preserve"> tüve AQ</w:t>
      </w:r>
      <w:r w:rsidR="00C71730">
        <w:rPr>
          <w:sz w:val="24"/>
          <w:lang w:val="et-EE"/>
        </w:rPr>
        <w:t> </w:t>
      </w:r>
      <w:r w:rsidRPr="00093245">
        <w:rPr>
          <w:sz w:val="24"/>
          <w:lang w:val="et-EE"/>
        </w:rPr>
        <w:t xml:space="preserve">10, </w:t>
      </w:r>
      <w:proofErr w:type="spellStart"/>
      <w:r w:rsidRPr="00093245">
        <w:rPr>
          <w:sz w:val="24"/>
          <w:lang w:val="et-EE"/>
        </w:rPr>
        <w:t>benalaksüüli</w:t>
      </w:r>
      <w:proofErr w:type="spellEnd"/>
      <w:r w:rsidRPr="00093245">
        <w:rPr>
          <w:sz w:val="24"/>
          <w:lang w:val="et-EE"/>
        </w:rPr>
        <w:t xml:space="preserve">, </w:t>
      </w:r>
      <w:proofErr w:type="spellStart"/>
      <w:r w:rsidRPr="00093245">
        <w:rPr>
          <w:sz w:val="24"/>
          <w:lang w:val="et-EE"/>
        </w:rPr>
        <w:t>bentasooni</w:t>
      </w:r>
      <w:proofErr w:type="spellEnd"/>
      <w:r w:rsidRPr="00093245">
        <w:rPr>
          <w:sz w:val="24"/>
          <w:lang w:val="et-EE"/>
        </w:rPr>
        <w:t xml:space="preserve">, </w:t>
      </w:r>
      <w:proofErr w:type="spellStart"/>
      <w:r w:rsidRPr="00093245">
        <w:rPr>
          <w:sz w:val="24"/>
          <w:lang w:val="et-EE"/>
        </w:rPr>
        <w:t>bifenasaadi</w:t>
      </w:r>
      <w:proofErr w:type="spellEnd"/>
      <w:r w:rsidRPr="00093245">
        <w:rPr>
          <w:sz w:val="24"/>
          <w:lang w:val="et-EE"/>
        </w:rPr>
        <w:t xml:space="preserve">, </w:t>
      </w:r>
      <w:proofErr w:type="spellStart"/>
      <w:r w:rsidRPr="00093245">
        <w:rPr>
          <w:sz w:val="24"/>
          <w:lang w:val="et-EE"/>
        </w:rPr>
        <w:t>bromoksüniili</w:t>
      </w:r>
      <w:proofErr w:type="spellEnd"/>
      <w:r w:rsidRPr="00093245">
        <w:rPr>
          <w:sz w:val="24"/>
          <w:lang w:val="et-EE"/>
        </w:rPr>
        <w:t xml:space="preserve">, </w:t>
      </w:r>
      <w:proofErr w:type="spellStart"/>
      <w:r w:rsidRPr="00093245">
        <w:rPr>
          <w:sz w:val="24"/>
          <w:lang w:val="et-EE"/>
        </w:rPr>
        <w:t>karfentrasoon</w:t>
      </w:r>
      <w:proofErr w:type="spellEnd"/>
      <w:r w:rsidRPr="00093245">
        <w:rPr>
          <w:sz w:val="24"/>
          <w:lang w:val="et-EE"/>
        </w:rPr>
        <w:t xml:space="preserve">-etüüli, </w:t>
      </w:r>
      <w:proofErr w:type="spellStart"/>
      <w:r w:rsidRPr="00093245">
        <w:rPr>
          <w:sz w:val="24"/>
          <w:lang w:val="et-EE"/>
        </w:rPr>
        <w:t>kloroprofaami</w:t>
      </w:r>
      <w:proofErr w:type="spellEnd"/>
      <w:r w:rsidRPr="00093245">
        <w:rPr>
          <w:sz w:val="24"/>
          <w:lang w:val="et-EE"/>
        </w:rPr>
        <w:t xml:space="preserve">, </w:t>
      </w:r>
      <w:proofErr w:type="spellStart"/>
      <w:r w:rsidRPr="00093245">
        <w:rPr>
          <w:sz w:val="24"/>
          <w:lang w:val="et-EE"/>
        </w:rPr>
        <w:t>tsüasofamiidi</w:t>
      </w:r>
      <w:proofErr w:type="spellEnd"/>
      <w:r w:rsidRPr="00093245">
        <w:rPr>
          <w:sz w:val="24"/>
          <w:lang w:val="et-EE"/>
        </w:rPr>
        <w:t xml:space="preserve">, </w:t>
      </w:r>
      <w:proofErr w:type="spellStart"/>
      <w:r w:rsidRPr="00093245">
        <w:rPr>
          <w:sz w:val="24"/>
          <w:lang w:val="et-EE"/>
        </w:rPr>
        <w:t>desmedifaami</w:t>
      </w:r>
      <w:proofErr w:type="spellEnd"/>
      <w:r w:rsidRPr="00093245">
        <w:rPr>
          <w:sz w:val="24"/>
          <w:lang w:val="et-EE"/>
        </w:rPr>
        <w:t xml:space="preserve">, </w:t>
      </w:r>
      <w:proofErr w:type="spellStart"/>
      <w:r w:rsidRPr="00093245">
        <w:rPr>
          <w:sz w:val="24"/>
          <w:lang w:val="et-EE"/>
        </w:rPr>
        <w:t>dikvaadi</w:t>
      </w:r>
      <w:proofErr w:type="spellEnd"/>
      <w:r w:rsidRPr="00093245">
        <w:rPr>
          <w:sz w:val="24"/>
          <w:lang w:val="et-EE"/>
        </w:rPr>
        <w:t>, DPX KE</w:t>
      </w:r>
      <w:r w:rsidR="00C71730">
        <w:rPr>
          <w:sz w:val="24"/>
          <w:lang w:val="et-EE"/>
        </w:rPr>
        <w:t> </w:t>
      </w:r>
      <w:r w:rsidRPr="00093245">
        <w:rPr>
          <w:sz w:val="24"/>
          <w:lang w:val="et-EE"/>
        </w:rPr>
        <w:t>459 (</w:t>
      </w:r>
      <w:proofErr w:type="spellStart"/>
      <w:r w:rsidRPr="00093245">
        <w:rPr>
          <w:sz w:val="24"/>
          <w:lang w:val="et-EE"/>
        </w:rPr>
        <w:t>metüülflupüürsulfurooni</w:t>
      </w:r>
      <w:proofErr w:type="spellEnd"/>
      <w:r w:rsidRPr="00093245">
        <w:rPr>
          <w:sz w:val="24"/>
          <w:lang w:val="et-EE"/>
        </w:rPr>
        <w:t xml:space="preserve">), </w:t>
      </w:r>
      <w:proofErr w:type="spellStart"/>
      <w:r w:rsidRPr="00093245">
        <w:rPr>
          <w:sz w:val="24"/>
          <w:lang w:val="et-EE"/>
        </w:rPr>
        <w:t>etoksasooli</w:t>
      </w:r>
      <w:proofErr w:type="spellEnd"/>
      <w:r w:rsidRPr="00093245">
        <w:rPr>
          <w:sz w:val="24"/>
          <w:lang w:val="et-EE"/>
        </w:rPr>
        <w:t xml:space="preserve">, </w:t>
      </w:r>
      <w:proofErr w:type="spellStart"/>
      <w:r w:rsidRPr="00093245">
        <w:rPr>
          <w:sz w:val="24"/>
          <w:lang w:val="et-EE"/>
        </w:rPr>
        <w:t>famoksadooni</w:t>
      </w:r>
      <w:proofErr w:type="spellEnd"/>
      <w:r w:rsidRPr="00093245">
        <w:rPr>
          <w:sz w:val="24"/>
          <w:lang w:val="et-EE"/>
        </w:rPr>
        <w:t xml:space="preserve">, </w:t>
      </w:r>
      <w:proofErr w:type="spellStart"/>
      <w:r w:rsidRPr="00093245">
        <w:rPr>
          <w:sz w:val="24"/>
          <w:lang w:val="et-EE"/>
        </w:rPr>
        <w:t>fenamidooni</w:t>
      </w:r>
      <w:proofErr w:type="spellEnd"/>
      <w:r w:rsidRPr="00093245">
        <w:rPr>
          <w:sz w:val="24"/>
          <w:lang w:val="et-EE"/>
        </w:rPr>
        <w:t xml:space="preserve">, </w:t>
      </w:r>
      <w:proofErr w:type="spellStart"/>
      <w:r w:rsidRPr="00093245">
        <w:rPr>
          <w:sz w:val="24"/>
          <w:lang w:val="et-EE"/>
        </w:rPr>
        <w:t>flumioksasiini</w:t>
      </w:r>
      <w:proofErr w:type="spellEnd"/>
      <w:r w:rsidRPr="00093245">
        <w:rPr>
          <w:sz w:val="24"/>
          <w:lang w:val="et-EE"/>
        </w:rPr>
        <w:t xml:space="preserve">, </w:t>
      </w:r>
      <w:proofErr w:type="spellStart"/>
      <w:r w:rsidRPr="00093245">
        <w:rPr>
          <w:sz w:val="24"/>
          <w:lang w:val="et-EE"/>
        </w:rPr>
        <w:t>foraamsulfurooni</w:t>
      </w:r>
      <w:proofErr w:type="spellEnd"/>
      <w:r w:rsidRPr="00093245">
        <w:rPr>
          <w:sz w:val="24"/>
          <w:lang w:val="et-EE"/>
        </w:rPr>
        <w:t xml:space="preserve">, </w:t>
      </w:r>
      <w:proofErr w:type="spellStart"/>
      <w:r w:rsidRPr="00093245">
        <w:rPr>
          <w:sz w:val="24"/>
          <w:lang w:val="et-EE"/>
        </w:rPr>
        <w:t>Gliocladium</w:t>
      </w:r>
      <w:proofErr w:type="spellEnd"/>
      <w:r w:rsidRPr="00093245">
        <w:rPr>
          <w:sz w:val="24"/>
          <w:lang w:val="et-EE"/>
        </w:rPr>
        <w:t xml:space="preserve"> </w:t>
      </w:r>
      <w:proofErr w:type="spellStart"/>
      <w:r w:rsidRPr="00093245">
        <w:rPr>
          <w:sz w:val="24"/>
          <w:lang w:val="et-EE"/>
        </w:rPr>
        <w:t>catenulatum'i</w:t>
      </w:r>
      <w:proofErr w:type="spellEnd"/>
      <w:r w:rsidRPr="00093245">
        <w:rPr>
          <w:sz w:val="24"/>
          <w:lang w:val="et-EE"/>
        </w:rPr>
        <w:t xml:space="preserve"> tüve</w:t>
      </w:r>
      <w:r w:rsidR="00C71730">
        <w:rPr>
          <w:sz w:val="24"/>
          <w:lang w:val="et-EE"/>
        </w:rPr>
        <w:t> </w:t>
      </w:r>
      <w:r w:rsidRPr="00093245">
        <w:rPr>
          <w:sz w:val="24"/>
          <w:lang w:val="et-EE"/>
        </w:rPr>
        <w:t xml:space="preserve">J1446, </w:t>
      </w:r>
      <w:proofErr w:type="spellStart"/>
      <w:r w:rsidRPr="00093245">
        <w:rPr>
          <w:sz w:val="24"/>
          <w:lang w:val="et-EE"/>
        </w:rPr>
        <w:t>imasamoksi</w:t>
      </w:r>
      <w:proofErr w:type="spellEnd"/>
      <w:r w:rsidRPr="00093245">
        <w:rPr>
          <w:sz w:val="24"/>
          <w:lang w:val="et-EE"/>
        </w:rPr>
        <w:t xml:space="preserve">, </w:t>
      </w:r>
      <w:proofErr w:type="spellStart"/>
      <w:r w:rsidRPr="00093245">
        <w:rPr>
          <w:sz w:val="24"/>
          <w:lang w:val="et-EE"/>
        </w:rPr>
        <w:t>imasosulfurooni</w:t>
      </w:r>
      <w:proofErr w:type="spellEnd"/>
      <w:r w:rsidRPr="00093245">
        <w:rPr>
          <w:sz w:val="24"/>
          <w:lang w:val="et-EE"/>
        </w:rPr>
        <w:t xml:space="preserve">, </w:t>
      </w:r>
      <w:proofErr w:type="spellStart"/>
      <w:r w:rsidRPr="00093245">
        <w:rPr>
          <w:sz w:val="24"/>
          <w:lang w:val="et-EE"/>
        </w:rPr>
        <w:t>isoksaflutooli</w:t>
      </w:r>
      <w:proofErr w:type="spellEnd"/>
      <w:r w:rsidRPr="00093245">
        <w:rPr>
          <w:sz w:val="24"/>
          <w:lang w:val="et-EE"/>
        </w:rPr>
        <w:t xml:space="preserve">, laminariini, </w:t>
      </w:r>
      <w:proofErr w:type="spellStart"/>
      <w:r w:rsidRPr="00093245">
        <w:rPr>
          <w:sz w:val="24"/>
          <w:lang w:val="et-EE"/>
        </w:rPr>
        <w:t>metalaksüül</w:t>
      </w:r>
      <w:proofErr w:type="spellEnd"/>
      <w:r w:rsidRPr="00093245">
        <w:rPr>
          <w:sz w:val="24"/>
          <w:lang w:val="et-EE"/>
        </w:rPr>
        <w:t xml:space="preserve">-M-i, </w:t>
      </w:r>
      <w:proofErr w:type="spellStart"/>
      <w:r w:rsidRPr="00093245">
        <w:rPr>
          <w:sz w:val="24"/>
          <w:lang w:val="et-EE"/>
        </w:rPr>
        <w:t>metoksüfenosiidi</w:t>
      </w:r>
      <w:proofErr w:type="spellEnd"/>
      <w:r w:rsidRPr="00093245">
        <w:rPr>
          <w:sz w:val="24"/>
          <w:lang w:val="et-EE"/>
        </w:rPr>
        <w:t xml:space="preserve">, </w:t>
      </w:r>
      <w:proofErr w:type="spellStart"/>
      <w:r w:rsidRPr="00093245">
        <w:rPr>
          <w:sz w:val="24"/>
          <w:lang w:val="et-EE"/>
        </w:rPr>
        <w:t>milbemektiini</w:t>
      </w:r>
      <w:proofErr w:type="spellEnd"/>
      <w:r w:rsidRPr="00093245">
        <w:rPr>
          <w:sz w:val="24"/>
          <w:lang w:val="et-EE"/>
        </w:rPr>
        <w:t xml:space="preserve">, </w:t>
      </w:r>
      <w:proofErr w:type="spellStart"/>
      <w:r w:rsidRPr="00093245">
        <w:rPr>
          <w:sz w:val="24"/>
          <w:lang w:val="et-EE"/>
        </w:rPr>
        <w:t>oksasulfurooni</w:t>
      </w:r>
      <w:proofErr w:type="spellEnd"/>
      <w:r w:rsidRPr="00093245">
        <w:rPr>
          <w:sz w:val="24"/>
          <w:lang w:val="et-EE"/>
        </w:rPr>
        <w:t xml:space="preserve">, </w:t>
      </w:r>
      <w:proofErr w:type="spellStart"/>
      <w:r w:rsidRPr="00093245">
        <w:rPr>
          <w:sz w:val="24"/>
          <w:lang w:val="et-EE"/>
        </w:rPr>
        <w:t>pendimetaliini</w:t>
      </w:r>
      <w:proofErr w:type="spellEnd"/>
      <w:r w:rsidRPr="00093245">
        <w:rPr>
          <w:sz w:val="24"/>
          <w:lang w:val="et-EE"/>
        </w:rPr>
        <w:t xml:space="preserve">, </w:t>
      </w:r>
      <w:proofErr w:type="spellStart"/>
      <w:r w:rsidRPr="00093245">
        <w:rPr>
          <w:sz w:val="24"/>
          <w:lang w:val="et-EE"/>
        </w:rPr>
        <w:t>fenmedifaami</w:t>
      </w:r>
      <w:proofErr w:type="spellEnd"/>
      <w:r w:rsidRPr="00093245">
        <w:rPr>
          <w:sz w:val="24"/>
          <w:lang w:val="et-EE"/>
        </w:rPr>
        <w:t xml:space="preserve">, </w:t>
      </w:r>
      <w:proofErr w:type="spellStart"/>
      <w:r w:rsidRPr="00093245">
        <w:rPr>
          <w:sz w:val="24"/>
          <w:lang w:val="et-EE"/>
        </w:rPr>
        <w:t>pümetrosiini</w:t>
      </w:r>
      <w:proofErr w:type="spellEnd"/>
      <w:r w:rsidRPr="00093245">
        <w:rPr>
          <w:sz w:val="24"/>
          <w:lang w:val="et-EE"/>
        </w:rPr>
        <w:t>, S</w:t>
      </w:r>
      <w:r w:rsidR="00C71730">
        <w:rPr>
          <w:sz w:val="24"/>
          <w:lang w:val="et-EE"/>
        </w:rPr>
        <w:noBreakHyphen/>
      </w:r>
      <w:proofErr w:type="spellStart"/>
      <w:r w:rsidRPr="00093245">
        <w:rPr>
          <w:sz w:val="24"/>
          <w:lang w:val="et-EE"/>
        </w:rPr>
        <w:t>metolakloori</w:t>
      </w:r>
      <w:proofErr w:type="spellEnd"/>
      <w:r w:rsidRPr="00093245">
        <w:rPr>
          <w:sz w:val="24"/>
          <w:lang w:val="et-EE"/>
        </w:rPr>
        <w:t xml:space="preserve"> ja </w:t>
      </w:r>
      <w:proofErr w:type="spellStart"/>
      <w:r w:rsidRPr="00093245">
        <w:rPr>
          <w:sz w:val="24"/>
          <w:lang w:val="et-EE"/>
        </w:rPr>
        <w:t>trifloksüstrobiini</w:t>
      </w:r>
      <w:proofErr w:type="spellEnd"/>
      <w:r w:rsidRPr="00093245">
        <w:rPr>
          <w:sz w:val="24"/>
          <w:lang w:val="et-EE"/>
        </w:rPr>
        <w:t xml:space="preserve"> heakskiidu kehtivusaja pikendamisega (ELT L 125, 18.5.2017, lk 12).</w:t>
      </w:r>
    </w:p>
  </w:footnote>
  <w:footnote w:id="15">
    <w:p w:rsidR="004C3135" w:rsidRPr="00093245" w:rsidRDefault="004C3135" w:rsidP="00576268">
      <w:pPr>
        <w:pStyle w:val="FootnoteText"/>
        <w:ind w:left="720" w:hanging="720"/>
        <w:rPr>
          <w:iCs/>
          <w:color w:val="444444"/>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Komisjoni 27.</w:t>
      </w:r>
      <w:r w:rsidR="00C71730">
        <w:rPr>
          <w:sz w:val="24"/>
          <w:lang w:val="et-EE"/>
        </w:rPr>
        <w:t> </w:t>
      </w:r>
      <w:r w:rsidRPr="00093245">
        <w:rPr>
          <w:sz w:val="24"/>
          <w:lang w:val="et-EE"/>
        </w:rPr>
        <w:t>juuni 2018.</w:t>
      </w:r>
      <w:r w:rsidR="00C71730">
        <w:rPr>
          <w:sz w:val="24"/>
          <w:lang w:val="et-EE"/>
        </w:rPr>
        <w:t> </w:t>
      </w:r>
      <w:r w:rsidRPr="00093245">
        <w:rPr>
          <w:sz w:val="24"/>
          <w:lang w:val="et-EE"/>
        </w:rPr>
        <w:t>aasta rakendusmäärus (EL)</w:t>
      </w:r>
      <w:r w:rsidR="00C71730">
        <w:rPr>
          <w:sz w:val="24"/>
          <w:lang w:val="et-EE"/>
        </w:rPr>
        <w:t> </w:t>
      </w:r>
      <w:r w:rsidRPr="00093245">
        <w:rPr>
          <w:sz w:val="24"/>
          <w:lang w:val="et-EE"/>
        </w:rPr>
        <w:t>2018/917, millega muudetakse rakendusmäärust (EL) nr 540/2011 seoses toimeainete α-</w:t>
      </w:r>
      <w:proofErr w:type="spellStart"/>
      <w:r w:rsidRPr="00093245">
        <w:rPr>
          <w:sz w:val="24"/>
          <w:lang w:val="et-EE"/>
        </w:rPr>
        <w:t>tsüpermetriini</w:t>
      </w:r>
      <w:proofErr w:type="spellEnd"/>
      <w:r w:rsidRPr="00093245">
        <w:rPr>
          <w:sz w:val="24"/>
          <w:lang w:val="et-EE"/>
        </w:rPr>
        <w:t xml:space="preserve">, </w:t>
      </w:r>
      <w:proofErr w:type="spellStart"/>
      <w:r w:rsidRPr="00093245">
        <w:rPr>
          <w:sz w:val="24"/>
          <w:lang w:val="et-EE"/>
        </w:rPr>
        <w:t>beflubutamiidi</w:t>
      </w:r>
      <w:proofErr w:type="spellEnd"/>
      <w:r w:rsidRPr="00093245">
        <w:rPr>
          <w:sz w:val="24"/>
          <w:lang w:val="et-EE"/>
        </w:rPr>
        <w:t xml:space="preserve">, </w:t>
      </w:r>
      <w:proofErr w:type="spellStart"/>
      <w:r w:rsidRPr="00093245">
        <w:rPr>
          <w:sz w:val="24"/>
          <w:lang w:val="et-EE"/>
        </w:rPr>
        <w:t>benalaksüüli</w:t>
      </w:r>
      <w:proofErr w:type="spellEnd"/>
      <w:r w:rsidRPr="00093245">
        <w:rPr>
          <w:sz w:val="24"/>
          <w:lang w:val="et-EE"/>
        </w:rPr>
        <w:t xml:space="preserve">, </w:t>
      </w:r>
      <w:proofErr w:type="spellStart"/>
      <w:r w:rsidRPr="00093245">
        <w:rPr>
          <w:sz w:val="24"/>
          <w:lang w:val="et-EE"/>
        </w:rPr>
        <w:t>bentiavalikarbi</w:t>
      </w:r>
      <w:proofErr w:type="spellEnd"/>
      <w:r w:rsidRPr="00093245">
        <w:rPr>
          <w:sz w:val="24"/>
          <w:lang w:val="et-EE"/>
        </w:rPr>
        <w:t xml:space="preserve">, </w:t>
      </w:r>
      <w:proofErr w:type="spellStart"/>
      <w:r w:rsidRPr="00093245">
        <w:rPr>
          <w:sz w:val="24"/>
          <w:lang w:val="et-EE"/>
        </w:rPr>
        <w:t>bifenasaadi</w:t>
      </w:r>
      <w:proofErr w:type="spellEnd"/>
      <w:r w:rsidRPr="00093245">
        <w:rPr>
          <w:sz w:val="24"/>
          <w:lang w:val="et-EE"/>
        </w:rPr>
        <w:t xml:space="preserve">, </w:t>
      </w:r>
      <w:proofErr w:type="spellStart"/>
      <w:r w:rsidRPr="00093245">
        <w:rPr>
          <w:sz w:val="24"/>
          <w:lang w:val="et-EE"/>
        </w:rPr>
        <w:t>boskaliidi</w:t>
      </w:r>
      <w:proofErr w:type="spellEnd"/>
      <w:r w:rsidRPr="00093245">
        <w:rPr>
          <w:sz w:val="24"/>
          <w:lang w:val="et-EE"/>
        </w:rPr>
        <w:t xml:space="preserve">, </w:t>
      </w:r>
      <w:proofErr w:type="spellStart"/>
      <w:r w:rsidRPr="00093245">
        <w:rPr>
          <w:sz w:val="24"/>
          <w:lang w:val="et-EE"/>
        </w:rPr>
        <w:t>bromoksüniili</w:t>
      </w:r>
      <w:proofErr w:type="spellEnd"/>
      <w:r w:rsidRPr="00093245">
        <w:rPr>
          <w:sz w:val="24"/>
          <w:lang w:val="et-EE"/>
        </w:rPr>
        <w:t xml:space="preserve">, </w:t>
      </w:r>
      <w:proofErr w:type="spellStart"/>
      <w:r w:rsidRPr="00093245">
        <w:rPr>
          <w:sz w:val="24"/>
          <w:lang w:val="et-EE"/>
        </w:rPr>
        <w:t>kaptaani</w:t>
      </w:r>
      <w:proofErr w:type="spellEnd"/>
      <w:r w:rsidRPr="00093245">
        <w:rPr>
          <w:sz w:val="24"/>
          <w:lang w:val="et-EE"/>
        </w:rPr>
        <w:t xml:space="preserve">, </w:t>
      </w:r>
      <w:proofErr w:type="spellStart"/>
      <w:r w:rsidRPr="00093245">
        <w:rPr>
          <w:sz w:val="24"/>
          <w:lang w:val="et-EE"/>
        </w:rPr>
        <w:t>karvooni</w:t>
      </w:r>
      <w:proofErr w:type="spellEnd"/>
      <w:r w:rsidRPr="00093245">
        <w:rPr>
          <w:sz w:val="24"/>
          <w:lang w:val="et-EE"/>
        </w:rPr>
        <w:t xml:space="preserve">, </w:t>
      </w:r>
      <w:proofErr w:type="spellStart"/>
      <w:r w:rsidRPr="00093245">
        <w:rPr>
          <w:sz w:val="24"/>
          <w:lang w:val="et-EE"/>
        </w:rPr>
        <w:t>kloroprofaami</w:t>
      </w:r>
      <w:proofErr w:type="spellEnd"/>
      <w:r w:rsidRPr="00093245">
        <w:rPr>
          <w:sz w:val="24"/>
          <w:lang w:val="et-EE"/>
        </w:rPr>
        <w:t xml:space="preserve">, </w:t>
      </w:r>
      <w:proofErr w:type="spellStart"/>
      <w:r w:rsidRPr="00093245">
        <w:rPr>
          <w:sz w:val="24"/>
          <w:lang w:val="et-EE"/>
        </w:rPr>
        <w:t>tsüasofamiidi</w:t>
      </w:r>
      <w:proofErr w:type="spellEnd"/>
      <w:r w:rsidRPr="00093245">
        <w:rPr>
          <w:sz w:val="24"/>
          <w:lang w:val="et-EE"/>
        </w:rPr>
        <w:t xml:space="preserve">, </w:t>
      </w:r>
      <w:proofErr w:type="spellStart"/>
      <w:r w:rsidRPr="00093245">
        <w:rPr>
          <w:sz w:val="24"/>
          <w:lang w:val="et-EE"/>
        </w:rPr>
        <w:t>desmedifaami</w:t>
      </w:r>
      <w:proofErr w:type="spellEnd"/>
      <w:r w:rsidRPr="00093245">
        <w:rPr>
          <w:sz w:val="24"/>
          <w:lang w:val="et-EE"/>
        </w:rPr>
        <w:t xml:space="preserve">, </w:t>
      </w:r>
      <w:proofErr w:type="spellStart"/>
      <w:r w:rsidRPr="00093245">
        <w:rPr>
          <w:sz w:val="24"/>
          <w:lang w:val="et-EE"/>
        </w:rPr>
        <w:t>dimetoaadi</w:t>
      </w:r>
      <w:proofErr w:type="spellEnd"/>
      <w:r w:rsidRPr="00093245">
        <w:rPr>
          <w:sz w:val="24"/>
          <w:lang w:val="et-EE"/>
        </w:rPr>
        <w:t xml:space="preserve">, </w:t>
      </w:r>
      <w:proofErr w:type="spellStart"/>
      <w:r w:rsidRPr="00093245">
        <w:rPr>
          <w:sz w:val="24"/>
          <w:lang w:val="et-EE"/>
        </w:rPr>
        <w:t>dimetomorfi</w:t>
      </w:r>
      <w:proofErr w:type="spellEnd"/>
      <w:r w:rsidRPr="00093245">
        <w:rPr>
          <w:sz w:val="24"/>
          <w:lang w:val="et-EE"/>
        </w:rPr>
        <w:t xml:space="preserve">, </w:t>
      </w:r>
      <w:proofErr w:type="spellStart"/>
      <w:r w:rsidRPr="00093245">
        <w:rPr>
          <w:sz w:val="24"/>
          <w:lang w:val="et-EE"/>
        </w:rPr>
        <w:t>dikvaadi</w:t>
      </w:r>
      <w:proofErr w:type="spellEnd"/>
      <w:r w:rsidRPr="00093245">
        <w:rPr>
          <w:sz w:val="24"/>
          <w:lang w:val="et-EE"/>
        </w:rPr>
        <w:t xml:space="preserve">, </w:t>
      </w:r>
      <w:proofErr w:type="spellStart"/>
      <w:r w:rsidRPr="00093245">
        <w:rPr>
          <w:sz w:val="24"/>
          <w:lang w:val="et-EE"/>
        </w:rPr>
        <w:t>etefooni</w:t>
      </w:r>
      <w:proofErr w:type="spellEnd"/>
      <w:r w:rsidRPr="00093245">
        <w:rPr>
          <w:sz w:val="24"/>
          <w:lang w:val="et-EE"/>
        </w:rPr>
        <w:t xml:space="preserve">, </w:t>
      </w:r>
      <w:proofErr w:type="spellStart"/>
      <w:r w:rsidRPr="00093245">
        <w:rPr>
          <w:sz w:val="24"/>
          <w:lang w:val="et-EE"/>
        </w:rPr>
        <w:t>etoprofossi</w:t>
      </w:r>
      <w:proofErr w:type="spellEnd"/>
      <w:r w:rsidRPr="00093245">
        <w:rPr>
          <w:sz w:val="24"/>
          <w:lang w:val="et-EE"/>
        </w:rPr>
        <w:t xml:space="preserve">, </w:t>
      </w:r>
      <w:proofErr w:type="spellStart"/>
      <w:r w:rsidRPr="00093245">
        <w:rPr>
          <w:sz w:val="24"/>
          <w:lang w:val="et-EE"/>
        </w:rPr>
        <w:t>etoksasooli</w:t>
      </w:r>
      <w:proofErr w:type="spellEnd"/>
      <w:r w:rsidRPr="00093245">
        <w:rPr>
          <w:sz w:val="24"/>
          <w:lang w:val="et-EE"/>
        </w:rPr>
        <w:t xml:space="preserve">, </w:t>
      </w:r>
      <w:proofErr w:type="spellStart"/>
      <w:r w:rsidRPr="00093245">
        <w:rPr>
          <w:sz w:val="24"/>
          <w:lang w:val="et-EE"/>
        </w:rPr>
        <w:t>famoksadooni</w:t>
      </w:r>
      <w:proofErr w:type="spellEnd"/>
      <w:r w:rsidRPr="00093245">
        <w:rPr>
          <w:sz w:val="24"/>
          <w:lang w:val="et-EE"/>
        </w:rPr>
        <w:t xml:space="preserve">, </w:t>
      </w:r>
      <w:proofErr w:type="spellStart"/>
      <w:r w:rsidRPr="00093245">
        <w:rPr>
          <w:sz w:val="24"/>
          <w:lang w:val="et-EE"/>
        </w:rPr>
        <w:t>fenamidooni</w:t>
      </w:r>
      <w:proofErr w:type="spellEnd"/>
      <w:r w:rsidRPr="00093245">
        <w:rPr>
          <w:sz w:val="24"/>
          <w:lang w:val="et-EE"/>
        </w:rPr>
        <w:t xml:space="preserve">, </w:t>
      </w:r>
      <w:proofErr w:type="spellStart"/>
      <w:r w:rsidRPr="00093245">
        <w:rPr>
          <w:sz w:val="24"/>
          <w:lang w:val="et-EE"/>
        </w:rPr>
        <w:t>fenamifossi</w:t>
      </w:r>
      <w:proofErr w:type="spellEnd"/>
      <w:r w:rsidRPr="00093245">
        <w:rPr>
          <w:sz w:val="24"/>
          <w:lang w:val="et-EE"/>
        </w:rPr>
        <w:t xml:space="preserve">, </w:t>
      </w:r>
      <w:proofErr w:type="spellStart"/>
      <w:r w:rsidRPr="00093245">
        <w:rPr>
          <w:sz w:val="24"/>
          <w:lang w:val="et-EE"/>
        </w:rPr>
        <w:t>flumioksasiini</w:t>
      </w:r>
      <w:proofErr w:type="spellEnd"/>
      <w:r w:rsidRPr="00093245">
        <w:rPr>
          <w:sz w:val="24"/>
          <w:lang w:val="et-EE"/>
        </w:rPr>
        <w:t xml:space="preserve">, </w:t>
      </w:r>
      <w:proofErr w:type="spellStart"/>
      <w:r w:rsidRPr="00093245">
        <w:rPr>
          <w:sz w:val="24"/>
          <w:lang w:val="et-EE"/>
        </w:rPr>
        <w:t>fluoksastrobiini</w:t>
      </w:r>
      <w:proofErr w:type="spellEnd"/>
      <w:r w:rsidRPr="00093245">
        <w:rPr>
          <w:sz w:val="24"/>
          <w:lang w:val="et-EE"/>
        </w:rPr>
        <w:t xml:space="preserve">, </w:t>
      </w:r>
      <w:proofErr w:type="spellStart"/>
      <w:r w:rsidRPr="00093245">
        <w:rPr>
          <w:sz w:val="24"/>
          <w:lang w:val="et-EE"/>
        </w:rPr>
        <w:t>folpeedi</w:t>
      </w:r>
      <w:proofErr w:type="spellEnd"/>
      <w:r w:rsidRPr="00093245">
        <w:rPr>
          <w:sz w:val="24"/>
          <w:lang w:val="et-EE"/>
        </w:rPr>
        <w:t xml:space="preserve">, </w:t>
      </w:r>
      <w:proofErr w:type="spellStart"/>
      <w:r w:rsidRPr="00093245">
        <w:rPr>
          <w:sz w:val="24"/>
          <w:lang w:val="et-EE"/>
        </w:rPr>
        <w:t>foraamsulfurooni</w:t>
      </w:r>
      <w:proofErr w:type="spellEnd"/>
      <w:r w:rsidRPr="00093245">
        <w:rPr>
          <w:sz w:val="24"/>
          <w:lang w:val="et-EE"/>
        </w:rPr>
        <w:t xml:space="preserve">, </w:t>
      </w:r>
      <w:proofErr w:type="spellStart"/>
      <w:r w:rsidRPr="00093245">
        <w:rPr>
          <w:sz w:val="24"/>
          <w:lang w:val="et-EE"/>
        </w:rPr>
        <w:t>formetanaadi</w:t>
      </w:r>
      <w:proofErr w:type="spellEnd"/>
      <w:r w:rsidRPr="00093245">
        <w:rPr>
          <w:sz w:val="24"/>
          <w:lang w:val="et-EE"/>
        </w:rPr>
        <w:t xml:space="preserve">, </w:t>
      </w:r>
      <w:proofErr w:type="spellStart"/>
      <w:r w:rsidRPr="00093245">
        <w:rPr>
          <w:sz w:val="24"/>
          <w:lang w:val="et-EE"/>
        </w:rPr>
        <w:t>Gliocladium</w:t>
      </w:r>
      <w:proofErr w:type="spellEnd"/>
      <w:r w:rsidRPr="00093245">
        <w:rPr>
          <w:sz w:val="24"/>
          <w:lang w:val="et-EE"/>
        </w:rPr>
        <w:t xml:space="preserve"> </w:t>
      </w:r>
      <w:proofErr w:type="spellStart"/>
      <w:r w:rsidRPr="00093245">
        <w:rPr>
          <w:sz w:val="24"/>
          <w:lang w:val="et-EE"/>
        </w:rPr>
        <w:t>catenulatum'i</w:t>
      </w:r>
      <w:proofErr w:type="spellEnd"/>
      <w:r w:rsidRPr="00093245">
        <w:rPr>
          <w:sz w:val="24"/>
          <w:lang w:val="et-EE"/>
        </w:rPr>
        <w:t xml:space="preserve"> tüve J1446, </w:t>
      </w:r>
      <w:proofErr w:type="spellStart"/>
      <w:r w:rsidRPr="00093245">
        <w:rPr>
          <w:sz w:val="24"/>
          <w:lang w:val="et-EE"/>
        </w:rPr>
        <w:t>isoksaflutooli</w:t>
      </w:r>
      <w:proofErr w:type="spellEnd"/>
      <w:r w:rsidRPr="00093245">
        <w:rPr>
          <w:sz w:val="24"/>
          <w:lang w:val="et-EE"/>
        </w:rPr>
        <w:t xml:space="preserve">, </w:t>
      </w:r>
      <w:proofErr w:type="spellStart"/>
      <w:r w:rsidRPr="00093245">
        <w:rPr>
          <w:sz w:val="24"/>
          <w:lang w:val="et-EE"/>
        </w:rPr>
        <w:t>metalaksüül</w:t>
      </w:r>
      <w:proofErr w:type="spellEnd"/>
      <w:r w:rsidR="00C71730">
        <w:rPr>
          <w:sz w:val="24"/>
          <w:lang w:val="et-EE"/>
        </w:rPr>
        <w:noBreakHyphen/>
      </w:r>
      <w:r w:rsidRPr="00093245">
        <w:rPr>
          <w:sz w:val="24"/>
          <w:lang w:val="et-EE"/>
        </w:rPr>
        <w:t>M</w:t>
      </w:r>
      <w:r w:rsidR="00C71730">
        <w:rPr>
          <w:sz w:val="24"/>
          <w:lang w:val="et-EE"/>
        </w:rPr>
        <w:noBreakHyphen/>
      </w:r>
      <w:r w:rsidRPr="00093245">
        <w:rPr>
          <w:sz w:val="24"/>
          <w:lang w:val="et-EE"/>
        </w:rPr>
        <w:t xml:space="preserve">i, </w:t>
      </w:r>
      <w:proofErr w:type="spellStart"/>
      <w:r w:rsidRPr="00093245">
        <w:rPr>
          <w:sz w:val="24"/>
          <w:lang w:val="et-EE"/>
        </w:rPr>
        <w:t>metiokarbi</w:t>
      </w:r>
      <w:proofErr w:type="spellEnd"/>
      <w:r w:rsidRPr="00093245">
        <w:rPr>
          <w:sz w:val="24"/>
          <w:lang w:val="et-EE"/>
        </w:rPr>
        <w:t xml:space="preserve">, </w:t>
      </w:r>
      <w:proofErr w:type="spellStart"/>
      <w:r w:rsidRPr="00093245">
        <w:rPr>
          <w:sz w:val="24"/>
          <w:lang w:val="et-EE"/>
        </w:rPr>
        <w:t>metoksüfenosiidi</w:t>
      </w:r>
      <w:proofErr w:type="spellEnd"/>
      <w:r w:rsidRPr="00093245">
        <w:rPr>
          <w:sz w:val="24"/>
          <w:lang w:val="et-EE"/>
        </w:rPr>
        <w:t xml:space="preserve">, </w:t>
      </w:r>
      <w:proofErr w:type="spellStart"/>
      <w:r w:rsidRPr="00093245">
        <w:rPr>
          <w:sz w:val="24"/>
          <w:lang w:val="et-EE"/>
        </w:rPr>
        <w:t>metribusiini</w:t>
      </w:r>
      <w:proofErr w:type="spellEnd"/>
      <w:r w:rsidRPr="00093245">
        <w:rPr>
          <w:sz w:val="24"/>
          <w:lang w:val="et-EE"/>
        </w:rPr>
        <w:t xml:space="preserve">, </w:t>
      </w:r>
      <w:proofErr w:type="spellStart"/>
      <w:r w:rsidRPr="00093245">
        <w:rPr>
          <w:sz w:val="24"/>
          <w:lang w:val="et-EE"/>
        </w:rPr>
        <w:t>milbemektiini</w:t>
      </w:r>
      <w:proofErr w:type="spellEnd"/>
      <w:r w:rsidRPr="00093245">
        <w:rPr>
          <w:sz w:val="24"/>
          <w:lang w:val="et-EE"/>
        </w:rPr>
        <w:t xml:space="preserve">, </w:t>
      </w:r>
      <w:proofErr w:type="spellStart"/>
      <w:r w:rsidRPr="00093245">
        <w:rPr>
          <w:sz w:val="24"/>
          <w:lang w:val="et-EE"/>
        </w:rPr>
        <w:t>oksasulfurooni</w:t>
      </w:r>
      <w:proofErr w:type="spellEnd"/>
      <w:r w:rsidRPr="00093245">
        <w:rPr>
          <w:sz w:val="24"/>
          <w:lang w:val="et-EE"/>
        </w:rPr>
        <w:t xml:space="preserve">, </w:t>
      </w:r>
      <w:proofErr w:type="spellStart"/>
      <w:r w:rsidRPr="00093245">
        <w:rPr>
          <w:sz w:val="24"/>
          <w:lang w:val="et-EE"/>
        </w:rPr>
        <w:t>Paecilomyces</w:t>
      </w:r>
      <w:proofErr w:type="spellEnd"/>
      <w:r w:rsidRPr="00093245">
        <w:rPr>
          <w:sz w:val="24"/>
          <w:lang w:val="et-EE"/>
        </w:rPr>
        <w:t xml:space="preserve"> </w:t>
      </w:r>
      <w:proofErr w:type="spellStart"/>
      <w:r w:rsidRPr="00093245">
        <w:rPr>
          <w:sz w:val="24"/>
          <w:lang w:val="et-EE"/>
        </w:rPr>
        <w:t>lilacinus'e</w:t>
      </w:r>
      <w:proofErr w:type="spellEnd"/>
      <w:r w:rsidRPr="00093245">
        <w:rPr>
          <w:sz w:val="24"/>
          <w:lang w:val="et-EE"/>
        </w:rPr>
        <w:t xml:space="preserve"> tüve 251, </w:t>
      </w:r>
      <w:proofErr w:type="spellStart"/>
      <w:r w:rsidRPr="00093245">
        <w:rPr>
          <w:sz w:val="24"/>
          <w:lang w:val="et-EE"/>
        </w:rPr>
        <w:t>fenmedifaami</w:t>
      </w:r>
      <w:proofErr w:type="spellEnd"/>
      <w:r w:rsidRPr="00093245">
        <w:rPr>
          <w:sz w:val="24"/>
          <w:lang w:val="et-EE"/>
        </w:rPr>
        <w:t xml:space="preserve">, </w:t>
      </w:r>
      <w:proofErr w:type="spellStart"/>
      <w:r w:rsidRPr="00093245">
        <w:rPr>
          <w:sz w:val="24"/>
          <w:lang w:val="et-EE"/>
        </w:rPr>
        <w:t>fosmeedi</w:t>
      </w:r>
      <w:proofErr w:type="spellEnd"/>
      <w:r w:rsidRPr="00093245">
        <w:rPr>
          <w:sz w:val="24"/>
          <w:lang w:val="et-EE"/>
        </w:rPr>
        <w:t xml:space="preserve">, </w:t>
      </w:r>
      <w:proofErr w:type="spellStart"/>
      <w:r w:rsidRPr="00093245">
        <w:rPr>
          <w:sz w:val="24"/>
          <w:lang w:val="et-EE"/>
        </w:rPr>
        <w:t>metüülpirimifossi</w:t>
      </w:r>
      <w:proofErr w:type="spellEnd"/>
      <w:r w:rsidRPr="00093245">
        <w:rPr>
          <w:sz w:val="24"/>
          <w:lang w:val="et-EE"/>
        </w:rPr>
        <w:t xml:space="preserve">, </w:t>
      </w:r>
      <w:proofErr w:type="spellStart"/>
      <w:r w:rsidRPr="00093245">
        <w:rPr>
          <w:sz w:val="24"/>
          <w:lang w:val="et-EE"/>
        </w:rPr>
        <w:t>propamokarbi</w:t>
      </w:r>
      <w:proofErr w:type="spellEnd"/>
      <w:r w:rsidRPr="00093245">
        <w:rPr>
          <w:sz w:val="24"/>
          <w:lang w:val="et-EE"/>
        </w:rPr>
        <w:t xml:space="preserve">, </w:t>
      </w:r>
      <w:proofErr w:type="spellStart"/>
      <w:r w:rsidRPr="00093245">
        <w:rPr>
          <w:sz w:val="24"/>
          <w:lang w:val="et-EE"/>
        </w:rPr>
        <w:t>protiokonasooli</w:t>
      </w:r>
      <w:proofErr w:type="spellEnd"/>
      <w:r w:rsidRPr="00093245">
        <w:rPr>
          <w:sz w:val="24"/>
          <w:lang w:val="et-EE"/>
        </w:rPr>
        <w:t xml:space="preserve">, </w:t>
      </w:r>
      <w:proofErr w:type="spellStart"/>
      <w:r w:rsidRPr="00093245">
        <w:rPr>
          <w:sz w:val="24"/>
          <w:lang w:val="et-EE"/>
        </w:rPr>
        <w:t>pümetrosiini</w:t>
      </w:r>
      <w:proofErr w:type="spellEnd"/>
      <w:r w:rsidRPr="00093245">
        <w:rPr>
          <w:sz w:val="24"/>
          <w:lang w:val="et-EE"/>
        </w:rPr>
        <w:t xml:space="preserve"> ja S-</w:t>
      </w:r>
      <w:proofErr w:type="spellStart"/>
      <w:r w:rsidRPr="00093245">
        <w:rPr>
          <w:sz w:val="24"/>
          <w:lang w:val="et-EE"/>
        </w:rPr>
        <w:t>metolakloori</w:t>
      </w:r>
      <w:proofErr w:type="spellEnd"/>
      <w:r w:rsidRPr="00093245">
        <w:rPr>
          <w:sz w:val="24"/>
          <w:lang w:val="et-EE"/>
        </w:rPr>
        <w:t xml:space="preserve"> heakskiidu kehtivusaja pikendamisega (ELT L 163, 28.6.2018, lk 13).</w:t>
      </w:r>
    </w:p>
  </w:footnote>
  <w:footnote w:id="16">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Euroopa Parlamendi ja nõukogu 16. detsembri 2008. aasta määrus (EÜ) nr 1272/2008, mis käsitleb ainete ja segude klassifitseerimist, märgistamist ja pakendamist ning millega muudetakse direktiive 67/548/EMÜ ja 1999/45/EÜ ja tunnistatakse need kehtetuks ning muudetakse määrust (EÜ) nr 1907/</w:t>
      </w:r>
      <w:r w:rsidR="00C71730">
        <w:rPr>
          <w:sz w:val="24"/>
          <w:lang w:val="et-EE"/>
        </w:rPr>
        <w:t>2006 (ELT L 353, 31.12.2008, lk </w:t>
      </w:r>
      <w:r w:rsidRPr="00093245">
        <w:rPr>
          <w:sz w:val="24"/>
          <w:lang w:val="et-EE"/>
        </w:rPr>
        <w:t>1).</w:t>
      </w:r>
    </w:p>
  </w:footnote>
  <w:footnote w:id="17">
    <w:p w:rsidR="00493C20" w:rsidRPr="00093245" w:rsidRDefault="00493C20" w:rsidP="00493C20">
      <w:pPr>
        <w:pStyle w:val="FootnoteText"/>
        <w:ind w:left="720" w:hanging="720"/>
        <w:rPr>
          <w:i/>
          <w:sz w:val="24"/>
          <w:lang w:val="et-EE"/>
        </w:rPr>
      </w:pPr>
      <w:r w:rsidRPr="00093245">
        <w:rPr>
          <w:rStyle w:val="FootnoteReference"/>
          <w:sz w:val="24"/>
          <w:lang w:val="et-EE"/>
        </w:rPr>
        <w:footnoteRef/>
      </w:r>
      <w:r w:rsidRPr="00093245">
        <w:rPr>
          <w:sz w:val="24"/>
          <w:lang w:val="et-EE"/>
        </w:rPr>
        <w:t xml:space="preserve"> </w:t>
      </w:r>
      <w:r w:rsidRPr="00093245">
        <w:rPr>
          <w:sz w:val="24"/>
          <w:lang w:val="et-EE"/>
        </w:rPr>
        <w:tab/>
      </w:r>
      <w:r w:rsidRPr="00093245">
        <w:rPr>
          <w:sz w:val="24"/>
          <w:lang w:val="et-EE"/>
        </w:rPr>
        <w:t>Euroopa Parlamendi ja nõukogu 23. veebruari 2005. aasta määrus (EÜ) nr 396/2005 taimses ja loomses toidus ja söödas või nende pinnal esinevate pestitsiidide jääkide piirnormide ja nõukogu direktiivi 91/414/EMÜ muutmise kohta (ELT L 70, 16.3.2005, lk 1).</w:t>
      </w:r>
    </w:p>
  </w:footnote>
  <w:footnote w:id="18">
    <w:p w:rsidR="004C3135" w:rsidRPr="00093245" w:rsidRDefault="004C3135" w:rsidP="00576268">
      <w:pPr>
        <w:pStyle w:val="FootnoteText"/>
        <w:ind w:left="720" w:hanging="720"/>
        <w:rPr>
          <w:sz w:val="24"/>
          <w:lang w:val="et-EE"/>
        </w:rPr>
      </w:pPr>
      <w:r w:rsidRPr="00093245">
        <w:rPr>
          <w:rStyle w:val="FootnoteReference"/>
          <w:sz w:val="24"/>
          <w:lang w:val="et-EE"/>
        </w:rPr>
        <w:footnoteRef/>
      </w:r>
      <w:r w:rsidR="00093245" w:rsidRPr="00093245">
        <w:rPr>
          <w:sz w:val="24"/>
          <w:lang w:val="et-EE"/>
        </w:rPr>
        <w:t xml:space="preserve"> </w:t>
      </w:r>
      <w:r w:rsidR="00093245" w:rsidRPr="00093245">
        <w:rPr>
          <w:sz w:val="24"/>
          <w:lang w:val="et-EE"/>
        </w:rPr>
        <w:tab/>
      </w:r>
      <w:r w:rsidRPr="00093245">
        <w:rPr>
          <w:sz w:val="24"/>
          <w:lang w:val="et-EE"/>
        </w:rPr>
        <w:t>TK 21501-32 nr. 1176.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Header"/>
      <w:rPr>
        <w:lang w:val="et-E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5" w:rsidRPr="00093245" w:rsidRDefault="00093245">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9-0103/2019"/>
    <w:docVar w:name="dvlangue" w:val="ET"/>
    <w:docVar w:name="dvnumam" w:val="0"/>
    <w:docVar w:name="dvpe" w:val="637.842"/>
    <w:docVar w:name="dvtitre" w:val="Euroopa Parlamendi .... 2019. aasta resolutsioon komisjoni 7. mai 2019. aasta rakendusmääruse (EL) 2019/707 kohta, millega muudetakse rakendusmäärust (EL) nr 540/2011 seoses toimeainete α-tsüpermetriini, beflubutamiidi, benalaksüüli, bentiavalikarbi, bifenasaadi, boskaliidi, bromoksüniili, kaptaani, tsüasofamiidi, desmedifaami, dimetoaadi, dimetomorfi, diurooni, etefooni, etoksasooli, famoksadooni, fenamifossi, flumioksasiini, fluoksastrobiini, folpeedi, foraamsulfurooni, formetanaadi, metalaksüül-M-i, metiokarbi, metribusiini, milbemektiini, Paecilomyces lilacinus'e tüve 251, fenmedifaami, fosmeedi, metüülpirimifossi, propamokarbi, protiokonasooli, S-metolakloori ja tebukonasooli heakskiidu kehtivusaja pikendamisega(2019/2825(RSP))"/>
  </w:docVars>
  <w:rsids>
    <w:rsidRoot w:val="002221AB"/>
    <w:rsid w:val="00002272"/>
    <w:rsid w:val="000677B9"/>
    <w:rsid w:val="00093245"/>
    <w:rsid w:val="000940CA"/>
    <w:rsid w:val="000E7DD9"/>
    <w:rsid w:val="0010095E"/>
    <w:rsid w:val="00125B37"/>
    <w:rsid w:val="002221AB"/>
    <w:rsid w:val="002767FF"/>
    <w:rsid w:val="002B5493"/>
    <w:rsid w:val="00342A6F"/>
    <w:rsid w:val="00361C00"/>
    <w:rsid w:val="00395FA1"/>
    <w:rsid w:val="003E15D4"/>
    <w:rsid w:val="00411CCE"/>
    <w:rsid w:val="0041666E"/>
    <w:rsid w:val="00421060"/>
    <w:rsid w:val="00434A4B"/>
    <w:rsid w:val="00493C20"/>
    <w:rsid w:val="00494A28"/>
    <w:rsid w:val="004C3135"/>
    <w:rsid w:val="0050519A"/>
    <w:rsid w:val="005072A1"/>
    <w:rsid w:val="00514517"/>
    <w:rsid w:val="00576268"/>
    <w:rsid w:val="006037C0"/>
    <w:rsid w:val="00604F1A"/>
    <w:rsid w:val="006556F5"/>
    <w:rsid w:val="00680577"/>
    <w:rsid w:val="006F74FA"/>
    <w:rsid w:val="00731ADD"/>
    <w:rsid w:val="00734777"/>
    <w:rsid w:val="00751A4A"/>
    <w:rsid w:val="00756632"/>
    <w:rsid w:val="007D1690"/>
    <w:rsid w:val="00865F67"/>
    <w:rsid w:val="00881A7B"/>
    <w:rsid w:val="008840E5"/>
    <w:rsid w:val="008C2AC6"/>
    <w:rsid w:val="009509D8"/>
    <w:rsid w:val="00955BB8"/>
    <w:rsid w:val="00981893"/>
    <w:rsid w:val="00A4678D"/>
    <w:rsid w:val="00AD6FB9"/>
    <w:rsid w:val="00AF3B82"/>
    <w:rsid w:val="00B558F0"/>
    <w:rsid w:val="00BC0E7C"/>
    <w:rsid w:val="00BD7BD8"/>
    <w:rsid w:val="00C00A04"/>
    <w:rsid w:val="00C04F6B"/>
    <w:rsid w:val="00C05BFE"/>
    <w:rsid w:val="00C23CD4"/>
    <w:rsid w:val="00C71730"/>
    <w:rsid w:val="00C941CB"/>
    <w:rsid w:val="00C942DC"/>
    <w:rsid w:val="00CC2357"/>
    <w:rsid w:val="00CC7C71"/>
    <w:rsid w:val="00CD51ED"/>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C0B165"/>
  <w15:chartTrackingRefBased/>
  <w15:docId w15:val="{775B434A-56F4-455B-A82E-15D4AA35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NoSpacing">
    <w:name w:val="No Spacing"/>
    <w:basedOn w:val="Normal"/>
    <w:uiPriority w:val="1"/>
    <w:qFormat/>
    <w:rsid w:val="004C3135"/>
    <w:pPr>
      <w:widowControl/>
      <w:jc w:val="both"/>
    </w:pPr>
    <w:rPr>
      <w:rFonts w:eastAsia="Calibri"/>
      <w:szCs w:val="32"/>
      <w:lang w:eastAsia="en-US"/>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10484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HIRV Joel</cp:lastModifiedBy>
  <cp:revision>2</cp:revision>
  <cp:lastPrinted>2004-11-19T15:42:00Z</cp:lastPrinted>
  <dcterms:created xsi:type="dcterms:W3CDTF">2020-05-18T15:20:00Z</dcterms:created>
  <dcterms:modified xsi:type="dcterms:W3CDTF">2020-05-18T15:20:00Z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P9_TA-PROV(2019)0026_</vt:lpwstr>
  </property>
  <property fmtid="{D5CDD505-2E9C-101B-9397-08002B2CF9AE}" pid="4" name="&lt;Type&gt;">
    <vt:lpwstr>RR</vt:lpwstr>
  </property>
</Properties>
</file>