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AD17D5" w:rsidRPr="009231F9">
        <w:trPr>
          <w:trHeight w:hRule="exact" w:val="1417"/>
          <w:jc w:val="center"/>
        </w:trPr>
        <w:tc>
          <w:tcPr>
            <w:tcW w:w="6804" w:type="dxa"/>
            <w:vAlign w:val="center"/>
          </w:tcPr>
          <w:p w:rsidR="00AD17D5" w:rsidRPr="009231F9" w:rsidRDefault="00A77B3E">
            <w:pPr>
              <w:pStyle w:val="EPName"/>
              <w:rPr>
                <w:lang w:val="da-DK"/>
              </w:rPr>
            </w:pPr>
            <w:r w:rsidRPr="009231F9">
              <w:rPr>
                <w:lang w:val="da-DK"/>
              </w:rPr>
              <w:t>Europa-Parlamentet</w:t>
            </w:r>
          </w:p>
          <w:p w:rsidR="00AD17D5" w:rsidRPr="009231F9" w:rsidRDefault="009231F9">
            <w:pPr>
              <w:pStyle w:val="EPTerm"/>
              <w:rPr>
                <w:lang w:val="da-DK"/>
              </w:rPr>
            </w:pPr>
            <w:r w:rsidRPr="009231F9">
              <w:rPr>
                <w:lang w:val="da-DK"/>
              </w:rPr>
              <w:t>2019-2024</w:t>
            </w:r>
          </w:p>
        </w:tc>
        <w:tc>
          <w:tcPr>
            <w:tcW w:w="2268" w:type="dxa"/>
          </w:tcPr>
          <w:p w:rsidR="00AD17D5" w:rsidRPr="009231F9" w:rsidRDefault="009231F9">
            <w:pPr>
              <w:pStyle w:val="EPLogo"/>
              <w:rPr>
                <w:lang w:val="da-DK"/>
              </w:rPr>
            </w:pPr>
            <w:r w:rsidRPr="009231F9">
              <w:rPr>
                <w:noProof/>
                <w:lang w:val="da-DK"/>
              </w:rPr>
              <w:drawing>
                <wp:inline distT="0" distB="0" distL="0" distR="0">
                  <wp:extent cx="1162812" cy="647954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909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7D5" w:rsidRPr="009231F9" w:rsidRDefault="00AD17D5">
      <w:pPr>
        <w:pStyle w:val="LineTop"/>
        <w:rPr>
          <w:lang w:val="da-DK"/>
        </w:rPr>
      </w:pPr>
    </w:p>
    <w:p w:rsidR="00AD17D5" w:rsidRPr="009231F9" w:rsidRDefault="009231F9">
      <w:pPr>
        <w:pStyle w:val="EPBody"/>
        <w:rPr>
          <w:lang w:val="da-DK"/>
        </w:rPr>
      </w:pPr>
      <w:r w:rsidRPr="009231F9">
        <w:rPr>
          <w:rStyle w:val="HideTWBExt"/>
          <w:lang w:val="da-DK"/>
        </w:rPr>
        <w:t>&lt;Commission&gt;</w:t>
      </w:r>
      <w:r w:rsidRPr="009231F9">
        <w:rPr>
          <w:rStyle w:val="HideTWBInt"/>
          <w:lang w:val="da-DK"/>
        </w:rPr>
        <w:t>{TRAN}</w:t>
      </w:r>
      <w:r w:rsidRPr="009231F9">
        <w:rPr>
          <w:lang w:val="da-DK"/>
        </w:rPr>
        <w:t>Transport- og Turismeudvalget</w:t>
      </w:r>
      <w:r w:rsidRPr="009231F9">
        <w:rPr>
          <w:rStyle w:val="HideTWBExt"/>
          <w:lang w:val="da-DK"/>
        </w:rPr>
        <w:t>&lt;/Commission&gt;</w:t>
      </w:r>
    </w:p>
    <w:p w:rsidR="00AD17D5" w:rsidRPr="009231F9" w:rsidRDefault="00AD17D5">
      <w:pPr>
        <w:pStyle w:val="LineBottom"/>
        <w:rPr>
          <w:lang w:val="da-DK"/>
        </w:rPr>
      </w:pPr>
    </w:p>
    <w:p w:rsidR="00AD17D5" w:rsidRPr="009231F9" w:rsidRDefault="009231F9">
      <w:pPr>
        <w:pStyle w:val="CoverReference"/>
        <w:rPr>
          <w:lang w:val="da-DK"/>
        </w:rPr>
      </w:pPr>
      <w:r w:rsidRPr="009231F9">
        <w:rPr>
          <w:rStyle w:val="HideTWBExt"/>
          <w:lang w:val="da-DK"/>
        </w:rPr>
        <w:t>&lt;RefProc&gt;</w:t>
      </w:r>
      <w:r w:rsidRPr="009231F9">
        <w:rPr>
          <w:lang w:val="da-DK"/>
        </w:rPr>
        <w:t>2019/2081</w:t>
      </w:r>
      <w:r w:rsidRPr="009231F9">
        <w:rPr>
          <w:rStyle w:val="HideTWBExt"/>
          <w:lang w:val="da-DK"/>
        </w:rPr>
        <w:t>&lt;/RefProc&gt;&lt;RefTypeProc&gt;</w:t>
      </w:r>
      <w:r w:rsidRPr="009231F9">
        <w:rPr>
          <w:lang w:val="da-DK"/>
        </w:rPr>
        <w:t>(DEC)</w:t>
      </w:r>
      <w:r w:rsidRPr="009231F9">
        <w:rPr>
          <w:rStyle w:val="HideTWBExt"/>
          <w:lang w:val="da-DK"/>
        </w:rPr>
        <w:t>&lt;/RefTypeProc&gt;</w:t>
      </w:r>
    </w:p>
    <w:p w:rsidR="00AD17D5" w:rsidRPr="009231F9" w:rsidRDefault="009231F9">
      <w:pPr>
        <w:pStyle w:val="CoverDate"/>
        <w:rPr>
          <w:lang w:val="da-DK"/>
        </w:rPr>
      </w:pPr>
      <w:r w:rsidRPr="009231F9">
        <w:rPr>
          <w:rStyle w:val="HideTWBExt"/>
          <w:lang w:val="da-DK"/>
        </w:rPr>
        <w:t>&lt;Date&gt;</w:t>
      </w:r>
      <w:r w:rsidRPr="009231F9">
        <w:rPr>
          <w:rStyle w:val="HideTWBInt"/>
          <w:lang w:val="da-DK"/>
        </w:rPr>
        <w:t>{16/12/2019}</w:t>
      </w:r>
      <w:r w:rsidRPr="009231F9">
        <w:rPr>
          <w:lang w:val="da-DK"/>
        </w:rPr>
        <w:t>16.12.2019</w:t>
      </w:r>
      <w:r w:rsidRPr="009231F9">
        <w:rPr>
          <w:rStyle w:val="HideTWBExt"/>
          <w:lang w:val="da-DK"/>
        </w:rPr>
        <w:t>&lt;/Date&gt;</w:t>
      </w:r>
    </w:p>
    <w:p w:rsidR="00AD17D5" w:rsidRPr="009231F9" w:rsidRDefault="009231F9">
      <w:pPr>
        <w:pStyle w:val="CoverDocType"/>
        <w:rPr>
          <w:lang w:val="da-DK"/>
        </w:rPr>
      </w:pPr>
      <w:r w:rsidRPr="009231F9">
        <w:rPr>
          <w:rStyle w:val="HideTWBExt"/>
          <w:lang w:val="da-DK"/>
        </w:rPr>
        <w:t>&lt;TypeAM&gt;</w:t>
      </w:r>
      <w:r w:rsidRPr="009231F9">
        <w:rPr>
          <w:lang w:val="da-DK"/>
        </w:rPr>
        <w:t>ÆNDRINGSFORSLAG</w:t>
      </w:r>
      <w:r w:rsidRPr="009231F9">
        <w:rPr>
          <w:rStyle w:val="HideTWBExt"/>
          <w:lang w:val="da-DK"/>
        </w:rPr>
        <w:t>&lt;/TypeAM&gt;</w:t>
      </w:r>
    </w:p>
    <w:p w:rsidR="00AD17D5" w:rsidRPr="009231F9" w:rsidRDefault="009231F9">
      <w:pPr>
        <w:pStyle w:val="CoverDocType24a"/>
        <w:rPr>
          <w:lang w:val="da-DK"/>
        </w:rPr>
      </w:pPr>
      <w:r w:rsidRPr="009231F9">
        <w:rPr>
          <w:rStyle w:val="HideTWBExt"/>
          <w:lang w:val="da-DK"/>
        </w:rPr>
        <w:t>&lt;RangeAM&gt;</w:t>
      </w:r>
      <w:r w:rsidRPr="009231F9">
        <w:rPr>
          <w:lang w:val="da-DK"/>
        </w:rPr>
        <w:t>1 - 17</w:t>
      </w:r>
      <w:r w:rsidRPr="009231F9">
        <w:rPr>
          <w:rStyle w:val="HideTWBExt"/>
          <w:lang w:val="da-DK"/>
        </w:rPr>
        <w:t>&lt;/RangeAM&gt;</w:t>
      </w:r>
    </w:p>
    <w:p w:rsidR="00AD17D5" w:rsidRPr="009231F9" w:rsidRDefault="009231F9">
      <w:pPr>
        <w:pStyle w:val="CoverBold"/>
        <w:rPr>
          <w:lang w:val="da-DK"/>
        </w:rPr>
      </w:pPr>
      <w:r w:rsidRPr="009231F9">
        <w:rPr>
          <w:rStyle w:val="HideTWBExt"/>
          <w:lang w:val="da-DK"/>
        </w:rPr>
        <w:t>&lt;</w:t>
      </w:r>
      <w:r w:rsidRPr="009231F9">
        <w:rPr>
          <w:rStyle w:val="HideTWBExt"/>
          <w:lang w:val="da-DK"/>
        </w:rPr>
        <w:t>TitreType&gt;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&lt;/TitreType&gt;</w:t>
      </w:r>
    </w:p>
    <w:p w:rsidR="00AD17D5" w:rsidRPr="009231F9" w:rsidRDefault="009231F9">
      <w:pPr>
        <w:pStyle w:val="CoverBold"/>
        <w:rPr>
          <w:lang w:val="da-DK"/>
        </w:rPr>
      </w:pPr>
      <w:r w:rsidRPr="009231F9">
        <w:rPr>
          <w:rStyle w:val="HideTWBExt"/>
          <w:lang w:val="da-DK"/>
        </w:rPr>
        <w:t>&lt;Rapporteur&gt;</w:t>
      </w:r>
      <w:r w:rsidRPr="009231F9">
        <w:rPr>
          <w:lang w:val="da-DK"/>
        </w:rPr>
        <w:t>Maria Grapini</w:t>
      </w:r>
      <w:r w:rsidRPr="009231F9">
        <w:rPr>
          <w:rStyle w:val="HideTWBExt"/>
          <w:lang w:val="da-DK"/>
        </w:rPr>
        <w:t>&lt;/Rapporteur&gt;</w:t>
      </w:r>
    </w:p>
    <w:p w:rsidR="00AD17D5" w:rsidRPr="009231F9" w:rsidRDefault="009231F9">
      <w:pPr>
        <w:pStyle w:val="CoverNormal24a"/>
        <w:rPr>
          <w:lang w:val="da-DK"/>
        </w:rPr>
      </w:pPr>
      <w:r w:rsidRPr="009231F9">
        <w:rPr>
          <w:rStyle w:val="HideTWBExt"/>
          <w:lang w:val="da-DK"/>
        </w:rPr>
        <w:t>&lt;DocRefPE&gt;</w:t>
      </w:r>
      <w:r w:rsidRPr="009231F9">
        <w:rPr>
          <w:lang w:val="da-DK"/>
        </w:rPr>
        <w:t>(PE642.920v01-00)</w:t>
      </w:r>
      <w:r w:rsidRPr="009231F9">
        <w:rPr>
          <w:rStyle w:val="HideTWBExt"/>
          <w:lang w:val="da-DK"/>
        </w:rPr>
        <w:t>&lt;/DocRefPE&gt;</w:t>
      </w:r>
    </w:p>
    <w:p w:rsidR="00AD17D5" w:rsidRPr="009231F9" w:rsidRDefault="009231F9">
      <w:pPr>
        <w:pStyle w:val="CoverNormal"/>
        <w:rPr>
          <w:lang w:val="da-DK"/>
        </w:rPr>
      </w:pPr>
      <w:r w:rsidRPr="009231F9">
        <w:rPr>
          <w:rStyle w:val="HideTWBExt"/>
          <w:lang w:val="da-DK"/>
        </w:rPr>
        <w:t>&lt;Titre&gt;</w:t>
      </w:r>
      <w:r w:rsidRPr="009231F9">
        <w:rPr>
          <w:lang w:val="da-DK"/>
        </w:rPr>
        <w:t>Decharge 2018: Den Europæiske Unions Jernbaneagentur (ERA)</w:t>
      </w:r>
      <w:r w:rsidRPr="009231F9">
        <w:rPr>
          <w:rStyle w:val="HideTWBExt"/>
          <w:lang w:val="da-DK"/>
        </w:rPr>
        <w:t>&lt;/Titre&gt;</w:t>
      </w:r>
    </w:p>
    <w:p w:rsidR="00AD17D5" w:rsidRPr="009231F9" w:rsidRDefault="009231F9">
      <w:pPr>
        <w:pStyle w:val="CoverNormal24a"/>
        <w:rPr>
          <w:lang w:val="da-DK"/>
        </w:rPr>
      </w:pPr>
      <w:r w:rsidRPr="009231F9">
        <w:rPr>
          <w:rStyle w:val="HideTWBExt"/>
          <w:lang w:val="da-DK"/>
        </w:rPr>
        <w:t>&lt;DocRef&gt;</w:t>
      </w:r>
      <w:r w:rsidRPr="009231F9">
        <w:rPr>
          <w:lang w:val="da-DK"/>
        </w:rPr>
        <w:t>(2019/2081(DEC))</w:t>
      </w:r>
      <w:r w:rsidRPr="009231F9">
        <w:rPr>
          <w:rStyle w:val="HideTWBExt"/>
          <w:lang w:val="da-DK"/>
        </w:rPr>
        <w:t>&lt;/DocRef&gt;</w:t>
      </w:r>
    </w:p>
    <w:p w:rsidR="00AD17D5" w:rsidRPr="009231F9" w:rsidRDefault="009231F9">
      <w:pPr>
        <w:rPr>
          <w:lang w:val="da-DK"/>
        </w:rPr>
      </w:pPr>
      <w:r w:rsidRPr="009231F9">
        <w:rPr>
          <w:lang w:val="da-DK"/>
        </w:rPr>
        <w:br w:type="page"/>
      </w:r>
      <w:r w:rsidRPr="009231F9">
        <w:rPr>
          <w:lang w:val="da-DK"/>
        </w:rPr>
        <w:lastRenderedPageBreak/>
        <w:t>AM_Com_NonLegOpinion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lang w:val="da-DK"/>
        </w:rPr>
        <w:br w:type="page"/>
      </w:r>
      <w:r w:rsidRPr="009231F9">
        <w:rPr>
          <w:rStyle w:val="HideTWBExt"/>
          <w:lang w:val="da-DK"/>
        </w:rPr>
        <w:lastRenderedPageBreak/>
        <w:t>&lt;Rep</w:t>
      </w:r>
      <w:r w:rsidRPr="009231F9">
        <w:rPr>
          <w:rStyle w:val="HideTWBExt"/>
          <w:lang w:val="da-DK"/>
        </w:rPr>
        <w:t>eatBlock-Amend&gt;&lt;Amend&gt;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Marco Campomenosi, Massimo Casanova, Lucia Vuolo, Paolo Borchia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1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 xml:space="preserve">Udkast til </w:t>
            </w:r>
            <w:r w:rsidRPr="009231F9">
              <w:rPr>
                <w:lang w:val="da-DK"/>
              </w:rPr>
              <w:t>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lang w:val="da-DK"/>
              </w:rPr>
              <w:t>1.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glæder sig over,</w:t>
            </w:r>
            <w:r w:rsidRPr="009231F9">
              <w:rPr>
                <w:lang w:val="da-DK"/>
              </w:rPr>
              <w:t xml:space="preserve"> at Revisionsretten har fastslået, at regnskabet for Den Europæiske Unions Jernbaneagentur ("agenturet") for regnskabsåret 2018 i alt væsentligt er lovligt og formelt rigtigt;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lang w:val="da-DK"/>
              </w:rPr>
              <w:t>1.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noterer sig</w:t>
            </w:r>
            <w:r w:rsidRPr="009231F9">
              <w:rPr>
                <w:lang w:val="da-DK"/>
              </w:rPr>
              <w:t xml:space="preserve"> at Revisionsretten har fastslået, at regnskabet for Den Europæiske Unions Jernbaneagentur ("agenturet") for regnskabsåret 2018 i alt væsentligt er lovligt og formelt rigtigt;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{IT}</w:t>
      </w:r>
      <w:r w:rsidRPr="009231F9">
        <w:rPr>
          <w:lang w:val="da-DK"/>
        </w:rPr>
        <w:t>it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2</w:t>
      </w: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1 a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1a.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fastslår, at det mål, Europa-Parlamentet, Rådet og Kommissi</w:t>
            </w:r>
            <w:r w:rsidRPr="009231F9">
              <w:rPr>
                <w:b/>
                <w:i/>
                <w:lang w:val="da-DK"/>
              </w:rPr>
              <w:t>onen har opstillet, nemlig etableringen af et fælles europæisk jernbanemarked, ikke er blevet nået;</w:t>
            </w:r>
            <w:r w:rsidRPr="009231F9">
              <w:rPr>
                <w:lang w:val="da-DK"/>
              </w:rPr>
              <w:t xml:space="preserve"> </w:t>
            </w:r>
            <w:r w:rsidRPr="009231F9">
              <w:rPr>
                <w:b/>
                <w:i/>
                <w:lang w:val="da-DK"/>
              </w:rPr>
              <w:t>opfordrer agenturet til at koncentrere sine anstrengelser og publikationer om dette område;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3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1 b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1b.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 xml:space="preserve">fastslår, at målet om at overflytte trafik fra </w:t>
            </w:r>
            <w:r w:rsidRPr="009231F9">
              <w:rPr>
                <w:b/>
                <w:i/>
                <w:lang w:val="da-DK"/>
              </w:rPr>
              <w:t>landevej til jernbane kun kan nås, hvis der findes et konkurrencedygtigt europæisk jernbaneområde;</w:t>
            </w:r>
            <w:r w:rsidRPr="009231F9">
              <w:rPr>
                <w:lang w:val="da-DK"/>
              </w:rPr>
              <w:t xml:space="preserve"> </w:t>
            </w:r>
            <w:r w:rsidRPr="009231F9">
              <w:rPr>
                <w:b/>
                <w:i/>
                <w:lang w:val="da-DK"/>
              </w:rPr>
              <w:t xml:space="preserve">opfordrer </w:t>
            </w:r>
            <w:r w:rsidRPr="009231F9">
              <w:rPr>
                <w:b/>
                <w:i/>
                <w:lang w:val="da-DK"/>
              </w:rPr>
              <w:lastRenderedPageBreak/>
              <w:t>agenturet til at udarbejde et katalog over foranstaltninger, der sikrer, at jernbanetransporter i fremtiden kan inkorporeres i moderne logistikkæde</w:t>
            </w:r>
            <w:r w:rsidRPr="009231F9">
              <w:rPr>
                <w:b/>
                <w:i/>
                <w:lang w:val="da-DK"/>
              </w:rPr>
              <w:t>r;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lastRenderedPageBreak/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4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1 c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1c.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påpeger, at de næste fem år bliver kritiske for jernbanesektorens fremtid, og at agenturet skal have de nødvendige finansielle og personalemæssige ressourcer til rådighed til de kommende udfordringer;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5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Marco Campomenosi, Massimo Casanova, Lucia Vuolo, Paolo Borchia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2 a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</w:t>
            </w:r>
            <w:r w:rsidRPr="009231F9">
              <w:rPr>
                <w:lang w:val="da-DK"/>
              </w:rPr>
              <w:t xml:space="preserve">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2a.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noterer sig Revisionsrettens bemærkninger om lovligheden og den formelle rigtighed af transaktionerne og tilslutter sig Revisionsrettens opfordring til agenturet om at sørge for at anvende udbudsprocedurer, der er i overens</w:t>
            </w:r>
            <w:r w:rsidRPr="009231F9">
              <w:rPr>
                <w:b/>
                <w:i/>
                <w:lang w:val="da-DK"/>
              </w:rPr>
              <w:t>stemmelse med finansforordningen;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{IT}</w:t>
      </w:r>
      <w:r w:rsidRPr="009231F9">
        <w:rPr>
          <w:lang w:val="da-DK"/>
        </w:rPr>
        <w:t>it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6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lastRenderedPageBreak/>
        <w:t>&lt;RepeatBlock-By&gt;&lt;Members&gt;</w:t>
      </w:r>
      <w:r w:rsidRPr="009231F9">
        <w:rPr>
          <w:lang w:val="da-DK"/>
        </w:rPr>
        <w:t>Marco Campomenosi, Massimo Casanova, Lucia Vuolo, Paolo Borchia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 xml:space="preserve">Udkast til </w:t>
      </w:r>
      <w:r w:rsidRPr="009231F9">
        <w:rPr>
          <w:lang w:val="da-DK"/>
        </w:rPr>
        <w:t>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2 b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2b.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 xml:space="preserve">noterer sig Revisionsrettens bemærkninger om de interne kontroller og opfordrer agenturet til at udvikle mere effektive efterfølgende kontroller af </w:t>
            </w:r>
            <w:r w:rsidRPr="009231F9">
              <w:rPr>
                <w:b/>
                <w:i/>
                <w:lang w:val="da-DK"/>
              </w:rPr>
              <w:t>betalinger i forbindelse med indgåede kontrakter med henblik på at sikre en konkurrencebaseret og gennemsigtig procedure for alle udbud;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{IT}</w:t>
      </w:r>
      <w:r w:rsidRPr="009231F9">
        <w:rPr>
          <w:lang w:val="da-DK"/>
        </w:rPr>
        <w:t>it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7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Marco Campo</w:t>
      </w:r>
      <w:r w:rsidRPr="009231F9">
        <w:rPr>
          <w:lang w:val="da-DK"/>
        </w:rPr>
        <w:t>menosi, Massimo Casanova, Lucia Vuolo, Paolo Borchia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2 c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2c.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opfordrer agenturet til at tage hensyn til de særlige</w:t>
            </w:r>
            <w:r w:rsidRPr="009231F9">
              <w:rPr>
                <w:b/>
                <w:i/>
                <w:lang w:val="da-DK"/>
              </w:rPr>
              <w:t xml:space="preserve"> behov hos små og mellemstore virksomheder (SMV'er), når det pålægger gebyrer og afgifter i forbindelse med de nye certificeringsopgaver, og sikre effektive kontroller til at sikre, at ansøgerne opfylder SMV-kriterierne;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{IT}</w:t>
      </w:r>
      <w:r w:rsidRPr="009231F9">
        <w:rPr>
          <w:lang w:val="da-DK"/>
        </w:rPr>
        <w:t>it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8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Marco Campomenosi, Massimo Casanova, Lucia Vuolo, Paolo Borchia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6 a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 xml:space="preserve">Udkast til </w:t>
            </w:r>
            <w:r w:rsidRPr="009231F9">
              <w:rPr>
                <w:lang w:val="da-DK"/>
              </w:rPr>
              <w:t>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6a.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 xml:space="preserve">beklager, at agenturet stadig har to </w:t>
            </w:r>
            <w:r w:rsidRPr="009231F9">
              <w:rPr>
                <w:b/>
                <w:i/>
                <w:lang w:val="da-DK"/>
              </w:rPr>
              <w:lastRenderedPageBreak/>
              <w:t>hjemsteder, nemlig i Lille og Valencia, og påpeger, at omkostningerne ville kunne nedbringes, hvis alle operationer blev centraliseret til et enkelt hjemsted;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lastRenderedPageBreak/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{IT}</w:t>
      </w:r>
      <w:r w:rsidRPr="009231F9">
        <w:rPr>
          <w:lang w:val="da-DK"/>
        </w:rPr>
        <w:t>it</w:t>
      </w: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9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Jan-Christoph Oetjen, Dominique Riquet, Ondřej Kovařík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 xml:space="preserve">Udkast til </w:t>
            </w:r>
            <w:r w:rsidRPr="009231F9">
              <w:rPr>
                <w:lang w:val="da-DK"/>
              </w:rPr>
              <w:t>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lang w:val="da-DK"/>
              </w:rPr>
              <w:t>7.</w:t>
            </w:r>
            <w:r w:rsidRPr="009231F9">
              <w:rPr>
                <w:lang w:val="da-DK"/>
              </w:rPr>
              <w:tab/>
              <w:t>glæder sig over agenturets fortsatte bestræbelser på at forberede sig på sine nye opgaver som defineret i den fjerde jernbanepakke; glæder sig navnlig over, at alle retsakter og bestyrelsens beslutninger blev vedtaget til tide</w:t>
            </w:r>
            <w:r w:rsidRPr="009231F9">
              <w:rPr>
                <w:lang w:val="da-DK"/>
              </w:rPr>
              <w:t>n, og at agenturet har offentliggjort en vejledning om ansøgning om køretøjsgodkendelser; glæder sig over de andre skridt, som agenturet har taget for at forberede sig på sine nye opgaver (aktivt samarbejde med berørte parter, læringscases og "shadow runni</w:t>
            </w:r>
            <w:r w:rsidRPr="009231F9">
              <w:rPr>
                <w:lang w:val="da-DK"/>
              </w:rPr>
              <w:t>ng" samt pilotovervågning af de nationale sikkerhedsmyndigheder); glæder sig over, at der er blevet oprettet en kvikskranke;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lang w:val="da-DK"/>
              </w:rPr>
              <w:t>7.</w:t>
            </w:r>
            <w:r w:rsidRPr="009231F9">
              <w:rPr>
                <w:lang w:val="da-DK"/>
              </w:rPr>
              <w:tab/>
              <w:t>glæder sig over agenturets fortsatte bestræbelser på at forberede sig på sine nye opgaver som defineret i den fjerde jernbanepak</w:t>
            </w:r>
            <w:r w:rsidRPr="009231F9">
              <w:rPr>
                <w:lang w:val="da-DK"/>
              </w:rPr>
              <w:t>ke</w:t>
            </w:r>
            <w:r w:rsidRPr="009231F9">
              <w:rPr>
                <w:b/>
                <w:i/>
                <w:lang w:val="da-DK"/>
              </w:rPr>
              <w:t>, og på i juni 2019 at påtage sig sin rolle som EU-myndighed med ansvar for udstedelse af tilladelser til at bringe jernbanekøretøjer i omsætning, fælles sikkerhedscertifikater til jernbanevirksomheder og godkendelser af ERTMS-udstyr langs sporet</w:t>
            </w:r>
            <w:r w:rsidRPr="009231F9">
              <w:rPr>
                <w:lang w:val="da-DK"/>
              </w:rPr>
              <w:t>; glæder</w:t>
            </w:r>
            <w:r w:rsidRPr="009231F9">
              <w:rPr>
                <w:lang w:val="da-DK"/>
              </w:rPr>
              <w:t xml:space="preserve"> sig navnlig over, at alle retsakter og bestyrelsens beslutninger blev vedtaget til tiden, og at agenturet har offentliggjort en vejledning om ansøgning om køretøjsgodkendelser; glæder sig over de andre skridt, som agenturet har taget for at forberede sig </w:t>
            </w:r>
            <w:r w:rsidRPr="009231F9">
              <w:rPr>
                <w:lang w:val="da-DK"/>
              </w:rPr>
              <w:t>på sine nye opgaver (aktivt samarbejde med berørte parter, læringscases og "shadow running" samt pilotovervågning af de nationale sikkerhedsmyndigheder); glæder sig over, at der er blevet oprettet en kvikskranke;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{EN}</w:t>
      </w:r>
      <w:r w:rsidRPr="009231F9">
        <w:rPr>
          <w:lang w:val="da-DK"/>
        </w:rPr>
        <w:t>en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</w:t>
      </w:r>
      <w:r w:rsidRPr="009231F9">
        <w:rPr>
          <w:rStyle w:val="HideTWBExt"/>
          <w:lang w:val="da-DK"/>
        </w:rPr>
        <w:t>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10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– underpunkt 1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lastRenderedPageBreak/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glæder sig over,</w:t>
            </w:r>
            <w:r w:rsidRPr="009231F9">
              <w:rPr>
                <w:b/>
                <w:i/>
                <w:lang w:val="da-DK"/>
              </w:rPr>
              <w:t xml:space="preserve"> at agenturet dermed har påbegyndt opgaven med at harmonisere de over 14 000 nationale forskrifter vedrørende jernbanetransport;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11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– underpunkt 1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(1)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beklager, at jernbaneområdet i modsætning til luftfarten og vejtransporten stadig er langt fra</w:t>
            </w:r>
            <w:r w:rsidRPr="009231F9">
              <w:rPr>
                <w:b/>
                <w:i/>
                <w:lang w:val="da-DK"/>
              </w:rPr>
              <w:t xml:space="preserve"> at være harmoniseret;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12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– underpunkt 2 (nyt)</w:t>
      </w: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(2)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opfordrer agenturet til kraftigt at intensivere sine bestræbelser på at få etableret et fælles europæisk jernbaneområde;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13</w:t>
      </w: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Jan-Christoph Oetjen, Bill Newton Dunn, Dominique Riquet, Ondřej Kovařík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a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7a.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fremhæver agenturets strategiske rolle i forbindelse med en forbedring af jernbanetransportens konkurrenceevne i forhold til andre transportformer og med at sikre sikkerheden og interoperabiliteten i det europæiske jernbanesystem;</w:t>
            </w:r>
            <w:r w:rsidRPr="009231F9">
              <w:rPr>
                <w:lang w:val="da-DK"/>
              </w:rPr>
              <w:t xml:space="preserve"> </w:t>
            </w:r>
            <w:r w:rsidRPr="009231F9">
              <w:rPr>
                <w:b/>
                <w:i/>
                <w:lang w:val="da-DK"/>
              </w:rPr>
              <w:t>understreger derfor, at d</w:t>
            </w:r>
            <w:r w:rsidRPr="009231F9">
              <w:rPr>
                <w:b/>
                <w:i/>
                <w:lang w:val="da-DK"/>
              </w:rPr>
              <w:t>et er vigtigt at give agenturet tilstrækkelige budgetmidler til at kunne udfylde sin rolle;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{EN}</w:t>
      </w:r>
      <w:r w:rsidRPr="009231F9">
        <w:rPr>
          <w:lang w:val="da-DK"/>
        </w:rPr>
        <w:t>en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14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</w:t>
      </w:r>
      <w:r w:rsidRPr="009231F9">
        <w:rPr>
          <w:lang w:val="da-DK"/>
        </w:rPr>
        <w:t>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a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7a.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fastslår, at agenturet har en central rolle for så vidt angår at mindske de bureaukratiske hindringer på området for jernbanetransport på tværs af</w:t>
            </w:r>
            <w:r w:rsidRPr="009231F9">
              <w:rPr>
                <w:b/>
                <w:i/>
                <w:lang w:val="da-DK"/>
              </w:rPr>
              <w:t xml:space="preserve"> grænserne;</w:t>
            </w:r>
            <w:r w:rsidRPr="009231F9">
              <w:rPr>
                <w:lang w:val="da-DK"/>
              </w:rPr>
              <w:t xml:space="preserve"> 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15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Barbara Thaler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b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 xml:space="preserve">Udkast til </w:t>
            </w:r>
            <w:r w:rsidRPr="009231F9">
              <w:rPr>
                <w:lang w:val="da-DK"/>
              </w:rPr>
              <w:t>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7b.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fastslår, at der såvel på infrastruktur- som på køretøjssiden er gjort alt f</w:t>
            </w:r>
            <w:r>
              <w:rPr>
                <w:b/>
                <w:i/>
                <w:lang w:val="da-DK"/>
              </w:rPr>
              <w:t>or få fremskridt i retning af at</w:t>
            </w:r>
            <w:r w:rsidRPr="009231F9">
              <w:rPr>
                <w:b/>
                <w:i/>
                <w:lang w:val="da-DK"/>
              </w:rPr>
              <w:t xml:space="preserve"> få indført det udstyr, der er nødvendigt for det europæiske trafikstyringssystem (ERTMS) i Europa, og opfordrer agenturet til at foreslå foranstaltninger til </w:t>
            </w:r>
            <w:r w:rsidRPr="009231F9">
              <w:rPr>
                <w:b/>
                <w:i/>
                <w:lang w:val="da-DK"/>
              </w:rPr>
              <w:lastRenderedPageBreak/>
              <w:t>at sætte fart i processen;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lastRenderedPageBreak/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{DE}</w:t>
      </w:r>
      <w:r w:rsidRPr="009231F9">
        <w:rPr>
          <w:lang w:val="da-DK"/>
        </w:rPr>
        <w:t>de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16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Jan-Christoph Oetjen, Dominique Riquet, Ondřej Kovařík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</w:t>
      </w:r>
      <w:r w:rsidRPr="009231F9">
        <w:rPr>
          <w:rStyle w:val="HideTWBExt"/>
          <w:lang w:val="da-DK"/>
        </w:rPr>
        <w:t>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b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7b.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glæder sig over, at agenturet er klar over og er rede til at tage hensyn til de små og mellemstore virksomheders særli</w:t>
            </w:r>
            <w:r w:rsidRPr="009231F9">
              <w:rPr>
                <w:b/>
                <w:i/>
                <w:lang w:val="da-DK"/>
              </w:rPr>
              <w:t>ge behov i forbindelse med gennemførelsen af forordningen om gebyrer og afgifter;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{EN}</w:t>
      </w:r>
      <w:r w:rsidRPr="009231F9">
        <w:rPr>
          <w:lang w:val="da-DK"/>
        </w:rPr>
        <w:t>en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</w:t>
      </w:r>
    </w:p>
    <w:p w:rsidR="00AD17D5" w:rsidRPr="009231F9" w:rsidRDefault="009231F9">
      <w:pPr>
        <w:pStyle w:val="AmNumberTabs"/>
        <w:rPr>
          <w:lang w:val="da-DK"/>
        </w:rPr>
      </w:pPr>
      <w:r w:rsidRPr="009231F9">
        <w:rPr>
          <w:rStyle w:val="HideTWBExt"/>
          <w:lang w:val="da-DK"/>
        </w:rPr>
        <w:t>&lt;Amend&gt;</w:t>
      </w:r>
      <w:r w:rsidRPr="009231F9">
        <w:rPr>
          <w:lang w:val="da-DK"/>
        </w:rPr>
        <w:t>Ændringsforslag</w:t>
      </w:r>
      <w:r w:rsidRPr="009231F9">
        <w:rPr>
          <w:lang w:val="da-DK"/>
        </w:rPr>
        <w:tab/>
      </w:r>
      <w:r w:rsidRPr="009231F9">
        <w:rPr>
          <w:lang w:val="da-DK"/>
        </w:rPr>
        <w:tab/>
      </w:r>
      <w:r w:rsidRPr="009231F9">
        <w:rPr>
          <w:rStyle w:val="HideTWBExt"/>
          <w:lang w:val="da-DK"/>
        </w:rPr>
        <w:t>&lt;NumAm&gt;</w:t>
      </w:r>
      <w:r w:rsidRPr="009231F9">
        <w:rPr>
          <w:lang w:val="da-DK"/>
        </w:rPr>
        <w:t>17</w:t>
      </w:r>
      <w:r w:rsidRPr="009231F9">
        <w:rPr>
          <w:rStyle w:val="HideTWBExt"/>
          <w:lang w:val="da-DK"/>
        </w:rPr>
        <w:t>&lt;/NumAm&gt;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&lt;RepeatBlock-By&gt;&lt;Members&gt;</w:t>
      </w:r>
      <w:r w:rsidRPr="009231F9">
        <w:rPr>
          <w:lang w:val="da-DK"/>
        </w:rPr>
        <w:t>Jan-Christoph Oetjen, Dominique Riquet, Ondřej Kovařík</w:t>
      </w:r>
      <w:r w:rsidRPr="009231F9">
        <w:rPr>
          <w:rStyle w:val="HideTWBExt"/>
          <w:lang w:val="da-DK"/>
        </w:rPr>
        <w:t>&lt;/Members&gt;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&lt;/RepeatBlock-By&gt;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&lt;DocAmend&gt;</w:t>
      </w:r>
      <w:r w:rsidRPr="009231F9">
        <w:rPr>
          <w:lang w:val="da-DK"/>
        </w:rPr>
        <w:t>Udkast til udtalelse</w:t>
      </w:r>
      <w:r w:rsidRPr="009231F9">
        <w:rPr>
          <w:rStyle w:val="HideTWBExt"/>
          <w:lang w:val="da-DK"/>
        </w:rPr>
        <w:t>&lt;/DocAmend&gt;</w:t>
      </w:r>
    </w:p>
    <w:p w:rsidR="00AD17D5" w:rsidRPr="009231F9" w:rsidRDefault="009231F9">
      <w:pPr>
        <w:pStyle w:val="NormalBold"/>
        <w:rPr>
          <w:lang w:val="da-DK"/>
        </w:rPr>
      </w:pPr>
      <w:r w:rsidRPr="009231F9">
        <w:rPr>
          <w:rStyle w:val="HideTWBExt"/>
          <w:lang w:val="da-DK"/>
        </w:rPr>
        <w:t>&lt;Article&gt;</w:t>
      </w:r>
      <w:r w:rsidRPr="009231F9">
        <w:rPr>
          <w:lang w:val="da-DK"/>
        </w:rPr>
        <w:t>Punkt 7 c (nyt)</w:t>
      </w:r>
      <w:r w:rsidRPr="009231F9">
        <w:rPr>
          <w:rStyle w:val="HideTWBExt"/>
          <w:lang w:val="da-DK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D17D5" w:rsidRPr="009231F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D17D5" w:rsidRPr="009231F9" w:rsidRDefault="00AD17D5">
            <w:pPr>
              <w:rPr>
                <w:lang w:val="da-DK"/>
              </w:rPr>
            </w:pPr>
          </w:p>
        </w:tc>
      </w:tr>
      <w:tr w:rsidR="00AD17D5" w:rsidRPr="009231F9">
        <w:trPr>
          <w:trHeight w:val="240"/>
          <w:jc w:val="center"/>
        </w:trPr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Udkast til udtalelse</w:t>
            </w:r>
          </w:p>
        </w:tc>
        <w:tc>
          <w:tcPr>
            <w:tcW w:w="4876" w:type="dxa"/>
          </w:tcPr>
          <w:p w:rsidR="00AD17D5" w:rsidRPr="009231F9" w:rsidRDefault="009231F9">
            <w:pPr>
              <w:pStyle w:val="AmColumnHeading"/>
              <w:rPr>
                <w:lang w:val="da-DK"/>
              </w:rPr>
            </w:pPr>
            <w:r w:rsidRPr="009231F9">
              <w:rPr>
                <w:lang w:val="da-DK"/>
              </w:rPr>
              <w:t>Ændringsforslag</w:t>
            </w:r>
          </w:p>
        </w:tc>
      </w:tr>
      <w:tr w:rsidR="00AD17D5" w:rsidRPr="009231F9">
        <w:trPr>
          <w:jc w:val="center"/>
        </w:trPr>
        <w:tc>
          <w:tcPr>
            <w:tcW w:w="4876" w:type="dxa"/>
          </w:tcPr>
          <w:p w:rsidR="00AD17D5" w:rsidRPr="009231F9" w:rsidRDefault="00AD17D5">
            <w:pPr>
              <w:pStyle w:val="Normal6a"/>
              <w:rPr>
                <w:lang w:val="da-DK"/>
              </w:rPr>
            </w:pPr>
          </w:p>
        </w:tc>
        <w:tc>
          <w:tcPr>
            <w:tcW w:w="4876" w:type="dxa"/>
          </w:tcPr>
          <w:p w:rsidR="00AD17D5" w:rsidRPr="009231F9" w:rsidRDefault="009231F9">
            <w:pPr>
              <w:pStyle w:val="Normal6a"/>
              <w:rPr>
                <w:lang w:val="da-DK"/>
              </w:rPr>
            </w:pPr>
            <w:r w:rsidRPr="009231F9">
              <w:rPr>
                <w:b/>
                <w:i/>
                <w:lang w:val="da-DK"/>
              </w:rPr>
              <w:t>7b.</w:t>
            </w:r>
            <w:r w:rsidRPr="009231F9">
              <w:rPr>
                <w:lang w:val="da-DK"/>
              </w:rPr>
              <w:tab/>
            </w:r>
            <w:r w:rsidRPr="009231F9">
              <w:rPr>
                <w:b/>
                <w:i/>
                <w:lang w:val="da-DK"/>
              </w:rPr>
              <w:t>opfordrer Kommissionen til hurtigt at træffe afgørelse om agenturets anmodning om en undtagelse fra dens finansforor</w:t>
            </w:r>
            <w:r w:rsidRPr="009231F9">
              <w:rPr>
                <w:b/>
                <w:i/>
                <w:lang w:val="da-DK"/>
              </w:rPr>
              <w:t>dning med henblik på at sikre en korrekt planlægning af gebyrer og afgifter og tilsvarende forpligtelser og betalinger i budgettet;</w:t>
            </w:r>
          </w:p>
        </w:tc>
      </w:tr>
    </w:tbl>
    <w:p w:rsidR="00AD17D5" w:rsidRPr="009231F9" w:rsidRDefault="009231F9">
      <w:pPr>
        <w:pStyle w:val="AmOrLang"/>
        <w:rPr>
          <w:lang w:val="da-DK"/>
        </w:rPr>
      </w:pPr>
      <w:r w:rsidRPr="009231F9">
        <w:rPr>
          <w:lang w:val="da-DK"/>
        </w:rPr>
        <w:t xml:space="preserve">Or. </w:t>
      </w:r>
      <w:r w:rsidRPr="009231F9">
        <w:rPr>
          <w:rStyle w:val="HideTWBExt"/>
          <w:lang w:val="da-DK"/>
        </w:rPr>
        <w:t>&lt;Original&gt;</w:t>
      </w:r>
      <w:r w:rsidRPr="009231F9">
        <w:rPr>
          <w:rStyle w:val="HideTWBInt"/>
          <w:lang w:val="da-DK"/>
        </w:rPr>
        <w:t>{EN}</w:t>
      </w:r>
      <w:r w:rsidRPr="009231F9">
        <w:rPr>
          <w:lang w:val="da-DK"/>
        </w:rPr>
        <w:t>en</w:t>
      </w:r>
      <w:r w:rsidRPr="009231F9">
        <w:rPr>
          <w:rStyle w:val="HideTWBExt"/>
          <w:lang w:val="da-DK"/>
        </w:rPr>
        <w:t>&lt;/Original&gt;</w:t>
      </w:r>
    </w:p>
    <w:p w:rsidR="00AD17D5" w:rsidRPr="009231F9" w:rsidRDefault="009231F9">
      <w:pPr>
        <w:rPr>
          <w:lang w:val="da-DK"/>
        </w:rPr>
      </w:pPr>
      <w:r w:rsidRPr="009231F9">
        <w:rPr>
          <w:rStyle w:val="HideTWBExt"/>
          <w:lang w:val="da-DK"/>
        </w:rPr>
        <w:t>&lt;/Amend&gt;&lt;/RepeatBlock-Amend&gt;</w:t>
      </w:r>
    </w:p>
    <w:sectPr w:rsidR="00AD17D5" w:rsidRPr="009231F9">
      <w:footerReference w:type="even" r:id="rId7"/>
      <w:footerReference w:type="default" r:id="rId8"/>
      <w:footerReference w:type="first" r:id="rId9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1F9">
      <w:r>
        <w:separator/>
      </w:r>
    </w:p>
  </w:endnote>
  <w:endnote w:type="continuationSeparator" w:id="0">
    <w:p w:rsidR="00000000" w:rsidRDefault="009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5" w:rsidRPr="009231F9" w:rsidRDefault="009231F9">
    <w:pPr>
      <w:pStyle w:val="EPFooter"/>
      <w:rPr>
        <w:lang w:val="de-DE"/>
      </w:rPr>
    </w:pPr>
    <w:r w:rsidRPr="009231F9">
      <w:rPr>
        <w:lang w:val="de-DE"/>
      </w:rPr>
      <w:t>PE</w:t>
    </w:r>
    <w:r w:rsidRPr="009231F9">
      <w:rPr>
        <w:rStyle w:val="HideTWBExt"/>
        <w:lang w:val="de-DE"/>
      </w:rPr>
      <w:t>&lt;NoPE&gt;</w:t>
    </w:r>
    <w:r w:rsidRPr="009231F9">
      <w:rPr>
        <w:lang w:val="de-DE"/>
      </w:rPr>
      <w:t>644.964</w:t>
    </w:r>
    <w:r w:rsidRPr="009231F9">
      <w:rPr>
        <w:rStyle w:val="HideTWBExt"/>
        <w:lang w:val="de-DE"/>
      </w:rPr>
      <w:t>&lt;/NoPE&gt;&lt;Version&gt;</w:t>
    </w:r>
    <w:r w:rsidRPr="009231F9">
      <w:rPr>
        <w:lang w:val="de-DE"/>
      </w:rPr>
      <w:t>v01-00</w:t>
    </w:r>
    <w:r w:rsidRPr="009231F9">
      <w:rPr>
        <w:rStyle w:val="HideTWBExt"/>
        <w:lang w:val="de-DE"/>
      </w:rPr>
      <w:t>&lt;/Version&gt;</w:t>
    </w:r>
    <w:r w:rsidRPr="009231F9">
      <w:rPr>
        <w:lang w:val="de-DE"/>
      </w:rPr>
      <w:tab/>
    </w:r>
    <w:r>
      <w:fldChar w:fldCharType="begin"/>
    </w:r>
    <w:r w:rsidRPr="009231F9">
      <w:rPr>
        <w:lang w:val="de-DE"/>
      </w:rPr>
      <w:instrText>PAGE</w:instrText>
    </w:r>
    <w:r>
      <w:fldChar w:fldCharType="separate"/>
    </w:r>
    <w:r>
      <w:rPr>
        <w:noProof/>
        <w:lang w:val="de-DE"/>
      </w:rPr>
      <w:t>8</w:t>
    </w:r>
    <w:r>
      <w:fldChar w:fldCharType="end"/>
    </w:r>
    <w:r w:rsidRPr="009231F9">
      <w:rPr>
        <w:lang w:val="de-DE"/>
      </w:rPr>
      <w:t>/</w:t>
    </w:r>
    <w:r>
      <w:fldChar w:fldCharType="begin"/>
    </w:r>
    <w:r w:rsidRPr="009231F9">
      <w:rPr>
        <w:lang w:val="de-DE"/>
      </w:rPr>
      <w:instrText>NUMPAGES</w:instrText>
    </w:r>
    <w:r>
      <w:fldChar w:fldCharType="separate"/>
    </w:r>
    <w:r>
      <w:rPr>
        <w:noProof/>
        <w:lang w:val="de-DE"/>
      </w:rPr>
      <w:t>9</w:t>
    </w:r>
    <w:r>
      <w:fldChar w:fldCharType="end"/>
    </w:r>
    <w:r w:rsidRPr="009231F9">
      <w:rPr>
        <w:lang w:val="de-DE"/>
      </w:rPr>
      <w:tab/>
    </w:r>
    <w:r w:rsidRPr="009231F9">
      <w:rPr>
        <w:rStyle w:val="HideTWBExt"/>
        <w:lang w:val="de-DE"/>
      </w:rPr>
      <w:t>&lt;PathFdR&gt;</w:t>
    </w:r>
    <w:r w:rsidRPr="009231F9">
      <w:rPr>
        <w:lang w:val="de-DE"/>
      </w:rPr>
      <w:t>AM\1195020DA.docx</w:t>
    </w:r>
    <w:r w:rsidRPr="009231F9">
      <w:rPr>
        <w:rStyle w:val="HideTWBExt"/>
        <w:lang w:val="de-DE"/>
      </w:rPr>
      <w:t>&lt;/PathFdR&gt;</w:t>
    </w:r>
  </w:p>
  <w:p w:rsidR="00AD17D5" w:rsidRDefault="009231F9">
    <w:pPr>
      <w:pStyle w:val="EPFooter2"/>
    </w:pPr>
    <w:r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5" w:rsidRPr="009231F9" w:rsidRDefault="009231F9">
    <w:pPr>
      <w:pStyle w:val="EPFooter"/>
      <w:rPr>
        <w:lang w:val="de-DE"/>
      </w:rPr>
    </w:pPr>
    <w:r w:rsidRPr="009231F9">
      <w:rPr>
        <w:rStyle w:val="HideTWBExt"/>
        <w:lang w:val="de-DE"/>
      </w:rPr>
      <w:t>&lt;PathFdR&gt;</w:t>
    </w:r>
    <w:r w:rsidRPr="009231F9">
      <w:rPr>
        <w:lang w:val="de-DE"/>
      </w:rPr>
      <w:t>AM\1195020DA.docx</w:t>
    </w:r>
    <w:r w:rsidRPr="009231F9">
      <w:rPr>
        <w:rStyle w:val="HideTWBExt"/>
        <w:lang w:val="de-DE"/>
      </w:rPr>
      <w:t>&lt;/PathFdR&gt;</w:t>
    </w:r>
    <w:r w:rsidRPr="009231F9">
      <w:rPr>
        <w:lang w:val="de-DE"/>
      </w:rPr>
      <w:tab/>
    </w:r>
    <w:r>
      <w:fldChar w:fldCharType="begin"/>
    </w:r>
    <w:r w:rsidRPr="009231F9">
      <w:rPr>
        <w:lang w:val="de-DE"/>
      </w:rPr>
      <w:instrText>PAGE</w:instrText>
    </w:r>
    <w:r>
      <w:fldChar w:fldCharType="separate"/>
    </w:r>
    <w:r>
      <w:rPr>
        <w:noProof/>
        <w:lang w:val="de-DE"/>
      </w:rPr>
      <w:t>9</w:t>
    </w:r>
    <w:r>
      <w:fldChar w:fldCharType="end"/>
    </w:r>
    <w:r w:rsidRPr="009231F9">
      <w:rPr>
        <w:lang w:val="de-DE"/>
      </w:rPr>
      <w:t>/</w:t>
    </w:r>
    <w:r>
      <w:fldChar w:fldCharType="begin"/>
    </w:r>
    <w:r w:rsidRPr="009231F9">
      <w:rPr>
        <w:lang w:val="de-DE"/>
      </w:rPr>
      <w:instrText>NUMPAGES</w:instrText>
    </w:r>
    <w:r>
      <w:fldChar w:fldCharType="separate"/>
    </w:r>
    <w:r>
      <w:rPr>
        <w:noProof/>
        <w:lang w:val="de-DE"/>
      </w:rPr>
      <w:t>9</w:t>
    </w:r>
    <w:r>
      <w:fldChar w:fldCharType="end"/>
    </w:r>
    <w:r w:rsidRPr="009231F9">
      <w:rPr>
        <w:lang w:val="de-DE"/>
      </w:rPr>
      <w:tab/>
      <w:t>PE</w:t>
    </w:r>
    <w:r w:rsidRPr="009231F9">
      <w:rPr>
        <w:rStyle w:val="HideTWBExt"/>
        <w:lang w:val="de-DE"/>
      </w:rPr>
      <w:t>&lt;NoPE&gt;</w:t>
    </w:r>
    <w:r w:rsidRPr="009231F9">
      <w:rPr>
        <w:lang w:val="de-DE"/>
      </w:rPr>
      <w:t>644.964</w:t>
    </w:r>
    <w:r w:rsidRPr="009231F9">
      <w:rPr>
        <w:rStyle w:val="HideTWBExt"/>
        <w:lang w:val="de-DE"/>
      </w:rPr>
      <w:t>&lt;/NoPE&gt;&lt;Version&gt;</w:t>
    </w:r>
    <w:r w:rsidRPr="009231F9">
      <w:rPr>
        <w:lang w:val="de-DE"/>
      </w:rPr>
      <w:t>v01-00</w:t>
    </w:r>
    <w:r w:rsidRPr="009231F9">
      <w:rPr>
        <w:rStyle w:val="HideTWBExt"/>
        <w:lang w:val="de-DE"/>
      </w:rPr>
      <w:t>&lt;/Version&gt;</w:t>
    </w:r>
  </w:p>
  <w:p w:rsidR="00AD17D5" w:rsidRDefault="009231F9">
    <w:pPr>
      <w:pStyle w:val="EPFooter2"/>
    </w:pPr>
    <w:r w:rsidRPr="009231F9">
      <w:rPr>
        <w:lang w:val="de-DE"/>
      </w:rPr>
      <w:tab/>
    </w:r>
    <w:r w:rsidRPr="009231F9">
      <w:rPr>
        <w:lang w:val="de-DE"/>
      </w:rPr>
      <w:tab/>
    </w:r>
    <w:r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5" w:rsidRPr="009231F9" w:rsidRDefault="009231F9">
    <w:pPr>
      <w:pStyle w:val="EPFooter"/>
    </w:pPr>
    <w:bookmarkStart w:id="0" w:name="_GoBack"/>
    <w:bookmarkEnd w:id="0"/>
    <w:r w:rsidRPr="009231F9">
      <w:rPr>
        <w:rStyle w:val="HideTWBExt"/>
      </w:rPr>
      <w:t>&lt;PathFdR&gt;</w:t>
    </w:r>
    <w:r w:rsidRPr="009231F9">
      <w:t>AM\1195020DA.docx</w:t>
    </w:r>
    <w:r w:rsidRPr="009231F9">
      <w:rPr>
        <w:rStyle w:val="HideTWBExt"/>
      </w:rPr>
      <w:t>&lt;/PathFdR&gt;</w:t>
    </w:r>
    <w:r w:rsidRPr="009231F9">
      <w:tab/>
    </w:r>
    <w:r w:rsidRPr="009231F9">
      <w:tab/>
      <w:t>PE</w:t>
    </w:r>
    <w:r w:rsidRPr="009231F9">
      <w:rPr>
        <w:rStyle w:val="HideTWBExt"/>
      </w:rPr>
      <w:t>&lt;NoPE&gt;</w:t>
    </w:r>
    <w:r w:rsidRPr="009231F9">
      <w:t>644.964</w:t>
    </w:r>
    <w:r w:rsidRPr="009231F9">
      <w:rPr>
        <w:rStyle w:val="HideTWBExt"/>
      </w:rPr>
      <w:t>&lt;/NoPE&gt;&lt;Version&gt;</w:t>
    </w:r>
    <w:r w:rsidRPr="009231F9">
      <w:t>v01-00</w:t>
    </w:r>
    <w:r w:rsidRPr="009231F9">
      <w:rPr>
        <w:rStyle w:val="HideTWBExt"/>
      </w:rPr>
      <w:t>&lt;/Version&gt;</w:t>
    </w:r>
  </w:p>
  <w:p w:rsidR="00AD17D5" w:rsidRPr="009231F9" w:rsidRDefault="009231F9">
    <w:pPr>
      <w:pStyle w:val="EPFooter2"/>
    </w:pPr>
    <w:r w:rsidRPr="009231F9">
      <w:t>DA</w:t>
    </w:r>
    <w:r w:rsidRPr="009231F9">
      <w:tab/>
    </w:r>
    <w:r w:rsidRPr="009231F9">
      <w:rPr>
        <w:rStyle w:val="EPFooter2Middle"/>
      </w:rPr>
      <w:t>Forenet i mangfoldighed</w:t>
    </w:r>
    <w:r w:rsidRPr="009231F9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1F9">
      <w:r>
        <w:separator/>
      </w:r>
    </w:p>
  </w:footnote>
  <w:footnote w:type="continuationSeparator" w:id="0">
    <w:p w:rsidR="00000000" w:rsidRDefault="0092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ruik" w:val="value of gruik"/>
  </w:docVars>
  <w:rsids>
    <w:rsidRoot w:val="00A77B3E"/>
    <w:rsid w:val="009231F9"/>
    <w:rsid w:val="00A77B3E"/>
    <w:rsid w:val="00AD17D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45E795B-6D0F-4B04-B996-9FDB315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1590</Words>
  <Characters>9287</Characters>
  <Application>Microsoft Office Word</Application>
  <DocSecurity>0</DocSecurity>
  <Lines>168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AM_Com_NonLegOpinion</vt:lpstr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ZINOCKER Marianne</cp:lastModifiedBy>
  <cp:revision>2</cp:revision>
  <dcterms:created xsi:type="dcterms:W3CDTF">2020-01-13T08:06:00Z</dcterms:created>
  <dcterms:modified xsi:type="dcterms:W3CDTF">2020-01-13T08:06:00Z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1195020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20200112-122539-127215-828557</vt:lpwstr>
  </property>
  <property fmtid="{D5CDD505-2E9C-101B-9397-08002B2CF9AE}" pid="7" name="FooterPath">
    <vt:lpwstr>AM\1195020DA.docx</vt:lpwstr>
  </property>
  <property fmtid="{D5CDD505-2E9C-101B-9397-08002B2CF9AE}" pid="8" name="PE Number">
    <vt:lpwstr>644.964</vt:lpwstr>
  </property>
  <property fmtid="{D5CDD505-2E9C-101B-9397-08002B2CF9AE}" pid="9" name="UID">
    <vt:lpwstr>eu.europa.europarl-DIN1-2019-0000026162_02.00-da-01.00_text-xml</vt:lpwstr>
  </property>
</Properties>
</file>