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D68F6" w:rsidP="005C761C">
      <w:pPr>
        <w:spacing w:line="480" w:lineRule="auto"/>
        <w:jc w:val="both"/>
        <w:rPr>
          <w:sz w:val="28"/>
          <w:szCs w:val="28"/>
          <w:lang w:val="hr-HR"/>
        </w:rPr>
      </w:pPr>
      <w:bookmarkStart w:id="0" w:name="_GoBack"/>
      <w:bookmarkEnd w:id="0"/>
      <w:r w:rsidRPr="00DD68F6">
        <w:rPr>
          <w:b/>
          <w:sz w:val="28"/>
          <w:szCs w:val="28"/>
          <w:lang w:val="it-IT"/>
        </w:rPr>
        <w:t>Tonino Picula (S&amp;D)</w:t>
      </w:r>
      <w:r w:rsidRPr="00DD68F6" w:rsidR="00C16570">
        <w:rPr>
          <w:b/>
          <w:sz w:val="28"/>
          <w:szCs w:val="28"/>
          <w:lang w:val="it-IT"/>
        </w:rPr>
        <w:t>.</w:t>
      </w:r>
      <w:r w:rsidRPr="00DD68F6" w:rsidR="00C16570">
        <w:rPr>
          <w:sz w:val="28"/>
          <w:szCs w:val="28"/>
          <w:lang w:val="it-IT"/>
        </w:rPr>
        <w:t xml:space="preserve"> </w:t>
      </w:r>
      <w:r w:rsidRPr="00DD68F6" w:rsidR="009747FE">
        <w:rPr>
          <w:rFonts w:cs="Calibri"/>
          <w:sz w:val="28"/>
          <w:szCs w:val="28"/>
          <w:lang w:val="it-IT"/>
        </w:rPr>
        <w:t>–</w:t>
      </w:r>
      <w:r w:rsidRPr="00DD68F6" w:rsidR="007D02F6">
        <w:rPr>
          <w:sz w:val="28"/>
          <w:szCs w:val="28"/>
          <w:lang w:val="it-IT"/>
        </w:rPr>
        <w:t xml:space="preserve"> </w:t>
      </w:r>
      <w:r w:rsidRPr="00DD68F6">
        <w:rPr>
          <w:sz w:val="28"/>
          <w:szCs w:val="28"/>
          <w:lang w:val="hr-HR"/>
        </w:rPr>
        <w:t xml:space="preserve">Poštovani predsjedavajući, </w:t>
      </w:r>
      <w:r>
        <w:rPr>
          <w:sz w:val="28"/>
          <w:szCs w:val="28"/>
          <w:lang w:val="hr-HR"/>
        </w:rPr>
        <w:t>kohezijska je politika</w:t>
      </w:r>
      <w:r w:rsidRPr="00DD68F6">
        <w:rPr>
          <w:sz w:val="28"/>
          <w:szCs w:val="28"/>
          <w:lang w:val="hr-HR"/>
        </w:rPr>
        <w:t xml:space="preserve"> glavni instrument za promicanje socijalne, gospodarske i teritorijalne kohezije i solidarnosti među različitim regijama. Kao glavna investicijska politika predstavlja jedn</w:t>
      </w:r>
      <w:r>
        <w:rPr>
          <w:sz w:val="28"/>
          <w:szCs w:val="28"/>
          <w:lang w:val="hr-HR"/>
        </w:rPr>
        <w:t>o</w:t>
      </w:r>
      <w:r w:rsidRPr="00DD68F6">
        <w:rPr>
          <w:sz w:val="28"/>
          <w:szCs w:val="28"/>
          <w:lang w:val="hr-HR"/>
        </w:rPr>
        <w:t xml:space="preserve"> od najvažnijih postignuća Unije. </w:t>
      </w:r>
    </w:p>
    <w:p w:rsidR="00DD68F6" w:rsidP="005C761C">
      <w:pPr>
        <w:spacing w:line="480" w:lineRule="auto"/>
        <w:jc w:val="both"/>
        <w:rPr>
          <w:sz w:val="28"/>
          <w:szCs w:val="28"/>
          <w:lang w:val="hr-HR"/>
        </w:rPr>
      </w:pPr>
    </w:p>
    <w:p w:rsidR="00DD68F6" w:rsidP="005C761C">
      <w:pPr>
        <w:spacing w:line="480" w:lineRule="auto"/>
        <w:jc w:val="both"/>
        <w:rPr>
          <w:sz w:val="28"/>
          <w:szCs w:val="28"/>
          <w:lang w:val="hr-HR"/>
        </w:rPr>
      </w:pPr>
      <w:r w:rsidRPr="00DD68F6">
        <w:rPr>
          <w:sz w:val="28"/>
          <w:szCs w:val="28"/>
          <w:lang w:val="hr-HR"/>
        </w:rPr>
        <w:t>Novi prijedlog sadrži neke pozitivne odredbe kako bi se financiranje prilagodilo budućim potrebama. Vrijedi pozdraviti 80 mjera za jednostavnije korištenje fondova. Međutim, makroekonomska uvjetovanost i povećanje tereta sufinanciranja n</w:t>
      </w:r>
      <w:r>
        <w:rPr>
          <w:sz w:val="28"/>
          <w:szCs w:val="28"/>
          <w:lang w:val="hr-HR"/>
        </w:rPr>
        <w:t>a države i regije nisu rješenje</w:t>
      </w:r>
      <w:r w:rsidRPr="00DD68F6">
        <w:rPr>
          <w:sz w:val="28"/>
          <w:szCs w:val="28"/>
          <w:lang w:val="hr-HR"/>
        </w:rPr>
        <w:t xml:space="preserve"> trenutnih problema. Štoviše, samo će dodatno onemogućiti regije s manjim proračunima da prijavljuju projekte, a njima su fondovi najpotrebniji. </w:t>
      </w:r>
    </w:p>
    <w:p w:rsidR="00DD68F6" w:rsidP="005C761C">
      <w:pPr>
        <w:spacing w:line="480" w:lineRule="auto"/>
        <w:jc w:val="both"/>
        <w:rPr>
          <w:sz w:val="28"/>
          <w:szCs w:val="28"/>
          <w:lang w:val="hr-HR"/>
        </w:rPr>
      </w:pPr>
    </w:p>
    <w:p w:rsidR="00DD68F6" w:rsidP="005C761C">
      <w:pPr>
        <w:spacing w:line="480" w:lineRule="auto"/>
        <w:jc w:val="both"/>
        <w:rPr>
          <w:sz w:val="28"/>
          <w:szCs w:val="28"/>
          <w:lang w:val="hr-HR"/>
        </w:rPr>
      </w:pPr>
      <w:r w:rsidRPr="00DD68F6">
        <w:rPr>
          <w:sz w:val="28"/>
          <w:szCs w:val="28"/>
          <w:lang w:val="hr-HR"/>
        </w:rPr>
        <w:t xml:space="preserve">Potreban je veći stupanj decentralizacije, fleksibilnosti te jači kapaciteti javne uprave u pripremi i provedbi projekata. Budućnost </w:t>
      </w:r>
      <w:r>
        <w:rPr>
          <w:sz w:val="28"/>
          <w:szCs w:val="28"/>
          <w:lang w:val="hr-HR"/>
        </w:rPr>
        <w:t>Kohezijskog i F</w:t>
      </w:r>
      <w:r w:rsidRPr="00DD68F6">
        <w:rPr>
          <w:sz w:val="28"/>
          <w:szCs w:val="28"/>
          <w:lang w:val="hr-HR"/>
        </w:rPr>
        <w:t>onda za regionalni raz</w:t>
      </w:r>
      <w:r>
        <w:rPr>
          <w:sz w:val="28"/>
          <w:szCs w:val="28"/>
          <w:lang w:val="hr-HR"/>
        </w:rPr>
        <w:t>voj ovisi o proračunu. Neizvjes</w:t>
      </w:r>
      <w:r w:rsidRPr="00DD68F6">
        <w:rPr>
          <w:sz w:val="28"/>
          <w:szCs w:val="28"/>
          <w:lang w:val="hr-HR"/>
        </w:rPr>
        <w:t xml:space="preserve">nost Brexita i odbijanje nekih članica da izdvoje dodatna sredstva ne smiju ugroziti ciljeve kohezijske politike. </w:t>
      </w:r>
    </w:p>
    <w:p w:rsidR="00DD68F6" w:rsidP="005C761C">
      <w:pPr>
        <w:spacing w:line="480" w:lineRule="auto"/>
        <w:jc w:val="both"/>
        <w:rPr>
          <w:sz w:val="28"/>
          <w:szCs w:val="28"/>
          <w:lang w:val="hr-HR"/>
        </w:rPr>
      </w:pPr>
    </w:p>
    <w:p w:rsidR="00E63958" w:rsidRPr="000B033A" w:rsidP="005C761C">
      <w:pPr>
        <w:spacing w:line="480" w:lineRule="auto"/>
        <w:jc w:val="both"/>
        <w:rPr>
          <w:sz w:val="28"/>
          <w:szCs w:val="28"/>
          <w:lang w:val="hr-HR"/>
        </w:rPr>
      </w:pPr>
      <w:r w:rsidRPr="00DD68F6">
        <w:rPr>
          <w:sz w:val="28"/>
          <w:szCs w:val="28"/>
          <w:lang w:val="hr-HR"/>
        </w:rPr>
        <w:t>Podržavam rad izvjestitelja i zahvaljujem mu, osobito na uvažavanju članka 174. Ugovora o funkcioniranju Europske unije kojim se i otoci direktno uključuju u prijedlog.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838_26-03-2019-115501.doc"/>
    <w:docVar w:name="varSittingTitle" w:val="UTORAK 26 OŽUJKA 2019"/>
    <w:docVar w:name="varSpeaker" w:val="Tonino Picula "/>
    <w:docVar w:name="varSpeakerFirstName" w:val="Tonino "/>
    <w:docVar w:name="varSpeakerGroup" w:val="(S&amp;D)"/>
    <w:docVar w:name="varUserId" w:val="MVUKSANKNEZEVIC"/>
    <w:docVar w:name="varUserName" w:val="mvuksanknezevic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D6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68F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DD6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68F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LAZINICA Zoran</cp:lastModifiedBy>
  <cp:revision>2</cp:revision>
  <dcterms:created xsi:type="dcterms:W3CDTF">2019-03-26T11:20:00Z</dcterms:created>
  <dcterms:modified xsi:type="dcterms:W3CDTF">2019-03-26T11:20:00Z</dcterms:modified>
</cp:coreProperties>
</file>