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i/>
          <w:color w:val="111111"/>
          <w:sz w:val="24"/>
        </w:rPr>
        <w:t>Report:</w:t>
      </w:r>
      <w:r>
        <w:tab/>
      </w:r>
      <w:r>
        <w:rPr>
          <w:color w:val="111111"/>
          <w:sz w:val="24"/>
        </w:rPr>
        <w:t>REDA</w:t>
      </w:r>
      <w:r>
        <w:tab/>
        <w:tab/>
      </w:r>
      <w:r>
        <w:rPr>
          <w:color w:val="111111"/>
          <w:sz w:val="24"/>
        </w:rPr>
        <w:t>(A8-0084/2019)</w:t>
      </w:r>
      <w:r>
        <w:tab/>
      </w:r>
      <w:r>
        <w:rPr>
          <w:b/>
          <w:color w:val="111111"/>
          <w:sz w:val="24"/>
        </w:rPr>
        <w:t>[***I]</w:t>
      </w:r>
    </w:p>
    <w:p>
      <w:r>
        <w:tab/>
      </w:r>
      <w:r>
        <w:tab/>
      </w:r>
      <w:r>
        <w:tab/>
      </w:r>
      <w:r>
        <w:rPr>
          <w:color w:val="111111"/>
          <w:sz w:val="24"/>
        </w:rPr>
        <w:t>European Cybersecurity Industrial, Technology and Research Competence Centre and Network of National Coordination Centres</w:t>
      </w:r>
    </w:p>
    <w:p>
      <w:pPr>
        <w:rPr>
          <w:color w:val="111111"/>
          <w:sz w:val="24"/>
        </w:rPr>
      </w:pPr>
    </w:p>
    <w:p>
      <w:r>
        <w:tab/>
      </w:r>
      <w:r>
        <w:rPr>
          <w:i/>
          <w:color w:val="111111"/>
          <w:sz w:val="24"/>
        </w:rPr>
        <w:t>Committee:</w:t>
      </w:r>
      <w:r>
        <w:tab/>
      </w:r>
      <w:r>
        <w:rPr>
          <w:color w:val="111111"/>
          <w:sz w:val="24"/>
        </w:rPr>
        <w:t>Committee on Industry, Research and Energy</w:t>
      </w:r>
    </w:p>
    <w:p>
      <w:pPr>
        <w:rPr>
          <w:color w:val="111111"/>
          <w:sz w:val="24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4, § 7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189D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am 184 adopted on 13.3.2019 replaced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4, § 8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190D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adoption = am 185 adopted on 13.3.2019 replaced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Article 10, § 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191</w:t>
            </w:r>
          </w:p>
        </w:tc>
        <w:tc>
          <w:tcPr/>
          <w:p>
            <w:pPr>
              <w:spacing w:before="120" w:after="120"/>
              <w:jc w:val="center"/>
            </w:pPr>
            <w:r>
              <w:rPr>
                <w:sz w:val="22"/>
              </w:rPr>
              <w:t>EUL/NGL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Commission proposal</w:t>
            </w:r>
          </w:p>
        </w:tc>
        <w:tc>
          <w:tcPr/>
          <w:p>
            <w:pPr>
              <w:spacing w:before="120" w:after="120"/>
            </w:pPr>
            <w:r>
              <w:rPr>
                <w:sz w:val="22"/>
              </w:rPr>
              <w:t>RCV</w:t>
            </w: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D=Deleting amendment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"FOR"=delete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vote "AGAINST"=maintain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tab/>
      </w:r>
      <w:r>
        <w:rPr>
          <w:sz w:val="22"/>
        </w:rPr>
        <w:t>There is no vote on the original text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