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VERSION/2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SVOBODA / CORBETT</w:t>
      </w:r>
      <w:r>
        <w:tab/>
        <w:tab/>
      </w:r>
      <w:r>
        <w:rPr>
          <w:color w:val="111111"/>
          <w:sz w:val="24"/>
        </w:rPr>
        <w:t>(A8-0170/2018)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 xml:space="preserve">Interpretation and implementation of the Interinstitutional Agreement on Better Law-Making 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Legal Affairs / Committee on Constitutional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10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27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W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 xml:space="preserve">§ 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 § 10, 2nd part and recital W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76+MEPs:</w:t>
      </w:r>
      <w:r>
        <w:tab/>
      </w:r>
      <w:r>
        <w:rPr>
          <w:sz w:val="22"/>
        </w:rPr>
        <w:t>recital W and 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76+MEPs: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“Encourages developing efficient ... European competitiveness”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“with a particular ... of the economy”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 “systematically”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this word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  <w:highlight w:val="yellow"/>
        </w:rPr>
        <w:t>Mrs Hautala will move the following oral amendment: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i/>
          <w:sz w:val="22"/>
          <w:highlight w:val="yellow"/>
        </w:rPr>
        <w:t>86a</w:t>
      </w:r>
      <w:r>
        <w:rPr>
          <w:b/>
          <w:i/>
          <w:sz w:val="22"/>
          <w:highlight w:val="yellow"/>
        </w:rPr>
        <w:t xml:space="preserve"> (new)</w:t>
      </w:r>
      <w:r>
        <w:t xml:space="preserve"> </w:t>
      </w:r>
      <w:r>
        <w:rPr>
          <w:b/>
          <w:i/>
          <w:sz w:val="22"/>
          <w:highlight w:val="yellow"/>
        </w:rPr>
        <w:t>Takes due note of the judgement T-540/15 De Capitani vs European Parliament which reaffirms that the principles of publicity and transparency are inherent to the EU legislative process and that no general presumption of non-disclosure can be upheld as regards legislative documents, including trilogue documents</w:t>
      </w:r>
      <w:r>
        <w:t xml:space="preserve"> </w:t>
      </w: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