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B3BF9" w:rsidTr="003E2402">
        <w:trPr>
          <w:trHeight w:hRule="exact" w:val="1418"/>
        </w:trPr>
        <w:tc>
          <w:tcPr>
            <w:tcW w:w="6804" w:type="dxa"/>
            <w:shd w:val="clear" w:color="auto" w:fill="auto"/>
            <w:vAlign w:val="center"/>
          </w:tcPr>
          <w:p w:rsidR="00E856D2" w:rsidRPr="000B3BF9" w:rsidRDefault="00E751DE" w:rsidP="003E2402">
            <w:pPr>
              <w:pStyle w:val="EPName"/>
            </w:pPr>
            <w:r w:rsidRPr="000B3BF9">
              <w:t>Europaparlamentet</w:t>
            </w:r>
          </w:p>
          <w:p w:rsidR="00E856D2" w:rsidRPr="000B3BF9" w:rsidRDefault="00913EF8" w:rsidP="00913EF8">
            <w:pPr>
              <w:pStyle w:val="EPTerm"/>
              <w:rPr>
                <w:rStyle w:val="HideTWBExt"/>
                <w:noProof w:val="0"/>
                <w:vanish w:val="0"/>
                <w:color w:val="auto"/>
              </w:rPr>
            </w:pPr>
            <w:r w:rsidRPr="000B3BF9">
              <w:t>2014-2019</w:t>
            </w:r>
          </w:p>
        </w:tc>
        <w:tc>
          <w:tcPr>
            <w:tcW w:w="2268" w:type="dxa"/>
            <w:shd w:val="clear" w:color="auto" w:fill="auto"/>
          </w:tcPr>
          <w:p w:rsidR="00E856D2" w:rsidRPr="000B3BF9" w:rsidRDefault="00953C85"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7" o:title="EP logo RGB_Mute"/>
                </v:shape>
              </w:pict>
            </w:r>
          </w:p>
        </w:tc>
      </w:tr>
    </w:tbl>
    <w:p w:rsidR="001746D0" w:rsidRPr="000B3BF9" w:rsidRDefault="001746D0" w:rsidP="001746D0">
      <w:pPr>
        <w:pStyle w:val="LineTop"/>
      </w:pPr>
    </w:p>
    <w:p w:rsidR="001746D0" w:rsidRPr="000B3BF9" w:rsidRDefault="001746D0" w:rsidP="001746D0">
      <w:pPr>
        <w:pStyle w:val="ZCommittee"/>
      </w:pPr>
      <w:r w:rsidRPr="000B3BF9">
        <w:rPr>
          <w:rStyle w:val="HideTWBExt"/>
          <w:noProof w:val="0"/>
        </w:rPr>
        <w:t>&lt;</w:t>
      </w:r>
      <w:r w:rsidRPr="000B3BF9">
        <w:rPr>
          <w:rStyle w:val="HideTWBExt"/>
          <w:i w:val="0"/>
          <w:noProof w:val="0"/>
        </w:rPr>
        <w:t>Commission</w:t>
      </w:r>
      <w:r w:rsidRPr="000B3BF9">
        <w:rPr>
          <w:rStyle w:val="HideTWBExt"/>
          <w:noProof w:val="0"/>
        </w:rPr>
        <w:t>&gt;</w:t>
      </w:r>
      <w:r w:rsidRPr="000B3BF9">
        <w:rPr>
          <w:rStyle w:val="HideTWBInt"/>
        </w:rPr>
        <w:t>{EMPL}</w:t>
      </w:r>
      <w:r w:rsidRPr="000B3BF9">
        <w:t>Utskottet för sysselsättning och sociala frågor</w:t>
      </w:r>
      <w:r w:rsidRPr="000B3BF9">
        <w:rPr>
          <w:rStyle w:val="HideTWBExt"/>
          <w:noProof w:val="0"/>
        </w:rPr>
        <w:t>&lt;/</w:t>
      </w:r>
      <w:r w:rsidRPr="000B3BF9">
        <w:rPr>
          <w:rStyle w:val="HideTWBExt"/>
          <w:i w:val="0"/>
          <w:noProof w:val="0"/>
        </w:rPr>
        <w:t>Commission</w:t>
      </w:r>
      <w:r w:rsidRPr="000B3BF9">
        <w:rPr>
          <w:rStyle w:val="HideTWBExt"/>
          <w:noProof w:val="0"/>
        </w:rPr>
        <w:t>&gt;</w:t>
      </w:r>
    </w:p>
    <w:p w:rsidR="001746D0" w:rsidRPr="000B3BF9" w:rsidRDefault="001746D0" w:rsidP="001746D0">
      <w:pPr>
        <w:pStyle w:val="LineBottom"/>
      </w:pPr>
    </w:p>
    <w:p w:rsidR="00D3365E" w:rsidRPr="000B3BF9" w:rsidRDefault="00D3365E" w:rsidP="00D3365E">
      <w:pPr>
        <w:pStyle w:val="RefProc"/>
      </w:pPr>
      <w:r w:rsidRPr="000B3BF9">
        <w:rPr>
          <w:rStyle w:val="HideTWBExt"/>
          <w:b w:val="0"/>
          <w:noProof w:val="0"/>
        </w:rPr>
        <w:t>&lt;</w:t>
      </w:r>
      <w:r w:rsidRPr="000B3BF9">
        <w:rPr>
          <w:rStyle w:val="HideTWBExt"/>
          <w:b w:val="0"/>
          <w:caps w:val="0"/>
          <w:noProof w:val="0"/>
        </w:rPr>
        <w:t>RefProc</w:t>
      </w:r>
      <w:r w:rsidRPr="000B3BF9">
        <w:rPr>
          <w:rStyle w:val="HideTWBExt"/>
          <w:b w:val="0"/>
          <w:noProof w:val="0"/>
        </w:rPr>
        <w:t>&gt;</w:t>
      </w:r>
      <w:r w:rsidRPr="000B3BF9">
        <w:t>2016/2162(DEC)</w:t>
      </w:r>
      <w:r w:rsidRPr="000B3BF9">
        <w:rPr>
          <w:rStyle w:val="HideTWBExt"/>
          <w:b w:val="0"/>
          <w:noProof w:val="0"/>
        </w:rPr>
        <w:t>&lt;/</w:t>
      </w:r>
      <w:r w:rsidRPr="000B3BF9">
        <w:rPr>
          <w:rStyle w:val="HideTWBExt"/>
          <w:b w:val="0"/>
          <w:caps w:val="0"/>
          <w:noProof w:val="0"/>
        </w:rPr>
        <w:t>RefProc</w:t>
      </w:r>
      <w:r w:rsidRPr="000B3BF9">
        <w:rPr>
          <w:rStyle w:val="HideTWBExt"/>
          <w:b w:val="0"/>
          <w:noProof w:val="0"/>
        </w:rPr>
        <w:t>&gt;</w:t>
      </w:r>
    </w:p>
    <w:p w:rsidR="00D3365E" w:rsidRPr="000B3BF9" w:rsidRDefault="00D3365E" w:rsidP="00D3365E">
      <w:pPr>
        <w:pStyle w:val="ZDate"/>
      </w:pPr>
      <w:r w:rsidRPr="000B3BF9">
        <w:rPr>
          <w:rStyle w:val="HideTWBExt"/>
          <w:noProof w:val="0"/>
        </w:rPr>
        <w:t>&lt;Date&gt;</w:t>
      </w:r>
      <w:r w:rsidRPr="000B3BF9">
        <w:rPr>
          <w:rStyle w:val="HideTWBInt"/>
        </w:rPr>
        <w:t>{31/01/2017}</w:t>
      </w:r>
      <w:r w:rsidRPr="000B3BF9">
        <w:t>31.1.2017</w:t>
      </w:r>
      <w:r w:rsidRPr="000B3BF9">
        <w:rPr>
          <w:rStyle w:val="HideTWBExt"/>
          <w:noProof w:val="0"/>
        </w:rPr>
        <w:t>&lt;/Date&gt;</w:t>
      </w:r>
    </w:p>
    <w:p w:rsidR="00D3365E" w:rsidRPr="000B3BF9" w:rsidRDefault="00D3365E" w:rsidP="00D3365E">
      <w:pPr>
        <w:pStyle w:val="TypeDoc"/>
      </w:pPr>
      <w:r w:rsidRPr="000B3BF9">
        <w:rPr>
          <w:rStyle w:val="HideTWBExt"/>
          <w:b w:val="0"/>
          <w:noProof w:val="0"/>
        </w:rPr>
        <w:t>&lt;TitreType&gt;</w:t>
      </w:r>
      <w:r w:rsidRPr="000B3BF9">
        <w:t>YTTRANDE</w:t>
      </w:r>
      <w:r w:rsidRPr="000B3BF9">
        <w:rPr>
          <w:rStyle w:val="HideTWBExt"/>
          <w:b w:val="0"/>
          <w:noProof w:val="0"/>
        </w:rPr>
        <w:t>&lt;/TitreType&gt;</w:t>
      </w:r>
    </w:p>
    <w:p w:rsidR="00D3365E" w:rsidRPr="000B3BF9" w:rsidRDefault="00D3365E" w:rsidP="00D3365E">
      <w:pPr>
        <w:pStyle w:val="Cover24"/>
      </w:pPr>
      <w:r w:rsidRPr="000B3BF9">
        <w:rPr>
          <w:rStyle w:val="HideTWBExt"/>
          <w:noProof w:val="0"/>
        </w:rPr>
        <w:t>&lt;CommissionResp&gt;</w:t>
      </w:r>
      <w:r w:rsidRPr="000B3BF9">
        <w:t>från utskottet för sysselsättning och sociala frågor</w:t>
      </w:r>
      <w:r w:rsidRPr="000B3BF9">
        <w:rPr>
          <w:rStyle w:val="HideTWBExt"/>
          <w:noProof w:val="0"/>
        </w:rPr>
        <w:t>&lt;/CommissionResp&gt;</w:t>
      </w:r>
    </w:p>
    <w:p w:rsidR="00D3365E" w:rsidRPr="000B3BF9" w:rsidRDefault="00D3365E" w:rsidP="00D3365E">
      <w:pPr>
        <w:pStyle w:val="Cover24"/>
      </w:pPr>
      <w:r w:rsidRPr="000B3BF9">
        <w:rPr>
          <w:rStyle w:val="HideTWBExt"/>
          <w:noProof w:val="0"/>
        </w:rPr>
        <w:t>&lt;CommissionInt&gt;</w:t>
      </w:r>
      <w:r w:rsidRPr="000B3BF9">
        <w:t>till budgetkontrollutskottet</w:t>
      </w:r>
      <w:r w:rsidRPr="000B3BF9">
        <w:rPr>
          <w:rStyle w:val="HideTWBExt"/>
          <w:noProof w:val="0"/>
        </w:rPr>
        <w:t>&lt;/CommissionInt&gt;</w:t>
      </w:r>
    </w:p>
    <w:p w:rsidR="00D3365E" w:rsidRPr="000B3BF9" w:rsidRDefault="00D3365E" w:rsidP="00D3365E">
      <w:pPr>
        <w:pStyle w:val="CoverNormal"/>
      </w:pPr>
      <w:r w:rsidRPr="000B3BF9">
        <w:rPr>
          <w:rStyle w:val="HideTWBExt"/>
          <w:noProof w:val="0"/>
        </w:rPr>
        <w:t>&lt;Titre&gt;</w:t>
      </w:r>
      <w:r w:rsidRPr="000B3BF9">
        <w:t>över ansvarsfrihet för genomförandet av budgeten för Europeiska institutet för förbätt</w:t>
      </w:r>
      <w:bookmarkStart w:id="0" w:name="_GoBack"/>
      <w:bookmarkEnd w:id="0"/>
      <w:r w:rsidRPr="000B3BF9">
        <w:t>ring av levnads- och arbetsvillkor för budgetåret 2015</w:t>
      </w:r>
      <w:r w:rsidRPr="000B3BF9">
        <w:rPr>
          <w:rStyle w:val="HideTWBExt"/>
          <w:noProof w:val="0"/>
        </w:rPr>
        <w:t>&lt;/Titre&gt;</w:t>
      </w:r>
    </w:p>
    <w:p w:rsidR="00D3365E" w:rsidRPr="000B3BF9" w:rsidRDefault="00D3365E" w:rsidP="00D3365E">
      <w:pPr>
        <w:pStyle w:val="Cover24"/>
      </w:pPr>
      <w:r w:rsidRPr="000B3BF9">
        <w:rPr>
          <w:rStyle w:val="HideTWBExt"/>
          <w:noProof w:val="0"/>
        </w:rPr>
        <w:t>&lt;DocRef&gt;</w:t>
      </w:r>
      <w:r w:rsidRPr="000B3BF9">
        <w:t>(2016/2162(DEC))</w:t>
      </w:r>
      <w:r w:rsidRPr="000B3BF9">
        <w:rPr>
          <w:rStyle w:val="HideTWBExt"/>
          <w:noProof w:val="0"/>
        </w:rPr>
        <w:t>&lt;/DocRef&gt;</w:t>
      </w:r>
    </w:p>
    <w:p w:rsidR="00D3365E" w:rsidRPr="000B3BF9" w:rsidRDefault="00D3365E" w:rsidP="00D3365E">
      <w:pPr>
        <w:pStyle w:val="Cover24"/>
      </w:pPr>
      <w:r w:rsidRPr="000B3BF9">
        <w:t xml:space="preserve">Föredragande av yttrande: </w:t>
      </w:r>
      <w:r w:rsidRPr="000B3BF9">
        <w:rPr>
          <w:rStyle w:val="HideTWBExt"/>
          <w:noProof w:val="0"/>
        </w:rPr>
        <w:t>&lt;Depute&gt;</w:t>
      </w:r>
      <w:r w:rsidRPr="000B3BF9">
        <w:t>Marian Harkin</w:t>
      </w:r>
      <w:r w:rsidRPr="000B3BF9">
        <w:rPr>
          <w:rStyle w:val="HideTWBExt"/>
          <w:noProof w:val="0"/>
        </w:rPr>
        <w:t>&lt;/Depute&gt;</w:t>
      </w:r>
    </w:p>
    <w:p w:rsidR="00D3365E" w:rsidRPr="000B3BF9" w:rsidRDefault="00D3365E" w:rsidP="00D3365E">
      <w:pPr>
        <w:widowControl/>
        <w:tabs>
          <w:tab w:val="center" w:pos="4677"/>
        </w:tabs>
      </w:pPr>
      <w:r w:rsidRPr="000B3BF9">
        <w:br w:type="page"/>
      </w:r>
      <w:r w:rsidRPr="000B3BF9">
        <w:lastRenderedPageBreak/>
        <w:t>PA_NonLeg</w:t>
      </w:r>
    </w:p>
    <w:p w:rsidR="00D3365E" w:rsidRPr="000B3BF9" w:rsidRDefault="00D3365E" w:rsidP="00D3365E">
      <w:pPr>
        <w:pStyle w:val="PageHeadingNotTOC"/>
      </w:pPr>
      <w:r w:rsidRPr="000B3BF9">
        <w:br w:type="page"/>
      </w:r>
      <w:r w:rsidRPr="000B3BF9">
        <w:lastRenderedPageBreak/>
        <w:t>FÖRSLAG</w:t>
      </w:r>
    </w:p>
    <w:p w:rsidR="00D3365E" w:rsidRPr="000B3BF9" w:rsidRDefault="00D3365E" w:rsidP="00D3365E">
      <w:pPr>
        <w:pStyle w:val="Normal12Tab"/>
      </w:pPr>
      <w:r w:rsidRPr="000B3BF9">
        <w:t>Utskottet för sysselsättning och sociala frågor uppmanar budgetkontrollutskottet att som ansvarigt utskott infoga följande i sitt resolutionsförslag:</w:t>
      </w:r>
    </w:p>
    <w:p w:rsidR="00D3365E" w:rsidRPr="000B3BF9" w:rsidRDefault="00D3365E" w:rsidP="00D3365E">
      <w:pPr>
        <w:pStyle w:val="Hanging12"/>
      </w:pPr>
      <w:bookmarkStart w:id="1" w:name="restart"/>
      <w:r w:rsidRPr="000B3BF9">
        <w:t>1.</w:t>
      </w:r>
      <w:r w:rsidRPr="000B3BF9">
        <w:tab/>
        <w:t>Europaparlamentet uttrycker sin tillfredsställelse över att revisionsrätten förklarat att de transaktioner som ligger till grund för institutets årliga räkenskaper för budgetåret 2015 är lagliga och korrekta och att dess finansiella ställning per den 31 december 2015 återges på ett rättvisande sätt.</w:t>
      </w:r>
    </w:p>
    <w:bookmarkEnd w:id="1"/>
    <w:p w:rsidR="00D3365E" w:rsidRPr="000B3BF9" w:rsidRDefault="00D3365E" w:rsidP="00D3365E">
      <w:pPr>
        <w:pStyle w:val="Hanging12"/>
      </w:pPr>
      <w:r w:rsidRPr="000B3BF9">
        <w:t>2.</w:t>
      </w:r>
      <w:r w:rsidRPr="000B3BF9">
        <w:tab/>
        <w:t>Europaparlamentet uppmärksammar de framsteg som institutet gjort när det gäller att genomföra det nuvarande fyraåriga programmet för perioden 2013–2016 avseende forskning om utvecklingen av social- och arbetsmarknadspolitiken. Parlamentet välkomnar institutets bidrag till policyutvecklingen genom ett konstant stort antal kvalitetsundersökningar, studier, presentationer, evenemang och projekt, i syfte att fortlöpande förbättra levnads- och arbetsvillkoren i unionen. Parlamentet noterar inledningen av Europaparlamentets pilotprojekt ”Tillverkningens framtid”. Parlamentet anser det vara viktigt att upprätthålla ett nära samarbete mellan institutet och utskottet för sysselsättning och sociala frågor så att man även i fortsättningen ska kunna föra konstruktiva och faktabaserade diskussioner. Parlamentet uppmanar institutet att fortsätta att noggrant övervaka, analysera och rapportera om levnads- och arbetsvillkor och att tillhandahålla expertis för att förbättra dessa.</w:t>
      </w:r>
    </w:p>
    <w:p w:rsidR="00D3365E" w:rsidRPr="000B3BF9" w:rsidRDefault="00D3365E" w:rsidP="00D3365E">
      <w:pPr>
        <w:pStyle w:val="Hanging12"/>
        <w:rPr>
          <w:szCs w:val="24"/>
        </w:rPr>
      </w:pPr>
      <w:r w:rsidRPr="000B3BF9">
        <w:t>3.</w:t>
      </w:r>
      <w:r w:rsidRPr="000B3BF9">
        <w:tab/>
        <w:t>Europaparlamentet noterar institutets stora genomslagskraft, i synnerhet när det gäller att stödja unionens institutioner, vilket avspeglas i de resultatindikatorer som presenteras i den konsoliderade årliga verksamhetsrapporten.</w:t>
      </w:r>
    </w:p>
    <w:p w:rsidR="00D3365E" w:rsidRPr="000B3BF9" w:rsidRDefault="00D3365E" w:rsidP="00D3365E">
      <w:pPr>
        <w:pStyle w:val="Hanging12"/>
      </w:pPr>
      <w:r w:rsidRPr="000B3BF9">
        <w:t>4.</w:t>
      </w:r>
      <w:r w:rsidRPr="000B3BF9">
        <w:tab/>
        <w:t>Europaparlamentet lovordar högt den höga budgetgenomförandegraden för 2015 (99,9%) och den överlag goda måluppfyllelsen.</w:t>
      </w:r>
    </w:p>
    <w:p w:rsidR="00D3365E" w:rsidRPr="000B3BF9" w:rsidRDefault="00D3365E" w:rsidP="00D3365E">
      <w:pPr>
        <w:pStyle w:val="Hanging12"/>
      </w:pPr>
      <w:r w:rsidRPr="000B3BF9">
        <w:t>5.</w:t>
      </w:r>
      <w:r w:rsidRPr="000B3BF9">
        <w:tab/>
        <w:t>Europaparlamentet noterar att andelen gjorda åtaganden som fördes över till 2016 var hög för avdelning III (31,2 % jämfört med 53,7 % 2014). Parlamentet noterar att överföringarna främst hänförde sig till fleråriga projekt som genomfördes enligt tidsplanen. Parlamentet betonar dock att ytterligare insatser behövs för att uppfylla målet att genomföra de planerade verksamheterna i tid.</w:t>
      </w:r>
    </w:p>
    <w:p w:rsidR="00D3365E" w:rsidRPr="000B3BF9" w:rsidRDefault="00D3365E" w:rsidP="00D3365E">
      <w:pPr>
        <w:pStyle w:val="Hanging12"/>
        <w:rPr>
          <w:szCs w:val="24"/>
        </w:rPr>
      </w:pPr>
      <w:r w:rsidRPr="000B3BF9">
        <w:t>6.</w:t>
      </w:r>
      <w:r w:rsidRPr="000B3BF9">
        <w:tab/>
        <w:t>Europaparlamentet välkomnar institutets uppföljningsåtgärder till följd av de kommentarer som den ansvarsfrihetsbeviljande myndigheten gjorde avseende genomförandet av tidigare års budgetar.</w:t>
      </w:r>
    </w:p>
    <w:p w:rsidR="00D3365E" w:rsidRPr="000B3BF9" w:rsidRDefault="00D3365E" w:rsidP="00D3365E">
      <w:pPr>
        <w:pStyle w:val="Hanging12"/>
      </w:pPr>
      <w:r w:rsidRPr="000B3BF9">
        <w:t xml:space="preserve">7. </w:t>
      </w:r>
      <w:r w:rsidRPr="000B3BF9">
        <w:tab/>
        <w:t>Europaparlamentet välkomnar den överenskommelse mellan Irland och institutet om ett säte som ingicks i november 2015.</w:t>
      </w:r>
    </w:p>
    <w:p w:rsidR="00D3365E" w:rsidRPr="000B3BF9" w:rsidRDefault="00D3365E" w:rsidP="00D3365E">
      <w:pPr>
        <w:pStyle w:val="PageHeadingNotTOC"/>
      </w:pPr>
      <w:r w:rsidRPr="000B3BF9">
        <w:br w:type="page"/>
      </w:r>
      <w:r w:rsidRPr="000B3BF9">
        <w:lastRenderedPageBreak/>
        <w:t>RESULTAT AV SLUTOMRÖSTNINGEN I DET RÅDGIVANDE UTSKOTTET</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D3365E" w:rsidRPr="000B3BF9" w:rsidTr="00D3365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b/>
                <w:bCs/>
                <w:color w:val="000000"/>
                <w:sz w:val="20"/>
              </w:rPr>
            </w:pPr>
            <w:r w:rsidRPr="000B3BF9">
              <w:rPr>
                <w:b/>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D3365E" w:rsidRPr="000B3BF9" w:rsidRDefault="00D3365E">
            <w:pPr>
              <w:autoSpaceDE w:val="0"/>
              <w:autoSpaceDN w:val="0"/>
              <w:adjustRightInd w:val="0"/>
              <w:rPr>
                <w:color w:val="000000"/>
                <w:sz w:val="20"/>
              </w:rPr>
            </w:pPr>
            <w:r w:rsidRPr="000B3BF9">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365E" w:rsidRPr="000B3BF9" w:rsidRDefault="00D3365E">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365E" w:rsidRPr="000B3BF9" w:rsidRDefault="00D3365E">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365E" w:rsidRPr="000B3BF9" w:rsidRDefault="00D3365E">
            <w:pPr>
              <w:autoSpaceDE w:val="0"/>
              <w:autoSpaceDN w:val="0"/>
              <w:adjustRightInd w:val="0"/>
              <w:rPr>
                <w:rFonts w:ascii="Arial" w:hAnsi="Arial" w:cs="Arial"/>
                <w:color w:val="000000"/>
                <w:szCs w:val="24"/>
              </w:rPr>
            </w:pPr>
          </w:p>
        </w:tc>
      </w:tr>
      <w:tr w:rsidR="00D3365E" w:rsidRPr="000B3BF9" w:rsidTr="00D3365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b/>
                <w:bCs/>
                <w:color w:val="000000"/>
                <w:sz w:val="20"/>
              </w:rPr>
            </w:pPr>
            <w:r w:rsidRPr="000B3BF9">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D3365E" w:rsidRPr="000B3BF9" w:rsidRDefault="00D3365E">
            <w:pPr>
              <w:autoSpaceDE w:val="0"/>
              <w:autoSpaceDN w:val="0"/>
              <w:adjustRightInd w:val="0"/>
              <w:rPr>
                <w:color w:val="000000"/>
                <w:sz w:val="20"/>
              </w:rPr>
            </w:pPr>
            <w:r w:rsidRPr="000B3BF9">
              <w:rPr>
                <w:color w:val="000000"/>
                <w:sz w:val="20"/>
              </w:rPr>
              <w:t>+:</w:t>
            </w:r>
          </w:p>
          <w:p w:rsidR="00D3365E" w:rsidRPr="000B3BF9" w:rsidRDefault="00D3365E">
            <w:pPr>
              <w:autoSpaceDE w:val="0"/>
              <w:autoSpaceDN w:val="0"/>
              <w:adjustRightInd w:val="0"/>
              <w:rPr>
                <w:color w:val="000000"/>
                <w:sz w:val="20"/>
              </w:rPr>
            </w:pPr>
            <w:r w:rsidRPr="000B3BF9">
              <w:rPr>
                <w:color w:val="000000"/>
                <w:sz w:val="20"/>
              </w:rPr>
              <w:t>–:</w:t>
            </w:r>
          </w:p>
          <w:p w:rsidR="00D3365E" w:rsidRPr="000B3BF9" w:rsidRDefault="00D3365E">
            <w:pPr>
              <w:autoSpaceDE w:val="0"/>
              <w:autoSpaceDN w:val="0"/>
              <w:adjustRightInd w:val="0"/>
              <w:rPr>
                <w:color w:val="000000"/>
                <w:sz w:val="20"/>
              </w:rPr>
            </w:pPr>
            <w:r w:rsidRPr="000B3BF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color w:val="000000"/>
                <w:sz w:val="20"/>
              </w:rPr>
            </w:pPr>
            <w:r w:rsidRPr="000B3BF9">
              <w:rPr>
                <w:color w:val="000000"/>
                <w:sz w:val="20"/>
              </w:rPr>
              <w:t>48</w:t>
            </w:r>
          </w:p>
          <w:p w:rsidR="00D3365E" w:rsidRPr="000B3BF9" w:rsidRDefault="00D3365E">
            <w:pPr>
              <w:autoSpaceDE w:val="0"/>
              <w:autoSpaceDN w:val="0"/>
              <w:adjustRightInd w:val="0"/>
              <w:rPr>
                <w:color w:val="000000"/>
                <w:sz w:val="20"/>
              </w:rPr>
            </w:pPr>
            <w:r w:rsidRPr="000B3BF9">
              <w:rPr>
                <w:color w:val="000000"/>
                <w:sz w:val="20"/>
              </w:rPr>
              <w:t>3</w:t>
            </w:r>
          </w:p>
          <w:p w:rsidR="00D3365E" w:rsidRPr="000B3BF9" w:rsidRDefault="00D3365E">
            <w:pPr>
              <w:autoSpaceDE w:val="0"/>
              <w:autoSpaceDN w:val="0"/>
              <w:adjustRightInd w:val="0"/>
              <w:rPr>
                <w:color w:val="000000"/>
                <w:sz w:val="20"/>
              </w:rPr>
            </w:pPr>
            <w:r w:rsidRPr="000B3BF9">
              <w:rPr>
                <w:color w:val="000000"/>
                <w:sz w:val="20"/>
              </w:rPr>
              <w:t>0</w:t>
            </w:r>
          </w:p>
        </w:tc>
      </w:tr>
      <w:tr w:rsidR="00D3365E" w:rsidRPr="000B3BF9" w:rsidTr="00D3365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b/>
                <w:bCs/>
                <w:color w:val="000000"/>
                <w:sz w:val="20"/>
              </w:rPr>
            </w:pPr>
            <w:r w:rsidRPr="000B3BF9">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color w:val="000000"/>
                <w:sz w:val="20"/>
              </w:rPr>
            </w:pPr>
            <w:r w:rsidRPr="000B3BF9">
              <w:rPr>
                <w:color w:val="000000"/>
                <w:sz w:val="20"/>
              </w:rPr>
              <w:t>Laura Agea, Brando Benifei, Vilija Blinkevičiūtė, Enrique Calvet Chambon, Ole Christensen, Martina Dlabajová, Lampros Fountoulis, Arne Gericke, Marian Harkin, Czesław Hoc, Agnes Jongerius, Rina Ronja Kari, Jan Keller, Agnieszka Kozłowska-Rajewicz, Jean Lambert, Jérôme Lavrilleux, Patrick Le Hyaric, Jeroen Lenaers, Verónica Lope Fontagné, Javi López, Thomas Mann, Dominique Martin, Joëlle Mélin, Elisabeth Morin-Chartier, João Pimenta Lopes, Georgi Pirinski, Terry Reintke, Sofia Ribeiro, Robert Rochefort, Claude Rolin, Anne Sander, Sven Schulze, Siôn Simon, Jutta Steinruck, Romana Tomc, Yana Toom, Ulrike Trebesius, Marita Ulvskog, Renate Weber, Jana Žitňanská</w:t>
            </w:r>
          </w:p>
        </w:tc>
      </w:tr>
      <w:tr w:rsidR="00D3365E" w:rsidRPr="000B3BF9" w:rsidTr="00D3365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b/>
                <w:bCs/>
                <w:color w:val="000000"/>
                <w:sz w:val="20"/>
              </w:rPr>
            </w:pPr>
            <w:r w:rsidRPr="000B3BF9">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color w:val="000000"/>
                <w:sz w:val="20"/>
              </w:rPr>
            </w:pPr>
            <w:r w:rsidRPr="000B3BF9">
              <w:rPr>
                <w:color w:val="000000"/>
                <w:sz w:val="20"/>
              </w:rPr>
              <w:t>Georges Bach, Heinz K. Becker, Lynn Boylan, Dieter-Lebrecht Koch, Paloma López Bermejo, Edouard Martin, Evelyn Regner, Csaba Sógor, Helga Stevens, Flavio Zanonato</w:t>
            </w:r>
          </w:p>
        </w:tc>
      </w:tr>
      <w:tr w:rsidR="00D3365E" w:rsidRPr="000B3BF9" w:rsidTr="00D3365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b/>
                <w:bCs/>
                <w:color w:val="000000"/>
                <w:sz w:val="20"/>
              </w:rPr>
            </w:pPr>
            <w:r w:rsidRPr="000B3BF9">
              <w:rPr>
                <w:b/>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D3365E" w:rsidRPr="000B3BF9" w:rsidRDefault="00D3365E">
            <w:pPr>
              <w:autoSpaceDE w:val="0"/>
              <w:autoSpaceDN w:val="0"/>
              <w:adjustRightInd w:val="0"/>
              <w:rPr>
                <w:color w:val="000000"/>
                <w:sz w:val="20"/>
              </w:rPr>
            </w:pPr>
            <w:r w:rsidRPr="000B3BF9">
              <w:rPr>
                <w:color w:val="000000"/>
                <w:sz w:val="20"/>
              </w:rPr>
              <w:t>Marco Valli</w:t>
            </w:r>
          </w:p>
        </w:tc>
      </w:tr>
    </w:tbl>
    <w:p w:rsidR="00D3365E" w:rsidRPr="000B3BF9" w:rsidRDefault="00D3365E" w:rsidP="00D3365E">
      <w:pPr>
        <w:autoSpaceDE w:val="0"/>
        <w:autoSpaceDN w:val="0"/>
        <w:adjustRightInd w:val="0"/>
        <w:rPr>
          <w:rFonts w:ascii="Arial" w:hAnsi="Arial" w:cs="Arial"/>
          <w:szCs w:val="24"/>
        </w:rPr>
      </w:pPr>
    </w:p>
    <w:p w:rsidR="00D3365E" w:rsidRPr="000B3BF9" w:rsidRDefault="00D3365E" w:rsidP="00D3365E"/>
    <w:p w:rsidR="00D3365E" w:rsidRPr="000B3BF9" w:rsidRDefault="00D3365E" w:rsidP="00D3365E">
      <w:pPr>
        <w:pStyle w:val="PageHeadingNotTOC"/>
      </w:pPr>
      <w:r w:rsidRPr="000B3BF9">
        <w:br w:type="page"/>
      </w:r>
      <w:bookmarkStart w:id="2" w:name="_Toc470012295"/>
      <w:bookmarkStart w:id="3" w:name="RollCallPage"/>
      <w:r w:rsidRPr="000B3BF9">
        <w:lastRenderedPageBreak/>
        <w:t>SLUTOMRÖSTNING MED NAMNUPPROP I DET ANSVARIGA UTSKOTTET</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3365E" w:rsidRPr="000B3BF9" w:rsidTr="00D3365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3365E" w:rsidRPr="000B3BF9" w:rsidRDefault="00D3365E">
            <w:pPr>
              <w:spacing w:before="120" w:after="120"/>
              <w:jc w:val="center"/>
              <w:rPr>
                <w:b/>
                <w:sz w:val="16"/>
              </w:rPr>
            </w:pPr>
            <w:r w:rsidRPr="000B3BF9">
              <w:rPr>
                <w:b/>
                <w:sz w:val="16"/>
              </w:rPr>
              <w:t>48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3365E" w:rsidRPr="000B3BF9" w:rsidRDefault="00D3365E">
            <w:pPr>
              <w:spacing w:before="120" w:after="120"/>
              <w:jc w:val="center"/>
              <w:rPr>
                <w:rFonts w:ascii="Arial" w:hAnsi="Arial" w:cs="Arial"/>
                <w:b/>
                <w:sz w:val="28"/>
                <w:szCs w:val="28"/>
              </w:rPr>
            </w:pPr>
            <w:r w:rsidRPr="000B3BF9">
              <w:rPr>
                <w:rFonts w:ascii="Arial" w:hAnsi="Arial"/>
                <w:b/>
                <w:sz w:val="28"/>
              </w:rPr>
              <w:t>+</w:t>
            </w:r>
          </w:p>
        </w:tc>
      </w:tr>
      <w:tr w:rsidR="00D3365E" w:rsidRPr="000B3BF9" w:rsidTr="00D3365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3365E" w:rsidRPr="000B3BF9" w:rsidRDefault="00D3365E">
            <w:pPr>
              <w:spacing w:before="120" w:after="120"/>
              <w:rPr>
                <w:sz w:val="16"/>
              </w:rPr>
            </w:pPr>
            <w:r w:rsidRPr="000B3BF9">
              <w:rPr>
                <w:sz w:val="16"/>
              </w:rPr>
              <w:t>ALDE</w:t>
            </w:r>
          </w:p>
          <w:p w:rsidR="00D3365E" w:rsidRPr="000B3BF9" w:rsidRDefault="00D3365E">
            <w:pPr>
              <w:spacing w:before="120" w:after="120"/>
              <w:rPr>
                <w:sz w:val="16"/>
              </w:rPr>
            </w:pPr>
            <w:r w:rsidRPr="000B3BF9">
              <w:rPr>
                <w:sz w:val="16"/>
              </w:rPr>
              <w:t>ECR</w:t>
            </w:r>
          </w:p>
          <w:p w:rsidR="00D3365E" w:rsidRPr="000B3BF9" w:rsidRDefault="00D3365E">
            <w:pPr>
              <w:spacing w:before="120" w:after="120"/>
              <w:rPr>
                <w:sz w:val="16"/>
              </w:rPr>
            </w:pPr>
            <w:r w:rsidRPr="000B3BF9">
              <w:rPr>
                <w:sz w:val="16"/>
              </w:rPr>
              <w:t>EFDD</w:t>
            </w:r>
          </w:p>
          <w:p w:rsidR="00D3365E" w:rsidRPr="000B3BF9" w:rsidRDefault="00D3365E">
            <w:pPr>
              <w:spacing w:before="120" w:after="120"/>
              <w:rPr>
                <w:sz w:val="16"/>
              </w:rPr>
            </w:pPr>
            <w:r w:rsidRPr="000B3BF9">
              <w:rPr>
                <w:sz w:val="16"/>
              </w:rPr>
              <w:t>GUE/NGL</w:t>
            </w:r>
          </w:p>
          <w:p w:rsidR="00D3365E" w:rsidRPr="000B3BF9" w:rsidRDefault="00D3365E">
            <w:pPr>
              <w:spacing w:before="120" w:after="360"/>
              <w:rPr>
                <w:sz w:val="16"/>
              </w:rPr>
            </w:pPr>
            <w:r w:rsidRPr="000B3BF9">
              <w:rPr>
                <w:sz w:val="16"/>
              </w:rPr>
              <w:t>PPE</w:t>
            </w:r>
          </w:p>
          <w:p w:rsidR="00D3365E" w:rsidRPr="000B3BF9" w:rsidRDefault="00D3365E">
            <w:pPr>
              <w:spacing w:before="120" w:after="360"/>
              <w:rPr>
                <w:sz w:val="16"/>
              </w:rPr>
            </w:pPr>
            <w:r w:rsidRPr="000B3BF9">
              <w:rPr>
                <w:sz w:val="16"/>
              </w:rPr>
              <w:t>S&amp;D</w:t>
            </w:r>
          </w:p>
          <w:p w:rsidR="00D3365E" w:rsidRPr="000B3BF9" w:rsidRDefault="00D3365E">
            <w:pPr>
              <w:spacing w:before="120" w:after="120"/>
              <w:rPr>
                <w:sz w:val="16"/>
              </w:rPr>
            </w:pPr>
            <w:r w:rsidRPr="000B3BF9">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3365E" w:rsidRPr="000B3BF9" w:rsidRDefault="00D3365E">
            <w:pPr>
              <w:spacing w:before="120" w:after="120"/>
              <w:rPr>
                <w:sz w:val="16"/>
              </w:rPr>
            </w:pPr>
            <w:r w:rsidRPr="000B3BF9">
              <w:rPr>
                <w:sz w:val="16"/>
              </w:rPr>
              <w:t>Enrique Calvet Chambon, Martina Dlabajová, Marian Harkin, Robert Rochefort, Yana Toom, Renate Weber</w:t>
            </w:r>
          </w:p>
          <w:p w:rsidR="00D3365E" w:rsidRPr="000B3BF9" w:rsidRDefault="00D3365E">
            <w:pPr>
              <w:spacing w:before="120" w:after="120"/>
              <w:rPr>
                <w:sz w:val="16"/>
              </w:rPr>
            </w:pPr>
            <w:r w:rsidRPr="000B3BF9">
              <w:rPr>
                <w:sz w:val="16"/>
              </w:rPr>
              <w:t>Arne Gericke, Czesław Hoc, Helga Stevens, Ulrike Trebesius, Jana Žitňanská</w:t>
            </w:r>
          </w:p>
          <w:p w:rsidR="00D3365E" w:rsidRPr="000B3BF9" w:rsidRDefault="00D3365E">
            <w:pPr>
              <w:spacing w:before="120" w:after="120"/>
              <w:rPr>
                <w:sz w:val="16"/>
              </w:rPr>
            </w:pPr>
            <w:r w:rsidRPr="000B3BF9">
              <w:rPr>
                <w:sz w:val="16"/>
              </w:rPr>
              <w:t>Laura Agea, Marco Valli</w:t>
            </w:r>
          </w:p>
          <w:p w:rsidR="00D3365E" w:rsidRPr="000B3BF9" w:rsidRDefault="00D3365E">
            <w:pPr>
              <w:spacing w:before="120" w:after="120"/>
              <w:rPr>
                <w:sz w:val="16"/>
              </w:rPr>
            </w:pPr>
            <w:r w:rsidRPr="000B3BF9">
              <w:rPr>
                <w:sz w:val="16"/>
              </w:rPr>
              <w:t>Lynn Boylan, Rina Ronja Kari, Patrick Le Hyaric, Paloma López Bermejo, João Pimenta Lopes</w:t>
            </w:r>
          </w:p>
          <w:p w:rsidR="00D3365E" w:rsidRPr="000B3BF9" w:rsidRDefault="00D3365E">
            <w:pPr>
              <w:spacing w:before="120" w:after="20"/>
              <w:rPr>
                <w:sz w:val="16"/>
              </w:rPr>
            </w:pPr>
            <w:r w:rsidRPr="000B3BF9">
              <w:rPr>
                <w:sz w:val="16"/>
              </w:rPr>
              <w:t>Georges Bach, Heinz K. Becker, Dieter-Lebrecht Koch, Agnieszka Kozłowska-Rajewicz, Jérôme Lavrilleux, Jeroen Lenaers, Verónica Lope Fontagné, Thomas Mann, Elisabeth Morin-Chartier, Sofia Ribeiro, Claude Rolin, Anne Sander, Sven Schulze, Csaba Sógor, Romana Tomc</w:t>
            </w:r>
          </w:p>
          <w:p w:rsidR="00D3365E" w:rsidRPr="000B3BF9" w:rsidRDefault="00D3365E">
            <w:pPr>
              <w:spacing w:before="120" w:after="140"/>
              <w:rPr>
                <w:sz w:val="16"/>
              </w:rPr>
            </w:pPr>
            <w:r w:rsidRPr="000B3BF9">
              <w:rPr>
                <w:sz w:val="16"/>
              </w:rPr>
              <w:t>Brando Benifei, Vilija Blinkevičiūtė, Ole Christensen, Agnes Jongerius, Jan Keller, Javi López, Edouard Martin, Georgi Pirinski, Evelyn Regner, Siôn Simon, Jutta Steinruck, Marita Ulvskog, Flavio Zanonato</w:t>
            </w:r>
          </w:p>
          <w:p w:rsidR="00D3365E" w:rsidRPr="000B3BF9" w:rsidRDefault="00D3365E">
            <w:pPr>
              <w:spacing w:before="120" w:after="120"/>
              <w:rPr>
                <w:sz w:val="16"/>
              </w:rPr>
            </w:pPr>
            <w:r w:rsidRPr="000B3BF9">
              <w:rPr>
                <w:sz w:val="16"/>
              </w:rPr>
              <w:t>Jean Lambert, Terry Reintke</w:t>
            </w:r>
          </w:p>
          <w:p w:rsidR="00D3365E" w:rsidRPr="000B3BF9" w:rsidRDefault="00D3365E">
            <w:pPr>
              <w:spacing w:before="120" w:after="120"/>
              <w:rPr>
                <w:sz w:val="16"/>
              </w:rPr>
            </w:pPr>
          </w:p>
        </w:tc>
      </w:tr>
    </w:tbl>
    <w:p w:rsidR="00D3365E" w:rsidRPr="000B3BF9" w:rsidRDefault="00D3365E" w:rsidP="00D3365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3365E" w:rsidRPr="000B3BF9" w:rsidTr="00D3365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3365E" w:rsidRPr="000B3BF9" w:rsidRDefault="00D3365E">
            <w:pPr>
              <w:spacing w:before="120" w:after="120"/>
              <w:jc w:val="center"/>
              <w:rPr>
                <w:b/>
                <w:sz w:val="16"/>
              </w:rPr>
            </w:pPr>
            <w:r w:rsidRPr="000B3BF9">
              <w:rPr>
                <w:b/>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3365E" w:rsidRPr="000B3BF9" w:rsidRDefault="00D3365E">
            <w:pPr>
              <w:spacing w:before="120" w:after="120"/>
              <w:jc w:val="center"/>
              <w:rPr>
                <w:sz w:val="28"/>
                <w:szCs w:val="28"/>
              </w:rPr>
            </w:pPr>
            <w:r w:rsidRPr="000B3BF9">
              <w:rPr>
                <w:rFonts w:ascii="Arial" w:hAnsi="Arial"/>
                <w:b/>
                <w:sz w:val="28"/>
              </w:rPr>
              <w:t>-</w:t>
            </w:r>
          </w:p>
        </w:tc>
      </w:tr>
      <w:tr w:rsidR="00D3365E" w:rsidRPr="00953C85" w:rsidTr="00D3365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D3365E" w:rsidRPr="000B3BF9" w:rsidRDefault="00D3365E">
            <w:pPr>
              <w:spacing w:before="120" w:after="120"/>
              <w:rPr>
                <w:sz w:val="16"/>
              </w:rPr>
            </w:pPr>
            <w:r w:rsidRPr="000B3BF9">
              <w:rPr>
                <w:sz w:val="16"/>
              </w:rPr>
              <w:t>ENF</w:t>
            </w:r>
          </w:p>
          <w:p w:rsidR="00D3365E" w:rsidRPr="000B3BF9" w:rsidRDefault="00D3365E">
            <w:pPr>
              <w:spacing w:before="120" w:after="120"/>
              <w:rPr>
                <w:sz w:val="16"/>
              </w:rPr>
            </w:pPr>
            <w:r w:rsidRPr="000B3BF9">
              <w:rPr>
                <w:sz w:val="16"/>
              </w:rPr>
              <w:t>NI</w:t>
            </w:r>
          </w:p>
          <w:p w:rsidR="00D3365E" w:rsidRPr="000B3BF9" w:rsidRDefault="00D3365E">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3365E" w:rsidRPr="00953C85" w:rsidRDefault="00D3365E">
            <w:pPr>
              <w:spacing w:before="120" w:after="120"/>
              <w:rPr>
                <w:sz w:val="16"/>
                <w:lang w:val="fr-FR"/>
              </w:rPr>
            </w:pPr>
            <w:r w:rsidRPr="00953C85">
              <w:rPr>
                <w:sz w:val="16"/>
                <w:lang w:val="fr-FR"/>
              </w:rPr>
              <w:t>Dominique Martin, Joëlle Mélin</w:t>
            </w:r>
          </w:p>
          <w:p w:rsidR="00D3365E" w:rsidRPr="00953C85" w:rsidRDefault="00D3365E">
            <w:pPr>
              <w:spacing w:before="120" w:after="120"/>
              <w:rPr>
                <w:sz w:val="16"/>
                <w:lang w:val="fr-FR"/>
              </w:rPr>
            </w:pPr>
            <w:r w:rsidRPr="00953C85">
              <w:rPr>
                <w:sz w:val="16"/>
                <w:lang w:val="fr-FR"/>
              </w:rPr>
              <w:t>Lampros Fountoulis</w:t>
            </w:r>
          </w:p>
          <w:p w:rsidR="00D3365E" w:rsidRPr="00953C85" w:rsidRDefault="00D3365E">
            <w:pPr>
              <w:spacing w:before="120" w:after="120"/>
              <w:rPr>
                <w:sz w:val="16"/>
                <w:lang w:val="fr-FR"/>
              </w:rPr>
            </w:pPr>
          </w:p>
        </w:tc>
      </w:tr>
    </w:tbl>
    <w:p w:rsidR="00D3365E" w:rsidRPr="00953C85" w:rsidRDefault="00D3365E" w:rsidP="00D3365E">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3365E" w:rsidRPr="000B3BF9" w:rsidTr="00D3365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3365E" w:rsidRPr="000B3BF9" w:rsidRDefault="00D3365E">
            <w:pPr>
              <w:spacing w:before="120" w:after="120"/>
              <w:jc w:val="center"/>
              <w:rPr>
                <w:b/>
                <w:sz w:val="16"/>
              </w:rPr>
            </w:pPr>
            <w:r w:rsidRPr="000B3BF9">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3365E" w:rsidRPr="000B3BF9" w:rsidRDefault="00D3365E">
            <w:pPr>
              <w:spacing w:before="120" w:after="120"/>
              <w:jc w:val="center"/>
              <w:rPr>
                <w:sz w:val="28"/>
                <w:szCs w:val="28"/>
              </w:rPr>
            </w:pPr>
            <w:r w:rsidRPr="000B3BF9">
              <w:rPr>
                <w:rFonts w:ascii="Arial" w:hAnsi="Arial"/>
                <w:b/>
                <w:sz w:val="28"/>
              </w:rPr>
              <w:t>0</w:t>
            </w:r>
          </w:p>
        </w:tc>
      </w:tr>
      <w:tr w:rsidR="00D3365E" w:rsidRPr="000B3BF9" w:rsidTr="00D3365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D3365E" w:rsidRPr="000B3BF9" w:rsidRDefault="00D3365E">
            <w:pPr>
              <w:spacing w:before="120" w:after="120"/>
              <w:rPr>
                <w:sz w:val="16"/>
              </w:rPr>
            </w:pPr>
          </w:p>
          <w:p w:rsidR="00D3365E" w:rsidRPr="000B3BF9" w:rsidRDefault="00D3365E">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3365E" w:rsidRPr="000B3BF9" w:rsidRDefault="00D3365E">
            <w:pPr>
              <w:spacing w:before="120" w:after="120"/>
              <w:rPr>
                <w:sz w:val="16"/>
              </w:rPr>
            </w:pPr>
          </w:p>
          <w:p w:rsidR="00D3365E" w:rsidRPr="000B3BF9" w:rsidRDefault="00D3365E">
            <w:pPr>
              <w:spacing w:before="120" w:after="120"/>
              <w:rPr>
                <w:sz w:val="16"/>
              </w:rPr>
            </w:pPr>
          </w:p>
        </w:tc>
      </w:tr>
    </w:tbl>
    <w:p w:rsidR="00D3365E" w:rsidRPr="000B3BF9" w:rsidRDefault="00D3365E" w:rsidP="00D3365E">
      <w:pPr>
        <w:pStyle w:val="Normal12"/>
      </w:pPr>
    </w:p>
    <w:p w:rsidR="00D3365E" w:rsidRPr="000B3BF9" w:rsidRDefault="00D3365E" w:rsidP="00D3365E">
      <w:r w:rsidRPr="000B3BF9">
        <w:t>Teckenförklaring:</w:t>
      </w:r>
    </w:p>
    <w:p w:rsidR="00D3365E" w:rsidRPr="000B3BF9" w:rsidRDefault="00D3365E" w:rsidP="00D3365E">
      <w:pPr>
        <w:pStyle w:val="NormalTabs"/>
      </w:pPr>
      <w:r w:rsidRPr="000B3BF9">
        <w:t>+</w:t>
      </w:r>
      <w:r w:rsidRPr="000B3BF9">
        <w:tab/>
        <w:t>:</w:t>
      </w:r>
      <w:r w:rsidRPr="000B3BF9">
        <w:tab/>
        <w:t>Ja-röster</w:t>
      </w:r>
    </w:p>
    <w:p w:rsidR="00D3365E" w:rsidRPr="000B3BF9" w:rsidRDefault="00D3365E" w:rsidP="00D3365E">
      <w:pPr>
        <w:pStyle w:val="NormalTabs"/>
      </w:pPr>
      <w:r w:rsidRPr="000B3BF9">
        <w:t>-</w:t>
      </w:r>
      <w:r w:rsidRPr="000B3BF9">
        <w:tab/>
        <w:t>:</w:t>
      </w:r>
      <w:r w:rsidRPr="000B3BF9">
        <w:tab/>
        <w:t>Nej-röster</w:t>
      </w:r>
    </w:p>
    <w:p w:rsidR="00D3365E" w:rsidRPr="000B3BF9" w:rsidRDefault="00D3365E" w:rsidP="00D3365E">
      <w:pPr>
        <w:pStyle w:val="NormalTabs"/>
      </w:pPr>
      <w:r w:rsidRPr="000B3BF9">
        <w:t>0</w:t>
      </w:r>
      <w:r w:rsidRPr="000B3BF9">
        <w:tab/>
        <w:t>:</w:t>
      </w:r>
      <w:r w:rsidRPr="000B3BF9">
        <w:tab/>
        <w:t>Nedlagda röster</w:t>
      </w:r>
    </w:p>
    <w:bookmarkEnd w:id="3"/>
    <w:p w:rsidR="00D3365E" w:rsidRPr="000B3BF9" w:rsidRDefault="00D3365E" w:rsidP="00D3365E"/>
    <w:p w:rsidR="00D3365E" w:rsidRPr="000B3BF9" w:rsidRDefault="00D3365E" w:rsidP="00D3365E">
      <w:pPr>
        <w:pStyle w:val="PageHeadingNotTOC"/>
      </w:pPr>
    </w:p>
    <w:p w:rsidR="002E2F2E" w:rsidRPr="000B3BF9" w:rsidRDefault="002E2F2E" w:rsidP="00D3365E">
      <w:pPr>
        <w:pStyle w:val="RefProc"/>
      </w:pPr>
    </w:p>
    <w:sectPr w:rsidR="002E2F2E" w:rsidRPr="000B3BF9" w:rsidSect="000B3B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DE" w:rsidRPr="000B3BF9" w:rsidRDefault="00E751DE">
      <w:r w:rsidRPr="000B3BF9">
        <w:separator/>
      </w:r>
    </w:p>
  </w:endnote>
  <w:endnote w:type="continuationSeparator" w:id="0">
    <w:p w:rsidR="00E751DE" w:rsidRPr="000B3BF9" w:rsidRDefault="00E751DE">
      <w:r w:rsidRPr="000B3B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9" w:rsidRPr="000B3BF9" w:rsidRDefault="000B3BF9" w:rsidP="000B3BF9">
    <w:pPr>
      <w:pStyle w:val="Footer"/>
    </w:pPr>
    <w:r w:rsidRPr="000B3BF9">
      <w:t>PE</w:t>
    </w:r>
    <w:r w:rsidRPr="000B3BF9">
      <w:rPr>
        <w:rStyle w:val="HideTWBExt"/>
        <w:noProof w:val="0"/>
      </w:rPr>
      <w:t>&lt;NoPE&gt;</w:t>
    </w:r>
    <w:r w:rsidRPr="000B3BF9">
      <w:t>592.091</w:t>
    </w:r>
    <w:r w:rsidRPr="000B3BF9">
      <w:rPr>
        <w:rStyle w:val="HideTWBExt"/>
        <w:noProof w:val="0"/>
      </w:rPr>
      <w:t>&lt;/NoPE&gt;&lt;Version&gt;</w:t>
    </w:r>
    <w:r w:rsidRPr="000B3BF9">
      <w:t>v02-00</w:t>
    </w:r>
    <w:r w:rsidRPr="000B3BF9">
      <w:rPr>
        <w:rStyle w:val="HideTWBExt"/>
        <w:noProof w:val="0"/>
      </w:rPr>
      <w:t>&lt;/Version&gt;</w:t>
    </w:r>
    <w:r w:rsidRPr="000B3BF9">
      <w:tab/>
    </w:r>
    <w:r w:rsidRPr="000B3BF9">
      <w:fldChar w:fldCharType="begin"/>
    </w:r>
    <w:r w:rsidRPr="000B3BF9">
      <w:instrText xml:space="preserve"> PAGE  \* MERGEFORMAT </w:instrText>
    </w:r>
    <w:r w:rsidRPr="000B3BF9">
      <w:fldChar w:fldCharType="separate"/>
    </w:r>
    <w:r w:rsidR="00953C85">
      <w:rPr>
        <w:noProof/>
      </w:rPr>
      <w:t>2</w:t>
    </w:r>
    <w:r w:rsidRPr="000B3BF9">
      <w:fldChar w:fldCharType="end"/>
    </w:r>
    <w:r w:rsidRPr="000B3BF9">
      <w:t>/</w:t>
    </w:r>
    <w:r w:rsidR="00953C85">
      <w:fldChar w:fldCharType="begin"/>
    </w:r>
    <w:r w:rsidR="00953C85">
      <w:instrText xml:space="preserve"> NUMPAGES  \* MERGEFORMAT </w:instrText>
    </w:r>
    <w:r w:rsidR="00953C85">
      <w:fldChar w:fldCharType="separate"/>
    </w:r>
    <w:r w:rsidR="00953C85">
      <w:rPr>
        <w:noProof/>
      </w:rPr>
      <w:t>5</w:t>
    </w:r>
    <w:r w:rsidR="00953C85">
      <w:rPr>
        <w:noProof/>
      </w:rPr>
      <w:fldChar w:fldCharType="end"/>
    </w:r>
    <w:r w:rsidRPr="000B3BF9">
      <w:tab/>
    </w:r>
    <w:r w:rsidRPr="000B3BF9">
      <w:rPr>
        <w:rStyle w:val="HideTWBExt"/>
        <w:noProof w:val="0"/>
      </w:rPr>
      <w:t>&lt;PathFdR&gt;</w:t>
    </w:r>
    <w:r w:rsidRPr="000B3BF9">
      <w:t>AD\1115157SV.docx</w:t>
    </w:r>
    <w:r w:rsidRPr="000B3BF9">
      <w:rPr>
        <w:rStyle w:val="HideTWBExt"/>
        <w:noProof w:val="0"/>
      </w:rPr>
      <w:t>&lt;/PathFdR&gt;</w:t>
    </w:r>
  </w:p>
  <w:p w:rsidR="002E2F2E" w:rsidRPr="000B3BF9" w:rsidRDefault="000B3BF9" w:rsidP="000B3BF9">
    <w:pPr>
      <w:pStyle w:val="Footer2"/>
    </w:pPr>
    <w:r w:rsidRPr="000B3BF9">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9" w:rsidRPr="000B3BF9" w:rsidRDefault="000B3BF9" w:rsidP="000B3BF9">
    <w:pPr>
      <w:pStyle w:val="Footer"/>
    </w:pPr>
    <w:r w:rsidRPr="000B3BF9">
      <w:rPr>
        <w:rStyle w:val="HideTWBExt"/>
        <w:noProof w:val="0"/>
      </w:rPr>
      <w:t>&lt;PathFdR&gt;</w:t>
    </w:r>
    <w:r w:rsidRPr="000B3BF9">
      <w:t>AD\1115157SV.docx</w:t>
    </w:r>
    <w:r w:rsidRPr="000B3BF9">
      <w:rPr>
        <w:rStyle w:val="HideTWBExt"/>
        <w:noProof w:val="0"/>
      </w:rPr>
      <w:t>&lt;/PathFdR&gt;</w:t>
    </w:r>
    <w:r w:rsidRPr="000B3BF9">
      <w:tab/>
    </w:r>
    <w:r w:rsidRPr="000B3BF9">
      <w:fldChar w:fldCharType="begin"/>
    </w:r>
    <w:r w:rsidRPr="000B3BF9">
      <w:instrText xml:space="preserve"> PAGE  \* MERGEFORMAT </w:instrText>
    </w:r>
    <w:r w:rsidRPr="000B3BF9">
      <w:fldChar w:fldCharType="separate"/>
    </w:r>
    <w:r w:rsidR="00953C85">
      <w:rPr>
        <w:noProof/>
      </w:rPr>
      <w:t>5</w:t>
    </w:r>
    <w:r w:rsidRPr="000B3BF9">
      <w:fldChar w:fldCharType="end"/>
    </w:r>
    <w:r w:rsidRPr="000B3BF9">
      <w:t>/</w:t>
    </w:r>
    <w:r w:rsidR="00953C85">
      <w:fldChar w:fldCharType="begin"/>
    </w:r>
    <w:r w:rsidR="00953C85">
      <w:instrText xml:space="preserve"> NUMPAGES  \* MERGEFORMAT </w:instrText>
    </w:r>
    <w:r w:rsidR="00953C85">
      <w:fldChar w:fldCharType="separate"/>
    </w:r>
    <w:r w:rsidR="00953C85">
      <w:rPr>
        <w:noProof/>
      </w:rPr>
      <w:t>5</w:t>
    </w:r>
    <w:r w:rsidR="00953C85">
      <w:fldChar w:fldCharType="end"/>
    </w:r>
    <w:r w:rsidRPr="000B3BF9">
      <w:tab/>
      <w:t>PE</w:t>
    </w:r>
    <w:r w:rsidRPr="000B3BF9">
      <w:rPr>
        <w:rStyle w:val="HideTWBExt"/>
        <w:noProof w:val="0"/>
      </w:rPr>
      <w:t>&lt;NoPE&gt;</w:t>
    </w:r>
    <w:r w:rsidRPr="000B3BF9">
      <w:t>592.091</w:t>
    </w:r>
    <w:r w:rsidRPr="000B3BF9">
      <w:rPr>
        <w:rStyle w:val="HideTWBExt"/>
        <w:noProof w:val="0"/>
      </w:rPr>
      <w:t>&lt;/NoPE&gt;&lt;Version&gt;</w:t>
    </w:r>
    <w:r w:rsidRPr="000B3BF9">
      <w:t>v02-00</w:t>
    </w:r>
    <w:r w:rsidRPr="000B3BF9">
      <w:rPr>
        <w:rStyle w:val="HideTWBExt"/>
        <w:noProof w:val="0"/>
      </w:rPr>
      <w:t>&lt;/Version&gt;</w:t>
    </w:r>
  </w:p>
  <w:p w:rsidR="002E2F2E" w:rsidRPr="000B3BF9" w:rsidRDefault="000B3BF9" w:rsidP="000B3BF9">
    <w:pPr>
      <w:pStyle w:val="Footer2"/>
    </w:pPr>
    <w:r w:rsidRPr="000B3BF9">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9" w:rsidRPr="000B3BF9" w:rsidRDefault="000B3BF9" w:rsidP="000B3BF9">
    <w:pPr>
      <w:pStyle w:val="Footer"/>
    </w:pPr>
    <w:r w:rsidRPr="000B3BF9">
      <w:rPr>
        <w:rStyle w:val="HideTWBExt"/>
        <w:noProof w:val="0"/>
      </w:rPr>
      <w:t>&lt;PathFdR&gt;</w:t>
    </w:r>
    <w:r w:rsidRPr="000B3BF9">
      <w:t>AD\1115157SV.docx</w:t>
    </w:r>
    <w:r w:rsidRPr="000B3BF9">
      <w:rPr>
        <w:rStyle w:val="HideTWBExt"/>
        <w:noProof w:val="0"/>
      </w:rPr>
      <w:t>&lt;/PathFdR&gt;</w:t>
    </w:r>
    <w:r w:rsidRPr="000B3BF9">
      <w:tab/>
    </w:r>
    <w:r w:rsidRPr="000B3BF9">
      <w:tab/>
      <w:t>PE</w:t>
    </w:r>
    <w:r w:rsidRPr="000B3BF9">
      <w:rPr>
        <w:rStyle w:val="HideTWBExt"/>
        <w:noProof w:val="0"/>
      </w:rPr>
      <w:t>&lt;NoPE&gt;</w:t>
    </w:r>
    <w:r w:rsidRPr="000B3BF9">
      <w:t>592.091</w:t>
    </w:r>
    <w:r w:rsidRPr="000B3BF9">
      <w:rPr>
        <w:rStyle w:val="HideTWBExt"/>
        <w:noProof w:val="0"/>
      </w:rPr>
      <w:t>&lt;/NoPE&gt;&lt;Version&gt;</w:t>
    </w:r>
    <w:r w:rsidRPr="000B3BF9">
      <w:t>v02-00</w:t>
    </w:r>
    <w:r w:rsidRPr="000B3BF9">
      <w:rPr>
        <w:rStyle w:val="HideTWBExt"/>
        <w:noProof w:val="0"/>
      </w:rPr>
      <w:t>&lt;/Version&gt;</w:t>
    </w:r>
  </w:p>
  <w:p w:rsidR="002E2F2E" w:rsidRPr="000B3BF9" w:rsidRDefault="000B3BF9" w:rsidP="000B3BF9">
    <w:pPr>
      <w:pStyle w:val="Footer2"/>
      <w:tabs>
        <w:tab w:val="center" w:pos="4535"/>
      </w:tabs>
    </w:pPr>
    <w:r w:rsidRPr="000B3BF9">
      <w:t>SV</w:t>
    </w:r>
    <w:r w:rsidRPr="000B3BF9">
      <w:tab/>
    </w:r>
    <w:r w:rsidRPr="000B3BF9">
      <w:rPr>
        <w:b w:val="0"/>
        <w:i/>
        <w:color w:val="C0C0C0"/>
        <w:sz w:val="22"/>
      </w:rPr>
      <w:t>Förenade i mångfalden</w:t>
    </w:r>
    <w:r w:rsidRPr="000B3BF9">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DE" w:rsidRPr="000B3BF9" w:rsidRDefault="00E751DE">
      <w:r w:rsidRPr="000B3BF9">
        <w:separator/>
      </w:r>
    </w:p>
  </w:footnote>
  <w:footnote w:type="continuationSeparator" w:id="0">
    <w:p w:rsidR="00E751DE" w:rsidRPr="000B3BF9" w:rsidRDefault="00E751DE">
      <w:r w:rsidRPr="000B3BF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85" w:rsidRDefault="00953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85" w:rsidRDefault="00953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85" w:rsidRDefault="00953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2KEY" w:val="CONT"/>
    <w:docVar w:name="COMKEY" w:val="EMPL"/>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223223 HideTWBInt;}{\s16\ql \fi-357\li357\ri0\sa240\nowidctlpar\tx357\wrapdefault\aspalpha\aspnum\faauto\adjustright\rin0\lin357\itap0 \rtlch\fcs1 \af0\afs20\alang1025 \ltrch\fcs0 _x000d__x000a_\fs24\lang2057\langfe2057\cgrid\langnp2057\langfenp2057 \sbasedon0 \snext16 \spriority0 \styrsid11223223 Hanging12;}}{\*\rsidtbl \rsid24658\rsid735077\rsid2892074\rsid4666813\rsid6641733\rsid8198725\rsid9636012\rsid11215221\rsid11223223\rsid12154954_x000d__x000a_\rsid14424199\rsid15204470\rsid15285974\rsid15950462\rsid16324206\rsid16662270}{\mmathPr\mmathFont34\mbrkBin0\mbrkBinSub0\msmallFrac0\mdispDef1\mlMargin0\mrMargin0\mdefJc1\mwrapIndent1440\mintLim0\mnaryLim1}{\info{\author TROCH Nicolas}_x000d__x000a_{\operator TROCH Nicolas}{\creatim\yr2017\mo1\dy24\hr12\min9}{\revtim\yr2017\mo1\dy24\hr12\min9}{\version1}{\edmins0}{\nofpages1}{\nofwords1}{\nofchars12}{\*\company European Parliament}{\nofcharsws12}{\vern57441}}{\*\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23223\utinl \donotshowprops1\fet0{\*\wgrffmtfilter 013f}\ilfomacatclnup0{\*\template C:\\Users\\ntroch\\AppData\\Local\\Temp\\Blank1.dot}{\*\ftnsep \ltrpar _x000d__x000a_\pard\plain \ltrpar\ql \li0\ri0\widctlpar\wrapdefault\aspalpha\aspnum\faauto\adjustright\rin0\lin0\itap0 \rtlch\fcs1 \af0\afs20\alang1025 \ltrch\fcs0 \fs24\lang2057\langfe2057\cgrid\langnp2057\langfenp2057 {\rtlch\fcs1 \af0 \ltrch\fcs0 \insrsid81987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198725 \chftnsepc _x000d__x000a_\par }}{\*\aftnsep \ltrpar \pard\plain \ltrpar\ql \li0\ri0\widctlpar\wrapdefault\aspalpha\aspnum\faauto\adjustright\rin0\lin0\itap0 \rtlch\fcs1 \af0\afs20\alang1025 \ltrch\fcs0 \fs24\lang2057\langfe2057\cgrid\langnp2057\langfenp2057 {\rtlch\fcs1 \af0 _x000d__x000a_\ltrch\fcs0 \insrsid8198725 \chftnsep _x000d__x000a_\par }}{\*\aftnsepc \ltrpar \pard\plain \ltrpar\ql \li0\ri0\widctlpar\wrapdefault\aspalpha\aspnum\faauto\adjustright\rin0\lin0\itap0 \rtlch\fcs1 \af0\afs20\alang1025 \ltrch\fcs0 \fs24\lang2057\langfe2057\cgrid\langnp2057\langfenp2057 {\rtlch\fcs1 \af0 _x000d__x000a_\ltrch\fcs0 \insrsid81987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577149 \rtlch\fcs1 \af0\afs20\alang1025 \ltrch\fcs0 \fs24\lang2057\langfe2057\cgrid\langnp2057\langfenp2057 {\rtlch\fcs1 \af0 _x000d__x000a_\ltrch\fcs0 \insrsid11223223\charrsid9396627 {\*\bkmkstart restart}#}{\rtlch\fcs1 \af0 \ltrch\fcs0 \cs15\v\cf15\insrsid11223223\charrsid9396627 NRMSG}{\rtlch\fcs1 \af0 \ltrch\fcs0 \insrsid11223223\charrsid9396627 #.\tab ##}{\rtlch\fcs1 \af0 \ltrch\fcs0 _x000d__x000a_\insrsid1122322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be6232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3384009 Hanging12;}}{\*\rsidtbl \rsid24658\rsid735077\rsid2892074\rsid4666813\rsid6641733\rsid9636012\rsid11215221\rsid12154954\rsid13265548\rsid13384009\rsid14424199\rsid15204470\rsid15285974\rsid15950462_x000d__x000a_\rsid16324206\rsid16662270}{\mmathPr\mmathFont34\mbrkBin0\mbrkBinSub0\msmallFrac0\mdispDef1\mlMargin0\mrMargin0\mdefJc1\mwrapIndent1440\mintLim0\mnaryLim1}{\info{\author TROCH Nicolas}{\operator TROCH Nicolas}{\creatim\yr2017\mo1\dy24\hr12\min9}_x000d__x000a_{\revtim\yr2017\mo1\dy24\hr12\min9}{\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84009\utinl \donotshowprops1\fet0{\*\wgrffmtfilter 013f}\ilfomacatclnup0{\*\template C:\\Users\\ntroch\\AppData\\Local\\Temp\\Blank1.dot}{\*\ftnsep \ltrpar _x000d__x000a_\pard\plain \ltrpar\ql \li0\ri0\widctlpar\wrapdefault\aspalpha\aspnum\faauto\adjustright\rin0\lin0\itap0 \rtlch\fcs1 \af0\afs20\alang1025 \ltrch\fcs0 \fs24\lang2057\langfe2057\cgrid\langnp2057\langfenp2057 {\rtlch\fcs1 \af0 \ltrch\fcs0 \insrsid1326554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265548 \chftnsepc _x000d__x000a_\par }}{\*\aftnsep \ltrpar \pard\plain \ltrpar\ql \li0\ri0\widctlpar\wrapdefault\aspalpha\aspnum\faauto\adjustright\rin0\lin0\itap0 \rtlch\fcs1 \af0\afs20\alang1025 \ltrch\fcs0 \fs24\lang2057\langfe2057\cgrid\langnp2057\langfenp2057 {\rtlch\fcs1 \af0 _x000d__x000a_\ltrch\fcs0 \insrsid13265548 \chftnsep _x000d__x000a_\par }}{\*\aftnsepc \ltrpar \pard\plain \ltrpar\ql \li0\ri0\widctlpar\wrapdefault\aspalpha\aspnum\faauto\adjustright\rin0\lin0\itap0 \rtlch\fcs1 \af0\afs20\alang1025 \ltrch\fcs0 \fs24\lang2057\langfe2057\cgrid\langnp2057\langfenp2057 {\rtlch\fcs1 \af0 _x000d__x000a_\ltrch\fcs0 \insrsid132655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2651518 \rtlch\fcs1 \af0\afs20\alang1025 \ltrch\fcs0 \fs24\lang2057\langfe2057\cgrid\langnp2057\langfenp2057 {\rtlch\fcs1 \af0 _x000d__x000a_\ltrch\fcs0 \insrsid13384009\charrsid1525456 {\*\bkmkstart restart}[ZSUGGESTIONNR]\tab [ZSUGGESTIONTEXT]}{\rtlch\fcs1 \af0 \ltrch\fcs0 \insrsid1338400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a_x000d__x000a_fa6332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5"/>
    <w:docVar w:name="TXTLANGUE" w:val="EN"/>
    <w:docVar w:name="TXTLANGUEMIN" w:val="en"/>
    <w:docVar w:name="TXTNRPE" w:val="592.091"/>
    <w:docVar w:name="TXTNRPROC" w:val="2016/2162"/>
    <w:docVar w:name="TXTPEorAP" w:val="PE"/>
    <w:docVar w:name="TXTROUTE" w:val="AD\1115157EN.docx"/>
    <w:docVar w:name="TXTTITLE" w:val="Discharge 2015: European Foundation for the Improvement of Living and Working Conditions (Eurofound)"/>
    <w:docVar w:name="TXTVERSION" w:val="02-00"/>
  </w:docVars>
  <w:rsids>
    <w:rsidRoot w:val="00E751DE"/>
    <w:rsid w:val="000433BC"/>
    <w:rsid w:val="000B3BF9"/>
    <w:rsid w:val="00103D01"/>
    <w:rsid w:val="0016635E"/>
    <w:rsid w:val="001746D0"/>
    <w:rsid w:val="001D2ED9"/>
    <w:rsid w:val="00243B23"/>
    <w:rsid w:val="0025196D"/>
    <w:rsid w:val="002C3405"/>
    <w:rsid w:val="002D461F"/>
    <w:rsid w:val="002E2F2E"/>
    <w:rsid w:val="00325BCB"/>
    <w:rsid w:val="003501ED"/>
    <w:rsid w:val="00364D5C"/>
    <w:rsid w:val="0038692D"/>
    <w:rsid w:val="003E2402"/>
    <w:rsid w:val="00487CB3"/>
    <w:rsid w:val="004C28FB"/>
    <w:rsid w:val="005B2F11"/>
    <w:rsid w:val="005B357D"/>
    <w:rsid w:val="005B5DB9"/>
    <w:rsid w:val="005D60C6"/>
    <w:rsid w:val="00620CDF"/>
    <w:rsid w:val="0063452A"/>
    <w:rsid w:val="00672607"/>
    <w:rsid w:val="006F2D39"/>
    <w:rsid w:val="00742219"/>
    <w:rsid w:val="00802353"/>
    <w:rsid w:val="00806587"/>
    <w:rsid w:val="00850AA8"/>
    <w:rsid w:val="008537E3"/>
    <w:rsid w:val="008A32C5"/>
    <w:rsid w:val="008F7002"/>
    <w:rsid w:val="00900E31"/>
    <w:rsid w:val="00913EF8"/>
    <w:rsid w:val="00931155"/>
    <w:rsid w:val="00953C85"/>
    <w:rsid w:val="009B56AB"/>
    <w:rsid w:val="009C3DB8"/>
    <w:rsid w:val="009C41E6"/>
    <w:rsid w:val="009C4DAA"/>
    <w:rsid w:val="009D18CD"/>
    <w:rsid w:val="00A16BEA"/>
    <w:rsid w:val="00A428A9"/>
    <w:rsid w:val="00A72C35"/>
    <w:rsid w:val="00AA3CAE"/>
    <w:rsid w:val="00B362F7"/>
    <w:rsid w:val="00B957B3"/>
    <w:rsid w:val="00BD1EAA"/>
    <w:rsid w:val="00C231F6"/>
    <w:rsid w:val="00C27D2C"/>
    <w:rsid w:val="00C565BB"/>
    <w:rsid w:val="00CB6491"/>
    <w:rsid w:val="00D3365E"/>
    <w:rsid w:val="00D6450D"/>
    <w:rsid w:val="00D84769"/>
    <w:rsid w:val="00DA22AD"/>
    <w:rsid w:val="00DE735E"/>
    <w:rsid w:val="00DF1097"/>
    <w:rsid w:val="00DF11A6"/>
    <w:rsid w:val="00E216CE"/>
    <w:rsid w:val="00E751DE"/>
    <w:rsid w:val="00E856D2"/>
    <w:rsid w:val="00EA7D5E"/>
    <w:rsid w:val="00EE77C6"/>
    <w:rsid w:val="00F6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A7EB620-3F69-4872-BF58-8C735F8B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EA7D5E"/>
    <w:rPr>
      <w:rFonts w:ascii="Segoe UI" w:hAnsi="Segoe UI" w:cs="Segoe UI"/>
      <w:sz w:val="18"/>
      <w:szCs w:val="18"/>
    </w:rPr>
  </w:style>
  <w:style w:type="character" w:customStyle="1" w:styleId="BalloonTextChar">
    <w:name w:val="Balloon Text Char"/>
    <w:basedOn w:val="DefaultParagraphFont"/>
    <w:link w:val="BalloonText"/>
    <w:rsid w:val="00EA7D5E"/>
    <w:rPr>
      <w:rFonts w:ascii="Segoe UI" w:hAnsi="Segoe UI" w:cs="Segoe UI"/>
      <w:sz w:val="18"/>
      <w:szCs w:val="18"/>
    </w:rPr>
  </w:style>
  <w:style w:type="paragraph" w:customStyle="1" w:styleId="Normal12Hanging">
    <w:name w:val="Normal12Hanging"/>
    <w:basedOn w:val="Normal"/>
    <w:rsid w:val="009C3DB8"/>
    <w:pPr>
      <w:spacing w:after="240"/>
      <w:ind w:left="567" w:hanging="567"/>
    </w:pPr>
  </w:style>
  <w:style w:type="paragraph" w:customStyle="1" w:styleId="NormalTabs">
    <w:name w:val="NormalTabs"/>
    <w:basedOn w:val="Normal"/>
    <w:qFormat/>
    <w:rsid w:val="00AA3CAE"/>
    <w:pPr>
      <w:tabs>
        <w:tab w:val="center" w:pos="284"/>
        <w:tab w:val="left" w:pos="426"/>
      </w:tabs>
      <w:snapToGrid w:val="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511">
      <w:bodyDiv w:val="1"/>
      <w:marLeft w:val="0"/>
      <w:marRight w:val="0"/>
      <w:marTop w:val="0"/>
      <w:marBottom w:val="0"/>
      <w:divBdr>
        <w:top w:val="none" w:sz="0" w:space="0" w:color="auto"/>
        <w:left w:val="none" w:sz="0" w:space="0" w:color="auto"/>
        <w:bottom w:val="none" w:sz="0" w:space="0" w:color="auto"/>
        <w:right w:val="none" w:sz="0" w:space="0" w:color="auto"/>
      </w:divBdr>
    </w:div>
    <w:div w:id="343485149">
      <w:bodyDiv w:val="1"/>
      <w:marLeft w:val="0"/>
      <w:marRight w:val="0"/>
      <w:marTop w:val="0"/>
      <w:marBottom w:val="0"/>
      <w:divBdr>
        <w:top w:val="none" w:sz="0" w:space="0" w:color="auto"/>
        <w:left w:val="none" w:sz="0" w:space="0" w:color="auto"/>
        <w:bottom w:val="none" w:sz="0" w:space="0" w:color="auto"/>
        <w:right w:val="none" w:sz="0" w:space="0" w:color="auto"/>
      </w:divBdr>
    </w:div>
    <w:div w:id="637691197">
      <w:bodyDiv w:val="1"/>
      <w:marLeft w:val="0"/>
      <w:marRight w:val="0"/>
      <w:marTop w:val="0"/>
      <w:marBottom w:val="0"/>
      <w:divBdr>
        <w:top w:val="none" w:sz="0" w:space="0" w:color="auto"/>
        <w:left w:val="none" w:sz="0" w:space="0" w:color="auto"/>
        <w:bottom w:val="none" w:sz="0" w:space="0" w:color="auto"/>
        <w:right w:val="none" w:sz="0" w:space="0" w:color="auto"/>
      </w:divBdr>
    </w:div>
    <w:div w:id="645206836">
      <w:bodyDiv w:val="1"/>
      <w:marLeft w:val="0"/>
      <w:marRight w:val="0"/>
      <w:marTop w:val="0"/>
      <w:marBottom w:val="0"/>
      <w:divBdr>
        <w:top w:val="none" w:sz="0" w:space="0" w:color="auto"/>
        <w:left w:val="none" w:sz="0" w:space="0" w:color="auto"/>
        <w:bottom w:val="none" w:sz="0" w:space="0" w:color="auto"/>
        <w:right w:val="none" w:sz="0" w:space="0" w:color="auto"/>
      </w:divBdr>
    </w:div>
    <w:div w:id="912815794">
      <w:bodyDiv w:val="1"/>
      <w:marLeft w:val="0"/>
      <w:marRight w:val="0"/>
      <w:marTop w:val="0"/>
      <w:marBottom w:val="0"/>
      <w:divBdr>
        <w:top w:val="none" w:sz="0" w:space="0" w:color="auto"/>
        <w:left w:val="none" w:sz="0" w:space="0" w:color="auto"/>
        <w:bottom w:val="none" w:sz="0" w:space="0" w:color="auto"/>
        <w:right w:val="none" w:sz="0" w:space="0" w:color="auto"/>
      </w:divBdr>
    </w:div>
    <w:div w:id="934436211">
      <w:bodyDiv w:val="1"/>
      <w:marLeft w:val="0"/>
      <w:marRight w:val="0"/>
      <w:marTop w:val="0"/>
      <w:marBottom w:val="0"/>
      <w:divBdr>
        <w:top w:val="none" w:sz="0" w:space="0" w:color="auto"/>
        <w:left w:val="none" w:sz="0" w:space="0" w:color="auto"/>
        <w:bottom w:val="none" w:sz="0" w:space="0" w:color="auto"/>
        <w:right w:val="none" w:sz="0" w:space="0" w:color="auto"/>
      </w:divBdr>
    </w:div>
    <w:div w:id="1187258185">
      <w:bodyDiv w:val="1"/>
      <w:marLeft w:val="0"/>
      <w:marRight w:val="0"/>
      <w:marTop w:val="0"/>
      <w:marBottom w:val="0"/>
      <w:divBdr>
        <w:top w:val="none" w:sz="0" w:space="0" w:color="auto"/>
        <w:left w:val="none" w:sz="0" w:space="0" w:color="auto"/>
        <w:bottom w:val="none" w:sz="0" w:space="0" w:color="auto"/>
        <w:right w:val="none" w:sz="0" w:space="0" w:color="auto"/>
      </w:divBdr>
    </w:div>
    <w:div w:id="1526552484">
      <w:bodyDiv w:val="1"/>
      <w:marLeft w:val="0"/>
      <w:marRight w:val="0"/>
      <w:marTop w:val="0"/>
      <w:marBottom w:val="0"/>
      <w:divBdr>
        <w:top w:val="none" w:sz="0" w:space="0" w:color="auto"/>
        <w:left w:val="none" w:sz="0" w:space="0" w:color="auto"/>
        <w:bottom w:val="none" w:sz="0" w:space="0" w:color="auto"/>
        <w:right w:val="none" w:sz="0" w:space="0" w:color="auto"/>
      </w:divBdr>
    </w:div>
    <w:div w:id="18194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63EEDFB2.dotm</Template>
  <TotalTime>0</TotalTime>
  <Pages>5</Pages>
  <Words>639</Words>
  <Characters>4619</Characters>
  <Application>Microsoft Office Word</Application>
  <DocSecurity>0</DocSecurity>
  <Lines>139</Lines>
  <Paragraphs>78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TROCH Nicolas</dc:creator>
  <cp:keywords/>
  <dc:description/>
  <cp:lastModifiedBy>ANDERSSON Monica</cp:lastModifiedBy>
  <cp:revision>2</cp:revision>
  <cp:lastPrinted>2017-01-26T10:05:00Z</cp:lastPrinted>
  <dcterms:created xsi:type="dcterms:W3CDTF">2017-02-14T10:47:00Z</dcterms:created>
  <dcterms:modified xsi:type="dcterms:W3CDTF">2017-02-14T10:47:00Z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8.9.0 Build [20160915]</vt:lpwstr>
  </property>
  <property fmtid="{D5CDD505-2E9C-101B-9397-08002B2CF9AE}" pid="3" name="LastEdited with">
    <vt:lpwstr>8.10.0 Build [20170117]</vt:lpwstr>
  </property>
  <property fmtid="{D5CDD505-2E9C-101B-9397-08002B2CF9AE}" pid="4" name="&lt;FdR&gt;">
    <vt:lpwstr>1115157</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\\eiciBRUpr1\pdocep$\DocEP\TRANSFIL\EN\PA_NonLeg.EN(26/05/2015 07:20:37)</vt:lpwstr>
  </property>
  <property fmtid="{D5CDD505-2E9C-101B-9397-08002B2CF9AE}" pid="8" name="&lt;Model&gt;">
    <vt:lpwstr>PA_NonLeg</vt:lpwstr>
  </property>
  <property fmtid="{D5CDD505-2E9C-101B-9397-08002B2CF9AE}" pid="9" name="FooterPath">
    <vt:lpwstr>AD\1115157SV.docx</vt:lpwstr>
  </property>
  <property fmtid="{D5CDD505-2E9C-101B-9397-08002B2CF9AE}" pid="10" name="PE Number">
    <vt:lpwstr>592.091</vt:lpwstr>
  </property>
  <property fmtid="{D5CDD505-2E9C-101B-9397-08002B2CF9AE}" pid="11" name="SubscribeElise">
    <vt:lpwstr/>
  </property>
  <property fmtid="{D5CDD505-2E9C-101B-9397-08002B2CF9AE}" pid="12" name="SendToEpades">
    <vt:lpwstr>OK - 2017/01/31 08:17</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- 2017/02/14 11:47</vt:lpwstr>
  </property>
</Properties>
</file>