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2B29EF" w:rsidTr="003E2402">
        <w:trPr>
          <w:trHeight w:hRule="exact" w:val="1418"/>
        </w:trPr>
        <w:tc>
          <w:tcPr>
            <w:tcW w:w="6804" w:type="dxa"/>
            <w:shd w:val="clear" w:color="auto" w:fill="auto"/>
            <w:vAlign w:val="center"/>
          </w:tcPr>
          <w:p w:rsidR="00E856D2" w:rsidRPr="002B29EF" w:rsidRDefault="006B4536" w:rsidP="003E2402">
            <w:pPr>
              <w:pStyle w:val="EPName"/>
            </w:pPr>
            <w:bookmarkStart w:id="0" w:name="_GoBack"/>
            <w:bookmarkEnd w:id="0"/>
            <w:r w:rsidRPr="002B29EF">
              <w:t>Parlamento europeo</w:t>
            </w:r>
          </w:p>
          <w:p w:rsidR="00E856D2" w:rsidRPr="002B29EF" w:rsidRDefault="00D41D2D" w:rsidP="00D41D2D">
            <w:pPr>
              <w:pStyle w:val="EPTerm"/>
              <w:rPr>
                <w:rStyle w:val="HideTWBExt"/>
                <w:noProof w:val="0"/>
                <w:vanish w:val="0"/>
                <w:color w:val="auto"/>
              </w:rPr>
            </w:pPr>
            <w:r w:rsidRPr="002B29EF">
              <w:t>2014-2019</w:t>
            </w:r>
          </w:p>
        </w:tc>
        <w:tc>
          <w:tcPr>
            <w:tcW w:w="2268" w:type="dxa"/>
            <w:shd w:val="clear" w:color="auto" w:fill="auto"/>
          </w:tcPr>
          <w:p w:rsidR="00E856D2" w:rsidRPr="002B29EF" w:rsidRDefault="002B29EF" w:rsidP="003E2402">
            <w:pPr>
              <w:pStyle w:val="EPLogo"/>
            </w:pPr>
            <w:r w:rsidRPr="002B29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2B29EF" w:rsidRDefault="001746D0" w:rsidP="001746D0">
      <w:pPr>
        <w:pStyle w:val="LineTop"/>
      </w:pPr>
    </w:p>
    <w:p w:rsidR="001746D0" w:rsidRPr="002B29EF" w:rsidRDefault="001746D0" w:rsidP="001746D0">
      <w:pPr>
        <w:pStyle w:val="ZCommittee"/>
      </w:pPr>
      <w:r w:rsidRPr="002B29EF">
        <w:rPr>
          <w:rStyle w:val="HideTWBExt"/>
          <w:noProof w:val="0"/>
        </w:rPr>
        <w:t>&lt;</w:t>
      </w:r>
      <w:r w:rsidRPr="002B29EF">
        <w:rPr>
          <w:rStyle w:val="HideTWBExt"/>
          <w:i w:val="0"/>
          <w:noProof w:val="0"/>
        </w:rPr>
        <w:t>Commission</w:t>
      </w:r>
      <w:r w:rsidRPr="002B29EF">
        <w:rPr>
          <w:rStyle w:val="HideTWBExt"/>
          <w:noProof w:val="0"/>
        </w:rPr>
        <w:t>&gt;</w:t>
      </w:r>
      <w:r w:rsidRPr="002B29EF">
        <w:rPr>
          <w:rStyle w:val="HideTWBInt"/>
        </w:rPr>
        <w:t>{EMPL}</w:t>
      </w:r>
      <w:r w:rsidRPr="002B29EF">
        <w:t>Commissione per l'occupazione e gli affari sociali</w:t>
      </w:r>
      <w:r w:rsidRPr="002B29EF">
        <w:rPr>
          <w:rStyle w:val="HideTWBExt"/>
          <w:noProof w:val="0"/>
        </w:rPr>
        <w:t>&lt;/</w:t>
      </w:r>
      <w:r w:rsidRPr="002B29EF">
        <w:rPr>
          <w:rStyle w:val="HideTWBExt"/>
          <w:i w:val="0"/>
          <w:noProof w:val="0"/>
        </w:rPr>
        <w:t>Commission</w:t>
      </w:r>
      <w:r w:rsidRPr="002B29EF">
        <w:rPr>
          <w:rStyle w:val="HideTWBExt"/>
          <w:noProof w:val="0"/>
        </w:rPr>
        <w:t>&gt;</w:t>
      </w:r>
    </w:p>
    <w:p w:rsidR="001746D0" w:rsidRPr="002B29EF" w:rsidRDefault="001746D0" w:rsidP="001746D0">
      <w:pPr>
        <w:pStyle w:val="LineBottom"/>
      </w:pPr>
    </w:p>
    <w:p w:rsidR="002E2F2E" w:rsidRPr="002B29EF" w:rsidRDefault="002E2F2E">
      <w:pPr>
        <w:pStyle w:val="RefProc"/>
      </w:pPr>
      <w:r w:rsidRPr="002B29EF">
        <w:rPr>
          <w:rStyle w:val="HideTWBExt"/>
          <w:b w:val="0"/>
          <w:noProof w:val="0"/>
        </w:rPr>
        <w:t>&lt;</w:t>
      </w:r>
      <w:r w:rsidRPr="002B29EF">
        <w:rPr>
          <w:rStyle w:val="HideTWBExt"/>
          <w:b w:val="0"/>
          <w:caps w:val="0"/>
          <w:noProof w:val="0"/>
        </w:rPr>
        <w:t>RefProc</w:t>
      </w:r>
      <w:r w:rsidRPr="002B29EF">
        <w:rPr>
          <w:rStyle w:val="HideTWBExt"/>
          <w:b w:val="0"/>
          <w:noProof w:val="0"/>
        </w:rPr>
        <w:t>&gt;</w:t>
      </w:r>
      <w:r w:rsidRPr="002B29EF">
        <w:t>2016/2206(DEC)</w:t>
      </w:r>
      <w:r w:rsidRPr="002B29EF">
        <w:rPr>
          <w:rStyle w:val="HideTWBExt"/>
          <w:b w:val="0"/>
          <w:noProof w:val="0"/>
        </w:rPr>
        <w:t>&lt;/</w:t>
      </w:r>
      <w:r w:rsidRPr="002B29EF">
        <w:rPr>
          <w:rStyle w:val="HideTWBExt"/>
          <w:b w:val="0"/>
          <w:caps w:val="0"/>
          <w:noProof w:val="0"/>
        </w:rPr>
        <w:t>RefProc</w:t>
      </w:r>
      <w:r w:rsidRPr="002B29EF">
        <w:rPr>
          <w:rStyle w:val="HideTWBExt"/>
          <w:b w:val="0"/>
          <w:noProof w:val="0"/>
        </w:rPr>
        <w:t>&gt;</w:t>
      </w:r>
    </w:p>
    <w:p w:rsidR="002E2F2E" w:rsidRPr="002B29EF" w:rsidRDefault="002E2F2E">
      <w:pPr>
        <w:pStyle w:val="ZDate"/>
      </w:pPr>
      <w:r w:rsidRPr="002B29EF">
        <w:rPr>
          <w:rStyle w:val="HideTWBExt"/>
          <w:noProof w:val="0"/>
        </w:rPr>
        <w:t>&lt;Date&gt;</w:t>
      </w:r>
      <w:r w:rsidRPr="002B29EF">
        <w:rPr>
          <w:rStyle w:val="HideTWBInt"/>
        </w:rPr>
        <w:t>{02/02/2017}</w:t>
      </w:r>
      <w:r w:rsidRPr="002B29EF">
        <w:t>2.2.2017</w:t>
      </w:r>
      <w:r w:rsidRPr="002B29EF">
        <w:rPr>
          <w:rStyle w:val="HideTWBExt"/>
          <w:noProof w:val="0"/>
        </w:rPr>
        <w:t>&lt;/Date&gt;</w:t>
      </w:r>
    </w:p>
    <w:p w:rsidR="002E2F2E" w:rsidRPr="002B29EF" w:rsidRDefault="002E2F2E">
      <w:pPr>
        <w:pStyle w:val="TypeDoc"/>
      </w:pPr>
      <w:r w:rsidRPr="002B29EF">
        <w:rPr>
          <w:rStyle w:val="HideTWBExt"/>
          <w:b w:val="0"/>
          <w:noProof w:val="0"/>
        </w:rPr>
        <w:t>&lt;TitreType&gt;</w:t>
      </w:r>
      <w:r w:rsidRPr="002B29EF">
        <w:t>PARERE</w:t>
      </w:r>
      <w:r w:rsidRPr="002B29EF">
        <w:rPr>
          <w:rStyle w:val="HideTWBExt"/>
          <w:b w:val="0"/>
          <w:noProof w:val="0"/>
        </w:rPr>
        <w:t>&lt;/TitreType&gt;</w:t>
      </w:r>
    </w:p>
    <w:p w:rsidR="002E2F2E" w:rsidRPr="002B29EF" w:rsidRDefault="002E2F2E">
      <w:pPr>
        <w:pStyle w:val="Cover24"/>
      </w:pPr>
      <w:r w:rsidRPr="002B29EF">
        <w:rPr>
          <w:rStyle w:val="HideTWBExt"/>
          <w:noProof w:val="0"/>
        </w:rPr>
        <w:t>&lt;CommissionResp&gt;</w:t>
      </w:r>
      <w:r w:rsidRPr="002B29EF">
        <w:t>della commissione per l'occupazione e gli affari sociali</w:t>
      </w:r>
      <w:r w:rsidRPr="002B29EF">
        <w:rPr>
          <w:rStyle w:val="HideTWBExt"/>
          <w:noProof w:val="0"/>
        </w:rPr>
        <w:t>&lt;/CommissionResp&gt;</w:t>
      </w:r>
    </w:p>
    <w:p w:rsidR="002E2F2E" w:rsidRPr="002B29EF" w:rsidRDefault="002E2F2E">
      <w:pPr>
        <w:pStyle w:val="Cover24"/>
      </w:pPr>
      <w:r w:rsidRPr="002B29EF">
        <w:rPr>
          <w:rStyle w:val="HideTWBExt"/>
          <w:noProof w:val="0"/>
        </w:rPr>
        <w:t>&lt;CommissionInt&gt;</w:t>
      </w:r>
      <w:r w:rsidRPr="002B29EF">
        <w:t>destinato alla commissione per il controllo dei bilanci</w:t>
      </w:r>
      <w:r w:rsidRPr="002B29EF">
        <w:rPr>
          <w:rStyle w:val="HideTWBExt"/>
          <w:noProof w:val="0"/>
        </w:rPr>
        <w:t>&lt;/CommissionInt&gt;</w:t>
      </w:r>
    </w:p>
    <w:p w:rsidR="002E2F2E" w:rsidRPr="002B29EF" w:rsidRDefault="002E2F2E">
      <w:pPr>
        <w:pStyle w:val="CoverNormal"/>
      </w:pPr>
      <w:r w:rsidRPr="002B29EF">
        <w:rPr>
          <w:rStyle w:val="HideTWBExt"/>
          <w:noProof w:val="0"/>
        </w:rPr>
        <w:t>&lt;Titre&gt;</w:t>
      </w:r>
      <w:r w:rsidRPr="002B29EF">
        <w:t>sul discarico per l'esecuzione del bilancio delle agenzie dell'Unione europea per l'esercizio 2015: prestazioni, gestione finanziaria e controllo</w:t>
      </w:r>
      <w:r w:rsidRPr="002B29EF">
        <w:rPr>
          <w:rStyle w:val="HideTWBExt"/>
          <w:noProof w:val="0"/>
        </w:rPr>
        <w:t>&lt;/Titre&gt;</w:t>
      </w:r>
    </w:p>
    <w:p w:rsidR="002E2F2E" w:rsidRPr="002B29EF" w:rsidRDefault="002E2F2E">
      <w:pPr>
        <w:pStyle w:val="Cover24"/>
      </w:pPr>
      <w:r w:rsidRPr="002B29EF">
        <w:rPr>
          <w:rStyle w:val="HideTWBExt"/>
          <w:noProof w:val="0"/>
        </w:rPr>
        <w:t>&lt;DocRef&gt;</w:t>
      </w:r>
      <w:r w:rsidRPr="002B29EF">
        <w:t>(2016/2206(</w:t>
      </w:r>
      <w:bookmarkStart w:id="1" w:name="DocEPTmp"/>
      <w:bookmarkEnd w:id="1"/>
      <w:r w:rsidRPr="002B29EF">
        <w:t>DEC</w:t>
      </w:r>
      <w:bookmarkStart w:id="2" w:name="DocEPTmp2"/>
      <w:bookmarkEnd w:id="2"/>
      <w:r w:rsidRPr="002B29EF">
        <w:t>))</w:t>
      </w:r>
      <w:r w:rsidRPr="002B29EF">
        <w:rPr>
          <w:rStyle w:val="HideTWBExt"/>
          <w:noProof w:val="0"/>
        </w:rPr>
        <w:t>&lt;/DocRef&gt;</w:t>
      </w:r>
    </w:p>
    <w:p w:rsidR="002E2F2E" w:rsidRPr="002B29EF" w:rsidRDefault="006B4536">
      <w:pPr>
        <w:pStyle w:val="Cover24"/>
      </w:pPr>
      <w:r w:rsidRPr="002B29EF">
        <w:t xml:space="preserve">Relatore per parere: </w:t>
      </w:r>
      <w:r w:rsidRPr="002B29EF">
        <w:rPr>
          <w:rStyle w:val="HideTWBExt"/>
          <w:noProof w:val="0"/>
        </w:rPr>
        <w:t>&lt;Depute&gt;</w:t>
      </w:r>
      <w:r w:rsidRPr="002B29EF">
        <w:t>Marian Harkin</w:t>
      </w:r>
      <w:r w:rsidRPr="002B29EF">
        <w:rPr>
          <w:rStyle w:val="HideTWBExt"/>
          <w:noProof w:val="0"/>
        </w:rPr>
        <w:t>&lt;/Depute&gt;</w:t>
      </w:r>
    </w:p>
    <w:p w:rsidR="00A72C35" w:rsidRPr="002B29EF" w:rsidRDefault="00A72C35" w:rsidP="00A72C35">
      <w:pPr>
        <w:pStyle w:val="CoverNormal"/>
      </w:pPr>
    </w:p>
    <w:p w:rsidR="002E2F2E" w:rsidRPr="002B29EF" w:rsidRDefault="002E2F2E" w:rsidP="00E856D2">
      <w:pPr>
        <w:widowControl/>
        <w:tabs>
          <w:tab w:val="center" w:pos="4677"/>
        </w:tabs>
      </w:pPr>
      <w:r w:rsidRPr="002B29EF">
        <w:br w:type="page"/>
      </w:r>
      <w:r w:rsidRPr="002B29EF">
        <w:lastRenderedPageBreak/>
        <w:t>PA_NonLeg</w:t>
      </w:r>
    </w:p>
    <w:p w:rsidR="002E2F2E" w:rsidRPr="002B29EF" w:rsidRDefault="002E2F2E">
      <w:pPr>
        <w:pStyle w:val="PageHeadingNotTOC"/>
      </w:pPr>
      <w:r w:rsidRPr="002B29EF">
        <w:br w:type="page"/>
      </w:r>
      <w:r w:rsidRPr="002B29EF">
        <w:lastRenderedPageBreak/>
        <w:t>SUGGERIMENTI</w:t>
      </w:r>
    </w:p>
    <w:p w:rsidR="002E2F2E" w:rsidRPr="002B29EF" w:rsidRDefault="006B4536">
      <w:pPr>
        <w:pStyle w:val="Normal12Tab"/>
      </w:pPr>
      <w:r w:rsidRPr="002B29EF">
        <w:t>La commissione per l'occupazione e gli affari sociali invita la commissione per il controllo dei bilanci, competente per il merito, a includere nella proposta di risoluzione che approverà i seguenti suggerimenti:</w:t>
      </w:r>
    </w:p>
    <w:p w:rsidR="00023983" w:rsidRPr="002B29EF" w:rsidRDefault="00D41D2D" w:rsidP="00023983">
      <w:pPr>
        <w:pStyle w:val="Hanging12"/>
      </w:pPr>
      <w:bookmarkStart w:id="3" w:name="restart"/>
      <w:r w:rsidRPr="002B29EF">
        <w:t>1.</w:t>
      </w:r>
      <w:r w:rsidRPr="002B29EF">
        <w:tab/>
      </w:r>
      <w:bookmarkEnd w:id="3"/>
      <w:r w:rsidRPr="002B29EF">
        <w:t>prende nota della contemporanea pubblicazione delle proposte di revisione dei rispettivi regolamenti che istituiscono le tre agenzie tripartite dell'Unione, in conformità con i principi stabiliti nella dichiarazione congiunta del Parlamento europeo, del Consiglio dell'UE e della Commissione europea sulle agenzie decentrate del 19 luglio 2012; sottolinea che è importante mantenere pienamente e migliorare l'attuale governance tripartita di tali agenzie, assicurando la partecipazione attiva delle autorità nazionali e delle organizzazioni dei datori di lavoro e dei lavoratori europei alla loro governance e al loro funzionamento; ricorda che sono state effettuate riduzioni di personale e ribadisce la sua preoccupazione per il fatto che ulteriori tagli limiterebbero la capacità delle agenzie di esercitare il loro mandato;</w:t>
      </w:r>
    </w:p>
    <w:p w:rsidR="00023983" w:rsidRPr="002B29EF" w:rsidRDefault="00023983" w:rsidP="00023983">
      <w:pPr>
        <w:pStyle w:val="Hanging12"/>
        <w:rPr>
          <w:szCs w:val="24"/>
        </w:rPr>
      </w:pPr>
      <w:r w:rsidRPr="002B29EF">
        <w:t>2.</w:t>
      </w:r>
      <w:r w:rsidRPr="002B29EF">
        <w:tab/>
        <w:t>ricorda che le discussioni tenute in seno alle commissioni competenti relative ai progetti di programma di lavoro annuale e alle strategie pluriennali delle agenzie dovrebbero contribuire a garantire che tali programmi e strategie siano equilibrati, rispecchino le reali priorità politiche e conseguano gli obiettivi stabiliti nella strategia Europa 2020;</w:t>
      </w:r>
    </w:p>
    <w:p w:rsidR="00023983" w:rsidRPr="002B29EF" w:rsidRDefault="00023983" w:rsidP="00023983">
      <w:pPr>
        <w:pStyle w:val="Hanging12"/>
        <w:rPr>
          <w:szCs w:val="24"/>
        </w:rPr>
      </w:pPr>
      <w:r w:rsidRPr="002B29EF">
        <w:t>3.</w:t>
      </w:r>
      <w:r w:rsidRPr="002B29EF">
        <w:tab/>
        <w:t>evidenzia la cooperazione e lo scambio di idee e prassi tra le agenzie nel quadro della rete di sviluppo delle prestazioni delle agenzie dell'Unione, che contribuisce a una governance più equilibrata e a una maggiore coerenza tra le agenzie; sottolinea che la rete deve contribuire a una maggiore efficienza e non a creare costi aggiuntivi e più burocrazia;</w:t>
      </w:r>
    </w:p>
    <w:p w:rsidR="00023983" w:rsidRPr="002B29EF" w:rsidRDefault="00023983" w:rsidP="00023983">
      <w:pPr>
        <w:pStyle w:val="Hanging12"/>
        <w:rPr>
          <w:szCs w:val="24"/>
        </w:rPr>
      </w:pPr>
      <w:r w:rsidRPr="002B29EF">
        <w:t>4.</w:t>
      </w:r>
      <w:r w:rsidRPr="002B29EF">
        <w:tab/>
        <w:t>accoglie con favore la crescente sistematizzazione della cooperazione tra l'ETF e il CEDEFOP, che crea ulteriori sinergie nei rispettivi mandati grazie al programma di lavoro annuale congiunto, in particolare mediante l'elaborazione di un quadro comune di monitoraggio di Riga e la collaborazione con l'OIL al fine di portare a termine i lavori relativi a sei guide metodologiche sull'anticipazione delle competenze e l'adeguamento degli strumenti e dei metodi;</w:t>
      </w:r>
    </w:p>
    <w:p w:rsidR="00023983" w:rsidRPr="002B29EF" w:rsidRDefault="00023983" w:rsidP="00023983">
      <w:pPr>
        <w:pStyle w:val="Hanging12"/>
      </w:pPr>
      <w:r w:rsidRPr="002B29EF">
        <w:t>5.</w:t>
      </w:r>
      <w:r w:rsidRPr="002B29EF">
        <w:tab/>
        <w:t>prende atto della seconda relazione sui progressi compiuti nell'attuazione dell'orientamento comune sulle agenzie decentrate dell'UE</w:t>
      </w:r>
      <w:r w:rsidRPr="002B29EF">
        <w:rPr>
          <w:vertAlign w:val="superscript"/>
        </w:rPr>
        <w:footnoteReference w:id="1"/>
      </w:r>
      <w:r w:rsidRPr="002B29EF">
        <w:t xml:space="preserve"> e apprezza i progressi compiuti in molti settori verso la razionalizzazione del loro funzionamento; si compiace degli sforzi e dei progressi compiuti dalla Commissione e dalle agenzie nell'attuazione della tabella di marcia;</w:t>
      </w:r>
    </w:p>
    <w:p w:rsidR="00023983" w:rsidRPr="002B29EF" w:rsidRDefault="00023983" w:rsidP="00023983">
      <w:pPr>
        <w:pStyle w:val="Hanging12"/>
      </w:pPr>
      <w:r w:rsidRPr="002B29EF">
        <w:t>6.</w:t>
      </w:r>
      <w:r w:rsidRPr="002B29EF">
        <w:tab/>
        <w:t>prende atto della valutazione e del controllo dell'adeguatezza in corso per quanto riguarda le quattro agenzie dell'Unione di competenza della DG EMPL, il cui avvio era previsto nel dicembre 2016 e il cui completamento è atteso per dicembre 2017</w:t>
      </w:r>
      <w:r w:rsidRPr="002B29EF">
        <w:rPr>
          <w:rStyle w:val="FootnoteReference"/>
        </w:rPr>
        <w:footnoteReference w:id="2"/>
      </w:r>
      <w:r w:rsidRPr="002B29EF">
        <w:t xml:space="preserve">; ritiene che tali valutazioni dovrebbero contribuire a decisioni informate del Parlamento in materia di efficienza e impatto dei contributi delle agenzie; sottolinea altresì l'esigenza di sfruttare le </w:t>
      </w:r>
      <w:r w:rsidRPr="002B29EF">
        <w:lastRenderedPageBreak/>
        <w:t>sinergie nelle attività concorrenti delle quattro agenzie, come pure tra le agenzie e la Commissione stessa, e di evitare la duplicazione del lavoro.</w:t>
      </w:r>
    </w:p>
    <w:p w:rsidR="00CD3D2F" w:rsidRPr="002B29EF" w:rsidRDefault="00CD3D2F" w:rsidP="00CD3D2F">
      <w:pPr>
        <w:pStyle w:val="PageHeadingNotTOC"/>
      </w:pPr>
      <w:r w:rsidRPr="002B29EF">
        <w:br w:type="page"/>
      </w:r>
      <w:bookmarkStart w:id="4" w:name="ProcPageAD"/>
      <w:r w:rsidRPr="002B29EF">
        <w:lastRenderedPageBreak/>
        <w:t>ESITO DELLA VOTAZIONE FINALE</w:t>
      </w:r>
      <w:r w:rsidRPr="002B29EF">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3D2F" w:rsidRPr="002B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b/>
                <w:bCs/>
                <w:color w:val="000000"/>
                <w:sz w:val="20"/>
              </w:rPr>
            </w:pPr>
            <w:r w:rsidRPr="002B29EF">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3D2F" w:rsidRPr="002B29EF" w:rsidRDefault="00CD3D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D3D2F" w:rsidRPr="002B29EF" w:rsidRDefault="00CD3D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rFonts w:ascii="sans-serif" w:hAnsi="sans-serif" w:cs="sans-serif"/>
                <w:color w:val="000000"/>
                <w:szCs w:val="24"/>
              </w:rPr>
            </w:pPr>
          </w:p>
        </w:tc>
      </w:tr>
      <w:tr w:rsidR="00CD3D2F" w:rsidRPr="002B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b/>
                <w:bCs/>
                <w:color w:val="000000"/>
                <w:sz w:val="20"/>
              </w:rPr>
            </w:pPr>
            <w:r w:rsidRPr="002B29EF">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w:t>
            </w:r>
          </w:p>
          <w:p w:rsidR="00CD3D2F" w:rsidRPr="002B29EF" w:rsidRDefault="00CD3D2F">
            <w:pPr>
              <w:autoSpaceDE w:val="0"/>
              <w:autoSpaceDN w:val="0"/>
              <w:adjustRightInd w:val="0"/>
              <w:rPr>
                <w:color w:val="000000"/>
                <w:sz w:val="20"/>
              </w:rPr>
            </w:pPr>
            <w:r w:rsidRPr="002B29EF">
              <w:rPr>
                <w:color w:val="000000"/>
                <w:sz w:val="20"/>
              </w:rPr>
              <w:t>–:</w:t>
            </w:r>
          </w:p>
          <w:p w:rsidR="00CD3D2F" w:rsidRPr="002B29EF" w:rsidRDefault="00CD3D2F">
            <w:pPr>
              <w:autoSpaceDE w:val="0"/>
              <w:autoSpaceDN w:val="0"/>
              <w:adjustRightInd w:val="0"/>
              <w:rPr>
                <w:color w:val="000000"/>
                <w:sz w:val="20"/>
              </w:rPr>
            </w:pPr>
            <w:r w:rsidRPr="002B29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43</w:t>
            </w:r>
          </w:p>
          <w:p w:rsidR="00CD3D2F" w:rsidRPr="002B29EF" w:rsidRDefault="00CD3D2F">
            <w:pPr>
              <w:autoSpaceDE w:val="0"/>
              <w:autoSpaceDN w:val="0"/>
              <w:adjustRightInd w:val="0"/>
              <w:rPr>
                <w:color w:val="000000"/>
                <w:sz w:val="20"/>
              </w:rPr>
            </w:pPr>
            <w:r w:rsidRPr="002B29EF">
              <w:rPr>
                <w:color w:val="000000"/>
                <w:sz w:val="20"/>
              </w:rPr>
              <w:t>8</w:t>
            </w:r>
          </w:p>
          <w:p w:rsidR="00CD3D2F" w:rsidRPr="002B29EF" w:rsidRDefault="00CD3D2F">
            <w:pPr>
              <w:autoSpaceDE w:val="0"/>
              <w:autoSpaceDN w:val="0"/>
              <w:adjustRightInd w:val="0"/>
              <w:rPr>
                <w:color w:val="000000"/>
                <w:sz w:val="20"/>
              </w:rPr>
            </w:pPr>
            <w:r w:rsidRPr="002B29EF">
              <w:rPr>
                <w:color w:val="000000"/>
                <w:sz w:val="20"/>
              </w:rPr>
              <w:t>0</w:t>
            </w:r>
          </w:p>
        </w:tc>
      </w:tr>
      <w:tr w:rsidR="00CD3D2F" w:rsidRPr="002B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b/>
                <w:bCs/>
                <w:color w:val="000000"/>
                <w:sz w:val="20"/>
              </w:rPr>
            </w:pPr>
            <w:r w:rsidRPr="002B29EF">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Laura Agea, Brando Benifei, Vilija Blinkevičiūtė, Enrique Calvet Chambon, Ole Christensen, Martina Dlabajová, Lampros Fountoulis, Arne Gericke, Marian Harkin, Czesław Hoc, Agnes Jongerius, Rina Ronja Kari, Jan Keller, Agnieszka Kozłowska-Rajewicz, Jean Lambert, Jérôme Lavrilleux, Patrick Le Hyaric, Jeroen Lenaers, Verónica Lope Fontagné, Javi López, Thomas Mann, Dominique Martin, Joëlle Mélin, Elisabeth Morin-Chartier, João Pimenta Lopes, Georgi Pirinski, Terry Reintke, Sofia Ribeiro, Robert Rochefort, Claude Rolin, Anne Sander, Sven Schulze, Siôn Simon, Jutta Steinruck, Romana Tomc, Yana Toom, Ulrike Trebesius, Marita Ulvskog, Renate Weber, Jana Žitňanská</w:t>
            </w:r>
          </w:p>
        </w:tc>
      </w:tr>
      <w:tr w:rsidR="00CD3D2F" w:rsidRPr="002B29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b/>
                <w:bCs/>
                <w:color w:val="000000"/>
                <w:sz w:val="20"/>
              </w:rPr>
            </w:pPr>
            <w:r w:rsidRPr="002B29EF">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Georges Bach, Heinz K. Becker, Lynn Boylan, Dieter-Lebrecht Koch, Paloma López Bermejo, Edouard Martin, Evelyn Regner, Csaba Sógor, Helga Stevens, Flavio Zanonato</w:t>
            </w:r>
          </w:p>
        </w:tc>
      </w:tr>
      <w:tr w:rsidR="00CD3D2F" w:rsidRPr="002B29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b/>
                <w:bCs/>
                <w:color w:val="000000"/>
                <w:sz w:val="20"/>
              </w:rPr>
            </w:pPr>
            <w:r w:rsidRPr="002B29EF">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D3D2F" w:rsidRPr="002B29EF" w:rsidRDefault="00CD3D2F">
            <w:pPr>
              <w:autoSpaceDE w:val="0"/>
              <w:autoSpaceDN w:val="0"/>
              <w:adjustRightInd w:val="0"/>
              <w:rPr>
                <w:color w:val="000000"/>
                <w:sz w:val="20"/>
              </w:rPr>
            </w:pPr>
            <w:r w:rsidRPr="002B29EF">
              <w:rPr>
                <w:color w:val="000000"/>
                <w:sz w:val="20"/>
              </w:rPr>
              <w:t>Marco Valli</w:t>
            </w:r>
          </w:p>
        </w:tc>
      </w:tr>
    </w:tbl>
    <w:p w:rsidR="00CD3D2F" w:rsidRPr="002B29EF" w:rsidRDefault="00CD3D2F" w:rsidP="00C71F42"/>
    <w:bookmarkEnd w:id="4"/>
    <w:p w:rsidR="00C71F42" w:rsidRPr="002B29EF" w:rsidRDefault="00C71F42" w:rsidP="00C2406B">
      <w:pPr>
        <w:pStyle w:val="PageHeadingNotTOC"/>
      </w:pPr>
      <w:r w:rsidRPr="002B29EF">
        <w:br w:type="page"/>
      </w:r>
      <w:bookmarkStart w:id="5" w:name="RollCallPageAD"/>
      <w:r w:rsidRPr="002B29EF">
        <w:t>VOTAZIONE FINALE PER APPELLO NOMINALE</w:t>
      </w:r>
      <w:r w:rsidRPr="002B29EF">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F42" w:rsidRPr="002B29EF" w:rsidTr="008920AC">
        <w:trPr>
          <w:cantSplit/>
        </w:trPr>
        <w:tc>
          <w:tcPr>
            <w:tcW w:w="1701" w:type="dxa"/>
            <w:shd w:val="pct10" w:color="000000" w:fill="FFFFFF"/>
            <w:vAlign w:val="center"/>
          </w:tcPr>
          <w:p w:rsidR="00C71F42" w:rsidRPr="002B29EF" w:rsidRDefault="00C71F42" w:rsidP="008920AC">
            <w:pPr>
              <w:spacing w:before="120" w:after="120"/>
              <w:jc w:val="center"/>
              <w:rPr>
                <w:b/>
                <w:sz w:val="16"/>
              </w:rPr>
            </w:pPr>
            <w:r w:rsidRPr="002B29EF">
              <w:rPr>
                <w:b/>
                <w:sz w:val="16"/>
              </w:rPr>
              <w:t>43</w:t>
            </w:r>
          </w:p>
        </w:tc>
        <w:tc>
          <w:tcPr>
            <w:tcW w:w="7371" w:type="dxa"/>
            <w:shd w:val="pct10" w:color="000000" w:fill="FFFFFF"/>
          </w:tcPr>
          <w:p w:rsidR="00C71F42" w:rsidRPr="002B29EF" w:rsidRDefault="00C71F42" w:rsidP="008920AC">
            <w:pPr>
              <w:spacing w:before="120" w:after="120"/>
              <w:jc w:val="center"/>
              <w:rPr>
                <w:rFonts w:ascii="Arial" w:hAnsi="Arial" w:cs="Arial"/>
                <w:b/>
                <w:sz w:val="28"/>
                <w:szCs w:val="28"/>
              </w:rPr>
            </w:pPr>
            <w:r w:rsidRPr="002B29EF">
              <w:rPr>
                <w:rFonts w:ascii="Arial" w:hAnsi="Arial"/>
                <w:b/>
                <w:sz w:val="28"/>
              </w:rPr>
              <w:t>+</w:t>
            </w:r>
          </w:p>
        </w:tc>
      </w:tr>
      <w:tr w:rsidR="00C71F42" w:rsidRPr="002B29EF" w:rsidTr="008920AC">
        <w:trPr>
          <w:cantSplit/>
        </w:trPr>
        <w:tc>
          <w:tcPr>
            <w:tcW w:w="1701" w:type="dxa"/>
            <w:shd w:val="clear" w:color="auto" w:fill="FFFFFF"/>
          </w:tcPr>
          <w:p w:rsidR="00C71F42" w:rsidRPr="002B29EF" w:rsidRDefault="00C71F42" w:rsidP="00C71F42">
            <w:pPr>
              <w:spacing w:before="120" w:after="120"/>
              <w:rPr>
                <w:sz w:val="16"/>
              </w:rPr>
            </w:pPr>
            <w:r w:rsidRPr="002B29EF">
              <w:rPr>
                <w:sz w:val="16"/>
              </w:rPr>
              <w:t>ALDE</w:t>
            </w:r>
          </w:p>
          <w:p w:rsidR="00C71F42" w:rsidRPr="002B29EF" w:rsidRDefault="00C71F42" w:rsidP="00C71F42">
            <w:pPr>
              <w:spacing w:before="120" w:after="120"/>
              <w:rPr>
                <w:sz w:val="16"/>
              </w:rPr>
            </w:pPr>
            <w:r w:rsidRPr="002B29EF">
              <w:rPr>
                <w:sz w:val="16"/>
              </w:rPr>
              <w:t>EFDD</w:t>
            </w:r>
          </w:p>
          <w:p w:rsidR="00C71F42" w:rsidRPr="002B29EF" w:rsidRDefault="00C71F42" w:rsidP="00C71F42">
            <w:pPr>
              <w:spacing w:before="120" w:after="120"/>
              <w:rPr>
                <w:sz w:val="16"/>
              </w:rPr>
            </w:pPr>
            <w:r w:rsidRPr="002B29EF">
              <w:rPr>
                <w:sz w:val="16"/>
              </w:rPr>
              <w:t>GUE/NGL</w:t>
            </w:r>
          </w:p>
          <w:p w:rsidR="00C71F42" w:rsidRPr="002B29EF" w:rsidRDefault="00C71F42" w:rsidP="00C71F42">
            <w:pPr>
              <w:spacing w:before="120" w:after="360"/>
              <w:rPr>
                <w:sz w:val="16"/>
              </w:rPr>
            </w:pPr>
            <w:r w:rsidRPr="002B29EF">
              <w:rPr>
                <w:sz w:val="16"/>
              </w:rPr>
              <w:t>PPE</w:t>
            </w:r>
          </w:p>
          <w:p w:rsidR="00C71F42" w:rsidRPr="002B29EF" w:rsidRDefault="00C71F42" w:rsidP="00C71F42">
            <w:pPr>
              <w:spacing w:before="120" w:after="360"/>
              <w:rPr>
                <w:sz w:val="16"/>
              </w:rPr>
            </w:pPr>
            <w:r w:rsidRPr="002B29EF">
              <w:rPr>
                <w:sz w:val="16"/>
              </w:rPr>
              <w:t>S&amp;D</w:t>
            </w:r>
          </w:p>
          <w:p w:rsidR="00C71F42" w:rsidRPr="002B29EF" w:rsidRDefault="00C71F42" w:rsidP="00C71F42">
            <w:pPr>
              <w:spacing w:before="120" w:after="120"/>
              <w:rPr>
                <w:sz w:val="16"/>
              </w:rPr>
            </w:pPr>
            <w:r w:rsidRPr="002B29EF">
              <w:rPr>
                <w:sz w:val="16"/>
              </w:rPr>
              <w:t>VERTS/ALE</w:t>
            </w:r>
          </w:p>
        </w:tc>
        <w:tc>
          <w:tcPr>
            <w:tcW w:w="7371" w:type="dxa"/>
            <w:shd w:val="clear" w:color="auto" w:fill="FFFFFF"/>
          </w:tcPr>
          <w:p w:rsidR="00C71F42" w:rsidRPr="002B29EF" w:rsidRDefault="00C71F42" w:rsidP="00C71F42">
            <w:pPr>
              <w:spacing w:before="120" w:after="120"/>
              <w:rPr>
                <w:sz w:val="16"/>
              </w:rPr>
            </w:pPr>
            <w:r w:rsidRPr="002B29EF">
              <w:rPr>
                <w:sz w:val="16"/>
              </w:rPr>
              <w:t>Enrique Calvet Chambon, Martina Dlabajová, Marian Harkin, Robert Rochefort, Yana Toom, Renate Weber</w:t>
            </w:r>
          </w:p>
          <w:p w:rsidR="00C71F42" w:rsidRPr="002B29EF" w:rsidRDefault="00C71F42" w:rsidP="00C71F42">
            <w:pPr>
              <w:spacing w:before="120" w:after="120"/>
              <w:rPr>
                <w:sz w:val="16"/>
              </w:rPr>
            </w:pPr>
            <w:r w:rsidRPr="002B29EF">
              <w:rPr>
                <w:sz w:val="16"/>
              </w:rPr>
              <w:t>Laura Agea, Marco Valli</w:t>
            </w:r>
          </w:p>
          <w:p w:rsidR="00C71F42" w:rsidRPr="002B29EF" w:rsidRDefault="00C71F42" w:rsidP="00C71F42">
            <w:pPr>
              <w:spacing w:before="120" w:after="120"/>
              <w:rPr>
                <w:sz w:val="16"/>
              </w:rPr>
            </w:pPr>
            <w:r w:rsidRPr="002B29EF">
              <w:rPr>
                <w:sz w:val="16"/>
              </w:rPr>
              <w:t>Lynn Boylan, Rina Ronja Kari, Patrick Le Hyaric, Paloma López Bermejo, João Pimenta Lopes</w:t>
            </w:r>
          </w:p>
          <w:p w:rsidR="00C71F42" w:rsidRPr="002B29EF" w:rsidRDefault="00C71F42" w:rsidP="00C71F42">
            <w:pPr>
              <w:spacing w:before="120" w:after="20"/>
              <w:rPr>
                <w:sz w:val="16"/>
              </w:rPr>
            </w:pPr>
            <w:r w:rsidRPr="002B29EF">
              <w:rPr>
                <w:sz w:val="16"/>
              </w:rPr>
              <w:t>Georges Bach, Heinz K. Becker, Dieter-Lebrecht Koch, Agnieszka Kozłowska-Rajewicz, Jérôme Lavrilleux, Jeroen Lenaers, Verónica Lope Fontagné, Thomas Mann, Elisabeth Morin-Chartier, Sofia Ribeiro, Claude Rolin, Anne Sander, Sven Schulze, Csaba Sógor, Romana Tomc</w:t>
            </w:r>
          </w:p>
          <w:p w:rsidR="00C71F42" w:rsidRPr="002B29EF" w:rsidRDefault="00C71F42" w:rsidP="00C71F42">
            <w:pPr>
              <w:spacing w:before="120" w:after="140"/>
              <w:rPr>
                <w:sz w:val="16"/>
              </w:rPr>
            </w:pPr>
            <w:r w:rsidRPr="002B29EF">
              <w:rPr>
                <w:sz w:val="16"/>
              </w:rPr>
              <w:t>Brando Benifei, Vilija Blinkevičiūtė, Ole Christensen, Agnes Jongerius, Jan Keller, Javi López, Edouard Martin, Georgi Pirinski, Evelyn Regner, Siôn Simon, Jutta Steinruck, Marita Ulvskog, Flavio Zanonato</w:t>
            </w:r>
          </w:p>
          <w:p w:rsidR="00C71F42" w:rsidRPr="002B29EF" w:rsidRDefault="00C71F42" w:rsidP="00C71F42">
            <w:pPr>
              <w:spacing w:before="120" w:after="120"/>
              <w:rPr>
                <w:sz w:val="16"/>
              </w:rPr>
            </w:pPr>
            <w:r w:rsidRPr="002B29EF">
              <w:rPr>
                <w:sz w:val="16"/>
              </w:rPr>
              <w:t>Jean Lambert, Terry Reintke</w:t>
            </w:r>
          </w:p>
          <w:p w:rsidR="00C71F42" w:rsidRPr="002B29EF" w:rsidRDefault="00C71F42" w:rsidP="00C71F42">
            <w:pPr>
              <w:spacing w:before="120" w:after="120"/>
              <w:rPr>
                <w:sz w:val="16"/>
              </w:rPr>
            </w:pPr>
          </w:p>
        </w:tc>
      </w:tr>
    </w:tbl>
    <w:p w:rsidR="00C71F42" w:rsidRPr="002B29EF" w:rsidRDefault="00C71F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F42" w:rsidRPr="002B29EF" w:rsidTr="008920AC">
        <w:trPr>
          <w:cantSplit/>
        </w:trPr>
        <w:tc>
          <w:tcPr>
            <w:tcW w:w="1701" w:type="dxa"/>
            <w:shd w:val="pct10" w:color="000000" w:fill="FFFFFF"/>
            <w:vAlign w:val="center"/>
          </w:tcPr>
          <w:p w:rsidR="00C71F42" w:rsidRPr="002B29EF" w:rsidRDefault="00C71F42" w:rsidP="008920AC">
            <w:pPr>
              <w:spacing w:before="120" w:after="120"/>
              <w:jc w:val="center"/>
              <w:rPr>
                <w:b/>
                <w:sz w:val="16"/>
              </w:rPr>
            </w:pPr>
            <w:r w:rsidRPr="002B29EF">
              <w:rPr>
                <w:b/>
                <w:sz w:val="16"/>
              </w:rPr>
              <w:t>8</w:t>
            </w:r>
          </w:p>
        </w:tc>
        <w:tc>
          <w:tcPr>
            <w:tcW w:w="7371" w:type="dxa"/>
            <w:shd w:val="pct10" w:color="000000" w:fill="FFFFFF"/>
          </w:tcPr>
          <w:p w:rsidR="00C71F42" w:rsidRPr="002B29EF" w:rsidRDefault="00C71F42" w:rsidP="008920AC">
            <w:pPr>
              <w:spacing w:before="120" w:after="120"/>
              <w:jc w:val="center"/>
              <w:rPr>
                <w:sz w:val="28"/>
                <w:szCs w:val="28"/>
              </w:rPr>
            </w:pPr>
            <w:r w:rsidRPr="002B29EF">
              <w:rPr>
                <w:rFonts w:ascii="Arial" w:hAnsi="Arial"/>
                <w:b/>
                <w:sz w:val="28"/>
              </w:rPr>
              <w:t>-</w:t>
            </w:r>
          </w:p>
        </w:tc>
      </w:tr>
      <w:tr w:rsidR="00C71F42" w:rsidRPr="002B29EF" w:rsidTr="008920AC">
        <w:trPr>
          <w:cantSplit/>
        </w:trPr>
        <w:tc>
          <w:tcPr>
            <w:tcW w:w="1701" w:type="dxa"/>
            <w:shd w:val="clear" w:color="auto" w:fill="FFFFFF"/>
          </w:tcPr>
          <w:p w:rsidR="00C71F42" w:rsidRPr="002B29EF" w:rsidRDefault="00C71F42" w:rsidP="00C71F42">
            <w:pPr>
              <w:spacing w:before="120" w:after="120"/>
              <w:rPr>
                <w:sz w:val="16"/>
              </w:rPr>
            </w:pPr>
            <w:r w:rsidRPr="002B29EF">
              <w:rPr>
                <w:sz w:val="16"/>
              </w:rPr>
              <w:t>ECR</w:t>
            </w:r>
          </w:p>
          <w:p w:rsidR="00C71F42" w:rsidRPr="002B29EF" w:rsidRDefault="00C71F42" w:rsidP="00C71F42">
            <w:pPr>
              <w:spacing w:before="120" w:after="120"/>
              <w:rPr>
                <w:sz w:val="16"/>
              </w:rPr>
            </w:pPr>
            <w:r w:rsidRPr="002B29EF">
              <w:rPr>
                <w:sz w:val="16"/>
              </w:rPr>
              <w:t>ENF</w:t>
            </w:r>
          </w:p>
          <w:p w:rsidR="00C71F42" w:rsidRPr="002B29EF" w:rsidRDefault="00C71F42" w:rsidP="00C71F42">
            <w:pPr>
              <w:spacing w:before="120" w:after="120"/>
              <w:rPr>
                <w:sz w:val="16"/>
              </w:rPr>
            </w:pPr>
            <w:r w:rsidRPr="002B29EF">
              <w:rPr>
                <w:sz w:val="16"/>
              </w:rPr>
              <w:t>NI</w:t>
            </w:r>
          </w:p>
          <w:p w:rsidR="00C71F42" w:rsidRPr="002B29EF" w:rsidRDefault="00C71F42" w:rsidP="00C71F42">
            <w:pPr>
              <w:spacing w:before="120" w:after="120"/>
              <w:rPr>
                <w:sz w:val="16"/>
              </w:rPr>
            </w:pPr>
          </w:p>
        </w:tc>
        <w:tc>
          <w:tcPr>
            <w:tcW w:w="7371" w:type="dxa"/>
            <w:shd w:val="clear" w:color="auto" w:fill="FFFFFF"/>
          </w:tcPr>
          <w:p w:rsidR="00C71F42" w:rsidRPr="002B29EF" w:rsidRDefault="00C71F42" w:rsidP="00C71F42">
            <w:pPr>
              <w:spacing w:before="120" w:after="120"/>
              <w:rPr>
                <w:sz w:val="16"/>
              </w:rPr>
            </w:pPr>
            <w:r w:rsidRPr="002B29EF">
              <w:rPr>
                <w:sz w:val="16"/>
              </w:rPr>
              <w:t>Arne Gericke, Czesław Hoc, Helga Stevens, Ulrike Trebesius, Jana Žitňanská</w:t>
            </w:r>
          </w:p>
          <w:p w:rsidR="00C71F42" w:rsidRPr="002B29EF" w:rsidRDefault="00C71F42" w:rsidP="00C71F42">
            <w:pPr>
              <w:spacing w:before="120" w:after="120"/>
              <w:rPr>
                <w:sz w:val="16"/>
              </w:rPr>
            </w:pPr>
            <w:r w:rsidRPr="002B29EF">
              <w:rPr>
                <w:sz w:val="16"/>
              </w:rPr>
              <w:t>Dominique Martin, Joëlle Mélin</w:t>
            </w:r>
          </w:p>
          <w:p w:rsidR="00C71F42" w:rsidRPr="002B29EF" w:rsidRDefault="00C71F42" w:rsidP="00C71F42">
            <w:pPr>
              <w:spacing w:before="120" w:after="120"/>
              <w:rPr>
                <w:sz w:val="16"/>
              </w:rPr>
            </w:pPr>
            <w:r w:rsidRPr="002B29EF">
              <w:rPr>
                <w:sz w:val="16"/>
              </w:rPr>
              <w:t>Lampros Fountoulis</w:t>
            </w:r>
          </w:p>
          <w:p w:rsidR="00C71F42" w:rsidRPr="002B29EF" w:rsidRDefault="00C71F42" w:rsidP="00C71F42">
            <w:pPr>
              <w:spacing w:before="120" w:after="120"/>
              <w:rPr>
                <w:sz w:val="16"/>
              </w:rPr>
            </w:pPr>
          </w:p>
        </w:tc>
      </w:tr>
    </w:tbl>
    <w:p w:rsidR="00C71F42" w:rsidRPr="002B29EF" w:rsidRDefault="00C71F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F42" w:rsidRPr="002B29EF" w:rsidTr="008920AC">
        <w:trPr>
          <w:cantSplit/>
        </w:trPr>
        <w:tc>
          <w:tcPr>
            <w:tcW w:w="1701" w:type="dxa"/>
            <w:shd w:val="pct10" w:color="000000" w:fill="FFFFFF"/>
            <w:vAlign w:val="center"/>
          </w:tcPr>
          <w:p w:rsidR="00C71F42" w:rsidRPr="002B29EF" w:rsidRDefault="00C71F42" w:rsidP="008920AC">
            <w:pPr>
              <w:spacing w:before="120" w:after="120"/>
              <w:jc w:val="center"/>
              <w:rPr>
                <w:b/>
                <w:sz w:val="16"/>
              </w:rPr>
            </w:pPr>
            <w:r w:rsidRPr="002B29EF">
              <w:rPr>
                <w:b/>
                <w:sz w:val="16"/>
              </w:rPr>
              <w:t>0</w:t>
            </w:r>
          </w:p>
        </w:tc>
        <w:tc>
          <w:tcPr>
            <w:tcW w:w="7371" w:type="dxa"/>
            <w:shd w:val="pct10" w:color="000000" w:fill="FFFFFF"/>
          </w:tcPr>
          <w:p w:rsidR="00C71F42" w:rsidRPr="002B29EF" w:rsidRDefault="00C71F42" w:rsidP="008920AC">
            <w:pPr>
              <w:spacing w:before="120" w:after="120"/>
              <w:jc w:val="center"/>
              <w:rPr>
                <w:sz w:val="28"/>
                <w:szCs w:val="28"/>
              </w:rPr>
            </w:pPr>
            <w:r w:rsidRPr="002B29EF">
              <w:rPr>
                <w:rFonts w:ascii="Arial" w:hAnsi="Arial"/>
                <w:b/>
                <w:sz w:val="28"/>
              </w:rPr>
              <w:t>0</w:t>
            </w:r>
          </w:p>
        </w:tc>
      </w:tr>
      <w:tr w:rsidR="00C71F42" w:rsidRPr="002B29EF" w:rsidTr="008920AC">
        <w:trPr>
          <w:cantSplit/>
        </w:trPr>
        <w:tc>
          <w:tcPr>
            <w:tcW w:w="1701" w:type="dxa"/>
            <w:shd w:val="clear" w:color="auto" w:fill="FFFFFF"/>
          </w:tcPr>
          <w:p w:rsidR="00C71F42" w:rsidRPr="002B29EF" w:rsidRDefault="00C71F42" w:rsidP="008920AC">
            <w:pPr>
              <w:spacing w:before="120" w:after="120"/>
              <w:rPr>
                <w:sz w:val="16"/>
              </w:rPr>
            </w:pPr>
          </w:p>
        </w:tc>
        <w:tc>
          <w:tcPr>
            <w:tcW w:w="7371" w:type="dxa"/>
            <w:shd w:val="clear" w:color="auto" w:fill="FFFFFF"/>
          </w:tcPr>
          <w:p w:rsidR="00C71F42" w:rsidRPr="002B29EF" w:rsidRDefault="00C71F42" w:rsidP="008920AC">
            <w:pPr>
              <w:spacing w:before="120" w:after="120"/>
              <w:rPr>
                <w:sz w:val="16"/>
              </w:rPr>
            </w:pPr>
          </w:p>
        </w:tc>
      </w:tr>
    </w:tbl>
    <w:p w:rsidR="00C71F42" w:rsidRPr="002B29EF" w:rsidRDefault="00C71F42" w:rsidP="00147FBF">
      <w:pPr>
        <w:pStyle w:val="Normal12"/>
      </w:pPr>
    </w:p>
    <w:p w:rsidR="00C71F42" w:rsidRPr="002B29EF" w:rsidRDefault="00C71F42" w:rsidP="00B735E3">
      <w:r w:rsidRPr="002B29EF">
        <w:t>Significato dei simboli utilizzati:</w:t>
      </w:r>
    </w:p>
    <w:p w:rsidR="00C71F42" w:rsidRPr="002B29EF" w:rsidRDefault="00C71F42" w:rsidP="00B735E3">
      <w:pPr>
        <w:pStyle w:val="NormalTabs"/>
      </w:pPr>
      <w:r w:rsidRPr="002B29EF">
        <w:t>+</w:t>
      </w:r>
      <w:r w:rsidRPr="002B29EF">
        <w:tab/>
        <w:t>:</w:t>
      </w:r>
      <w:r w:rsidRPr="002B29EF">
        <w:tab/>
        <w:t>favorevoli</w:t>
      </w:r>
    </w:p>
    <w:p w:rsidR="00C71F42" w:rsidRPr="002B29EF" w:rsidRDefault="00C71F42" w:rsidP="00B735E3">
      <w:pPr>
        <w:pStyle w:val="NormalTabs"/>
      </w:pPr>
      <w:r w:rsidRPr="002B29EF">
        <w:t>-</w:t>
      </w:r>
      <w:r w:rsidRPr="002B29EF">
        <w:tab/>
        <w:t>:</w:t>
      </w:r>
      <w:r w:rsidRPr="002B29EF">
        <w:tab/>
        <w:t>contrari</w:t>
      </w:r>
    </w:p>
    <w:p w:rsidR="00C71F42" w:rsidRPr="002B29EF" w:rsidRDefault="00C71F42" w:rsidP="00B735E3">
      <w:pPr>
        <w:pStyle w:val="NormalTabs"/>
      </w:pPr>
      <w:r w:rsidRPr="002B29EF">
        <w:t>0</w:t>
      </w:r>
      <w:r w:rsidRPr="002B29EF">
        <w:tab/>
        <w:t>:</w:t>
      </w:r>
      <w:r w:rsidRPr="002B29EF">
        <w:tab/>
        <w:t>astenuti</w:t>
      </w:r>
    </w:p>
    <w:p w:rsidR="00C71F42" w:rsidRPr="002B29EF" w:rsidRDefault="00C71F42" w:rsidP="00AD5932"/>
    <w:bookmarkEnd w:id="5"/>
    <w:p w:rsidR="002E2F2E" w:rsidRPr="002B29EF" w:rsidRDefault="002E2F2E" w:rsidP="00C71F42"/>
    <w:sectPr w:rsidR="002E2F2E" w:rsidRPr="002B29EF"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36" w:rsidRPr="006B4536" w:rsidRDefault="006B4536">
      <w:r w:rsidRPr="006B4536">
        <w:separator/>
      </w:r>
    </w:p>
  </w:endnote>
  <w:endnote w:type="continuationSeparator" w:id="0">
    <w:p w:rsidR="006B4536" w:rsidRPr="006B4536" w:rsidRDefault="006B4536">
      <w:r w:rsidRPr="006B45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2F" w:rsidRDefault="00CD3D2F" w:rsidP="00CD3D2F">
    <w:pPr>
      <w:pStyle w:val="Footer"/>
    </w:pPr>
    <w:r>
      <w:t>PE</w:t>
    </w:r>
    <w:r>
      <w:rPr>
        <w:rStyle w:val="HideTWBExt"/>
      </w:rPr>
      <w:t>&lt;NoPE&gt;</w:t>
    </w:r>
    <w:r>
      <w:t>592.095</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2B29EF">
      <w:rPr>
        <w:noProof/>
      </w:rPr>
      <w:t>2</w:t>
    </w:r>
    <w:r>
      <w:fldChar w:fldCharType="end"/>
    </w:r>
    <w:r>
      <w:t>/</w:t>
    </w:r>
    <w:r w:rsidR="002B29EF">
      <w:fldChar w:fldCharType="begin"/>
    </w:r>
    <w:r w:rsidR="002B29EF">
      <w:instrText xml:space="preserve"> NUMPAGES  \* MERGEFORMAT </w:instrText>
    </w:r>
    <w:r w:rsidR="002B29EF">
      <w:fldChar w:fldCharType="separate"/>
    </w:r>
    <w:r w:rsidR="002B29EF">
      <w:rPr>
        <w:noProof/>
      </w:rPr>
      <w:t>6</w:t>
    </w:r>
    <w:r w:rsidR="002B29EF">
      <w:rPr>
        <w:noProof/>
      </w:rPr>
      <w:fldChar w:fldCharType="end"/>
    </w:r>
    <w:r>
      <w:tab/>
    </w:r>
    <w:r>
      <w:rPr>
        <w:rStyle w:val="HideTWBExt"/>
      </w:rPr>
      <w:t>&lt;PathFdR&gt;</w:t>
    </w:r>
    <w:r>
      <w:t>AD\1115160IT.docx</w:t>
    </w:r>
    <w:r>
      <w:rPr>
        <w:rStyle w:val="HideTWBExt"/>
      </w:rPr>
      <w:t>&lt;/PathFdR&gt;</w:t>
    </w:r>
  </w:p>
  <w:p w:rsidR="002E2F2E" w:rsidRPr="006B4536" w:rsidRDefault="00CD3D2F" w:rsidP="00CD3D2F">
    <w:pPr>
      <w:pStyle w:val="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2F" w:rsidRDefault="00CD3D2F" w:rsidP="00CD3D2F">
    <w:pPr>
      <w:pStyle w:val="Footer"/>
    </w:pPr>
    <w:r>
      <w:rPr>
        <w:rStyle w:val="HideTWBExt"/>
      </w:rPr>
      <w:t>&lt;PathFdR&gt;</w:t>
    </w:r>
    <w:r>
      <w:t>AD\1115160IT.docx</w:t>
    </w:r>
    <w:r>
      <w:rPr>
        <w:rStyle w:val="HideTWBExt"/>
      </w:rPr>
      <w:t>&lt;/PathFdR&gt;</w:t>
    </w:r>
    <w:r>
      <w:tab/>
    </w:r>
    <w:r>
      <w:fldChar w:fldCharType="begin"/>
    </w:r>
    <w:r>
      <w:instrText xml:space="preserve"> PAGE  \* MERGEFORMAT </w:instrText>
    </w:r>
    <w:r>
      <w:fldChar w:fldCharType="separate"/>
    </w:r>
    <w:r w:rsidR="002B29EF">
      <w:rPr>
        <w:noProof/>
      </w:rPr>
      <w:t>3</w:t>
    </w:r>
    <w:r>
      <w:fldChar w:fldCharType="end"/>
    </w:r>
    <w:r>
      <w:t>/</w:t>
    </w:r>
    <w:r w:rsidR="002B29EF">
      <w:fldChar w:fldCharType="begin"/>
    </w:r>
    <w:r w:rsidR="002B29EF">
      <w:instrText xml:space="preserve"> NUMPAGES  \* MERGEFORMAT </w:instrText>
    </w:r>
    <w:r w:rsidR="002B29EF">
      <w:fldChar w:fldCharType="separate"/>
    </w:r>
    <w:r w:rsidR="002B29EF">
      <w:rPr>
        <w:noProof/>
      </w:rPr>
      <w:t>6</w:t>
    </w:r>
    <w:r w:rsidR="002B29EF">
      <w:rPr>
        <w:noProof/>
      </w:rPr>
      <w:fldChar w:fldCharType="end"/>
    </w:r>
    <w:r>
      <w:tab/>
      <w:t>PE</w:t>
    </w:r>
    <w:r>
      <w:rPr>
        <w:rStyle w:val="HideTWBExt"/>
      </w:rPr>
      <w:t>&lt;NoPE&gt;</w:t>
    </w:r>
    <w:r>
      <w:t>592.095</w:t>
    </w:r>
    <w:r>
      <w:rPr>
        <w:rStyle w:val="HideTWBExt"/>
      </w:rPr>
      <w:t>&lt;/NoPE&gt;&lt;Version&gt;</w:t>
    </w:r>
    <w:r>
      <w:t>v02-00</w:t>
    </w:r>
    <w:r>
      <w:rPr>
        <w:rStyle w:val="HideTWBExt"/>
      </w:rPr>
      <w:t>&lt;/Version&gt;</w:t>
    </w:r>
  </w:p>
  <w:p w:rsidR="002E2F2E" w:rsidRPr="006B4536" w:rsidRDefault="00CD3D2F" w:rsidP="00CD3D2F">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2F" w:rsidRDefault="00CD3D2F" w:rsidP="00CD3D2F">
    <w:pPr>
      <w:pStyle w:val="Footer"/>
    </w:pPr>
    <w:r>
      <w:rPr>
        <w:rStyle w:val="HideTWBExt"/>
      </w:rPr>
      <w:t>&lt;PathFdR&gt;</w:t>
    </w:r>
    <w:r>
      <w:t>AD\1115160IT.docx</w:t>
    </w:r>
    <w:r>
      <w:rPr>
        <w:rStyle w:val="HideTWBExt"/>
      </w:rPr>
      <w:t>&lt;/PathFdR&gt;</w:t>
    </w:r>
    <w:r>
      <w:tab/>
    </w:r>
    <w:r>
      <w:tab/>
      <w:t>PE</w:t>
    </w:r>
    <w:r>
      <w:rPr>
        <w:rStyle w:val="HideTWBExt"/>
      </w:rPr>
      <w:t>&lt;NoPE&gt;</w:t>
    </w:r>
    <w:r>
      <w:t>592.095</w:t>
    </w:r>
    <w:r>
      <w:rPr>
        <w:rStyle w:val="HideTWBExt"/>
      </w:rPr>
      <w:t>&lt;/NoPE&gt;&lt;Version&gt;</w:t>
    </w:r>
    <w:r>
      <w:t>v02-00</w:t>
    </w:r>
    <w:r>
      <w:rPr>
        <w:rStyle w:val="HideTWBExt"/>
      </w:rPr>
      <w:t>&lt;/Version&gt;</w:t>
    </w:r>
  </w:p>
  <w:p w:rsidR="002E2F2E" w:rsidRPr="006B4536" w:rsidRDefault="00CD3D2F" w:rsidP="00CD3D2F">
    <w:pPr>
      <w:pStyle w:val="Footer2"/>
      <w:tabs>
        <w:tab w:val="center" w:pos="4535"/>
      </w:tabs>
    </w:pPr>
    <w:r>
      <w:t>IT</w:t>
    </w:r>
    <w:r>
      <w:tab/>
    </w:r>
    <w:r>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36" w:rsidRPr="006B4536" w:rsidRDefault="006B4536">
      <w:r w:rsidRPr="006B4536">
        <w:separator/>
      </w:r>
    </w:p>
  </w:footnote>
  <w:footnote w:type="continuationSeparator" w:id="0">
    <w:p w:rsidR="006B4536" w:rsidRPr="006B4536" w:rsidRDefault="006B4536">
      <w:r w:rsidRPr="006B4536">
        <w:continuationSeparator/>
      </w:r>
    </w:p>
  </w:footnote>
  <w:footnote w:id="1">
    <w:p w:rsidR="00023983" w:rsidRDefault="00023983" w:rsidP="00023983">
      <w:pPr>
        <w:pStyle w:val="FootnoteText"/>
        <w:rPr>
          <w:lang w:val="fr-FR"/>
        </w:rPr>
      </w:pPr>
      <w:r>
        <w:rPr>
          <w:rStyle w:val="FootnoteReference"/>
        </w:rPr>
        <w:footnoteRef/>
      </w:r>
      <w:r>
        <w:t xml:space="preserve">  http://eur-lex.europa.eu/legal-content/IT/TXT/PDF/?uri=COM:2015:179:FIN&amp;from=IT.</w:t>
      </w:r>
    </w:p>
  </w:footnote>
  <w:footnote w:id="2">
    <w:p w:rsidR="00023983" w:rsidRDefault="00023983" w:rsidP="00023983">
      <w:pPr>
        <w:pStyle w:val="FootnoteText"/>
        <w:rPr>
          <w:lang w:val="fr-FR"/>
        </w:rPr>
      </w:pPr>
      <w:r>
        <w:rPr>
          <w:rStyle w:val="FootnoteReference"/>
        </w:rPr>
        <w:footnoteRef/>
      </w:r>
      <w:r>
        <w:t xml:space="preserve"> </w:t>
      </w:r>
      <w:hyperlink r:id="rId1">
        <w:r>
          <w:rPr>
            <w:rStyle w:val="Hyperlink"/>
          </w:rPr>
          <w:t>http://ec.europa.eu/smart-regulation/roadmaps/docs/2016_empl_020_evaluation_agencies_en.pdf.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EF" w:rsidRDefault="002B2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EF" w:rsidRDefault="002B2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EF" w:rsidRDefault="002B2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2KEY" w:val="CONT"/>
    <w:docVar w:name="COMKEY" w:val="EMPL"/>
    <w:docVar w:name="CopyToNetwork" w:val="-1"/>
    <w:docVar w:name="LastEditedSection" w:val=" 1"/>
    <w:docVar w:name="PROCMNU" w:val=" 3"/>
    <w:docVar w:name="RepeatBlock-AmendI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5\fbidi \froman\fcharset238\fprq2 Times New Roman CE;}_x000d__x000a_{\f316\fbidi \froman\fcharset204\fprq2 Times New Roman Cyr;}{\f318\fbidi \froman\fcharset161\fprq2 Times New Roman Greek;}{\f319\fbidi \froman\fcharset162\fprq2 Times New Roman Tur;}{\f320\fbidi \froman\fcharset177\fprq2 Times New Roman (Hebrew);}_x000d__x000a_{\f321\fbidi \froman\fcharset178\fprq2 Times New Roman (Arabic);}{\f322\fbidi \froman\fcharset186\fprq2 Times New Roman Baltic;}{\f323\fbidi \froman\fcharset163\fprq2 Times New Roman (Vietnamese);}{\f655\fbidi \froman\fcharset238\fprq2 Cambria Math CE;}_x000d__x000a_{\f656\fbidi \froman\fcharset204\fprq2 Cambria Math Cyr;}{\f658\fbidi \froman\fcharset161\fprq2 Cambria Math Greek;}{\f659\fbidi \froman\fcharset162\fprq2 Cambria Math Tur;}{\f662\fbidi \froman\fcharset186\fprq2 Cambria Math Baltic;}_x000d__x000a_{\f66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679316 HideTWBInt;}{\s16\ql \fi-357\li357\ri0\sa240\nowidctlpar\tx357\wrapdefault\aspalpha\aspnum\faauto\adjustright\rin0\lin357\itap0 \rtlch\fcs1 \af0\afs20\alang1025 \ltrch\fcs0 _x000d__x000a_\fs24\lang1040\langfe2057\cgrid\langnp1040\langfenp2057 \sbasedon0 \snext16 \spriority0 \styrsid15679316 Hanging12;}}{\*\rsidtbl \rsid24658\rsid735077\rsid2892074\rsid4666813\rsid6641733\rsid7931954\rsid9636012\rsid11215221\rsid12154954\rsid14424199_x000d__x000a_\rsid15204470\rsid15285974\rsid15679316\rsid15950462\rsid16324206\rsid16662270}{\mmathPr\mmathFont34\mbrkBin0\mbrkBinSub0\msmallFrac0\mdispDef1\mlMargin0\mrMargin0\mdefJc1\mwrapIndent1440\mintLim0\mnaryLim1}{\info{\author BUGGIANI Giovanna}_x000d__x000a_{\operator BUGGIANI Giovanna}{\creatim\yr2017\mo2\dy6\hr17\min17}{\revtim\yr2017\mo2\dy6\hr17\min17}{\version1}{\edmins0}{\nofpages1}{\nofwords1}{\nofchars17}{\*\company European Parliament}{\nofcharsws17}{\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15679316\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7931954 \chftnsep _x000d__x000a_\par }}{\*\ftnsepc \ltrpar \pard\plain \ltrpar\ql \li0\ri0\widctlpar\wrapdefault\aspalpha\aspnum\faauto\adjustright\rin0\lin0\itap0 \rtlch\fcs1 \af0\afs20\alang1025 \ltrch\fcs0 \fs24\lang2057\langfe2057\cgrid\langnp2057\langfenp2057 {\rtlch\fcs1 \af0 _x000d__x000a_\ltrch\fcs0 \insrsid7931954 \chftnsepc _x000d__x000a_\par }}{\*\aftnsep \ltrpar \pard\plain \ltrpar\ql \li0\ri0\widctlpar\wrapdefault\aspalpha\aspnum\faauto\adjustright\rin0\lin0\itap0 \rtlch\fcs1 \af0\afs20\alang1025 \ltrch\fcs0 \fs24\lang2057\langfe2057\cgrid\langnp2057\langfenp2057 {\rtlch\fcs1 \af0 _x000d__x000a_\ltrch\fcs0 \insrsid7931954 \chftnsep _x000d__x000a_\par }}{\*\aftnsepc \ltrpar \pard\plain \ltrpar\ql \li0\ri0\widctlpar\wrapdefault\aspalpha\aspnum\faauto\adjustright\rin0\lin0\itap0 \rtlch\fcs1 \af0\afs20\alang1025 \ltrch\fcs0 \fs24\lang2057\langfe2057\cgrid\langnp2057\langfenp2057 {\rtlch\fcs1 \af0 _x000d__x000a_\ltrch\fcs0 \insrsid79319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2731292 \rtlch\fcs1 \af0\afs20\alang1025 \ltrch\fcs0 \fs24\lang1040\langfe2057\cgrid\langnp1040\langfenp2057 {\rtlch\fcs1 \af0 _x000d__x000a_\ltrch\fcs0 \insrsid15679316\charrsid10058089 {\*\bkmkstart restart}#}{\rtlch\fcs1 \af0 \ltrch\fcs0 \cs15\v\cf15\insrsid15679316\charrsid10058089 NRMSG}{\rtlch\fcs1 \af0 \ltrch\fcs0 \insrsid15679316\charrsid10058089 #.\tab #}{\rtlch\fcs1 \af0 \ltrch\fcs0 _x000d__x000a_\cs15\v\cf15\insrsid15679316\charrsid10058089 TESTO}{\rtlch\fcs1 \af0 \ltrch\fcs0 \insrsid15679316\charrsid10058089 #}{\rtlch\fcs1 \af0 \ltrch\fcs0 \insrsid1567931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0_x000d__x000a_3c9194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5\fbidi \froman\fcharset238\fprq2 Times New Roman CE;}_x000d__x000a_{\f316\fbidi \froman\fcharset204\fprq2 Times New Roman Cyr;}{\f318\fbidi \froman\fcharset161\fprq2 Times New Roman Greek;}{\f319\fbidi \froman\fcharset162\fprq2 Times New Roman Tur;}{\f320\fbidi \froman\fcharset177\fprq2 Times New Roman (Hebrew);}_x000d__x000a_{\f321\fbidi \froman\fcharset178\fprq2 Times New Roman (Arabic);}{\f322\fbidi \froman\fcharset186\fprq2 Times New Roman Baltic;}{\f323\fbidi \froman\fcharset163\fprq2 Times New Roman (Vietnamese);}{\f655\fbidi \froman\fcharset238\fprq2 Cambria Math CE;}_x000d__x000a_{\f656\fbidi \froman\fcharset204\fprq2 Cambria Math Cyr;}{\f658\fbidi \froman\fcharset161\fprq2 Cambria Math Greek;}{\f659\fbidi \froman\fcharset162\fprq2 Cambria Math Tur;}{\f662\fbidi \froman\fcharset186\fprq2 Cambria Math Baltic;}_x000d__x000a_{\f66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2677369 Hanging12;}}{\*\rsidtbl \rsid24658\rsid735077\rsid2892074\rsid3878744\rsid4666813\rsid6641733\rsid9636012\rsid11215221\rsid12154954\rsid12677369\rsid14424199\rsid15204470\rsid15285974\rsid15950462_x000d__x000a_\rsid16324206\rsid16662270}{\mmathPr\mmathFont34\mbrkBin0\mbrkBinSub0\msmallFrac0\mdispDef1\mlMargin0\mrMargin0\mdefJc1\mwrapIndent1440\mintLim0\mnaryLim1}{\info{\author BUGGIANI Giovanna}{\operator BUGGIANI Giovanna}{\creatim\yr2017\mo2\dy6\hr17\min17}_x000d__x000a_{\revtim\yr2017\mo2\dy6\hr17\min17}{\version1}{\edmins0}{\nofpages1}{\nofwords3}{\nofchars32}{\*\company European Parliament}{\nofcharsws3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12677369\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3878744 \chftnsep _x000d__x000a_\par }}{\*\ftnsepc \ltrpar \pard\plain \ltrpar\ql \li0\ri0\widctlpar\wrapdefault\aspalpha\aspnum\faauto\adjustright\rin0\lin0\itap0 \rtlch\fcs1 \af0\afs20\alang1025 \ltrch\fcs0 \fs24\lang2057\langfe2057\cgrid\langnp2057\langfenp2057 {\rtlch\fcs1 \af0 _x000d__x000a_\ltrch\fcs0 \insrsid3878744 \chftnsepc _x000d__x000a_\par }}{\*\aftnsep \ltrpar \pard\plain \ltrpar\ql \li0\ri0\widctlpar\wrapdefault\aspalpha\aspnum\faauto\adjustright\rin0\lin0\itap0 \rtlch\fcs1 \af0\afs20\alang1025 \ltrch\fcs0 \fs24\lang2057\langfe2057\cgrid\langnp2057\langfenp2057 {\rtlch\fcs1 \af0 _x000d__x000a_\ltrch\fcs0 \insrsid3878744 \chftnsep _x000d__x000a_\par }}{\*\aftnsepc \ltrpar \pard\plain \ltrpar\ql \li0\ri0\widctlpar\wrapdefault\aspalpha\aspnum\faauto\adjustright\rin0\lin0\itap0 \rtlch\fcs1 \af0\afs20\alang1025 \ltrch\fcs0 \fs24\lang2057\langfe2057\cgrid\langnp2057\langfenp2057 {\rtlch\fcs1 \af0 _x000d__x000a_\ltrch\fcs0 \insrsid38787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221819 \rtlch\fcs1 \af0\afs20\alang1025 \ltrch\fcs0 \fs24\lang2057\langfe2057\cgrid\langnp2057\langfenp2057 {\rtlch\fcs1 \af0 _x000d__x000a_\ltrch\fcs0 \insrsid12677369\charrsid1525456 {\*\bkmkstart restart}[ZSUGGESTIONNR]\tab [ZSUGGESTIONTEXT]}{\rtlch\fcs1 \af0 \ltrch\fcs0 \insrsid1267736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3_x000d__x000a_c59294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5"/>
    <w:docVar w:name="TXTLANGUE" w:val="IT"/>
    <w:docVar w:name="TXTLANGUEMIN" w:val="it"/>
    <w:docVar w:name="TXTNRPE" w:val="592.095"/>
    <w:docVar w:name="TXTNRPROC" w:val="2016/2206"/>
    <w:docVar w:name="TXTPEorAP" w:val="PE"/>
    <w:docVar w:name="TXTROUTE" w:val="AD\1115160IT.docx"/>
    <w:docVar w:name="TXTTITLE" w:val="on discharge in respect of the implementation of the budget of the European Union agencies for the financial year 2015: performance, financial management and control"/>
    <w:docVar w:name="TXTVERSION" w:val="02-00"/>
  </w:docVars>
  <w:rsids>
    <w:rsidRoot w:val="006B4536"/>
    <w:rsid w:val="00023983"/>
    <w:rsid w:val="000816EB"/>
    <w:rsid w:val="000B6B7F"/>
    <w:rsid w:val="001200C0"/>
    <w:rsid w:val="0016635E"/>
    <w:rsid w:val="001746D0"/>
    <w:rsid w:val="001D2ED9"/>
    <w:rsid w:val="002B29EF"/>
    <w:rsid w:val="002E2F2E"/>
    <w:rsid w:val="00325BCB"/>
    <w:rsid w:val="00332501"/>
    <w:rsid w:val="00387438"/>
    <w:rsid w:val="003E2402"/>
    <w:rsid w:val="004C28FB"/>
    <w:rsid w:val="004C498A"/>
    <w:rsid w:val="005B2F11"/>
    <w:rsid w:val="005B5FEC"/>
    <w:rsid w:val="005D60C6"/>
    <w:rsid w:val="006B4536"/>
    <w:rsid w:val="0088630F"/>
    <w:rsid w:val="008A32C5"/>
    <w:rsid w:val="008F7002"/>
    <w:rsid w:val="0092618F"/>
    <w:rsid w:val="00A16BEA"/>
    <w:rsid w:val="00A72C35"/>
    <w:rsid w:val="00B362F7"/>
    <w:rsid w:val="00BD1EAA"/>
    <w:rsid w:val="00C71F42"/>
    <w:rsid w:val="00CD3D2F"/>
    <w:rsid w:val="00D41D2D"/>
    <w:rsid w:val="00DD0F1D"/>
    <w:rsid w:val="00E856D2"/>
    <w:rsid w:val="00F1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57862DB-4DEF-4CAE-B196-6701E49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character" w:styleId="Hyperlink">
    <w:name w:val="Hyperlink"/>
    <w:unhideWhenUsed/>
    <w:rsid w:val="00D41D2D"/>
    <w:rPr>
      <w:color w:val="0563C1"/>
      <w:u w:val="single"/>
    </w:rPr>
  </w:style>
  <w:style w:type="paragraph" w:styleId="FootnoteText">
    <w:name w:val="footnote text"/>
    <w:basedOn w:val="Normal"/>
    <w:link w:val="FootnoteTextChar"/>
    <w:unhideWhenUsed/>
    <w:rsid w:val="00D41D2D"/>
    <w:rPr>
      <w:sz w:val="20"/>
    </w:rPr>
  </w:style>
  <w:style w:type="character" w:customStyle="1" w:styleId="FootnoteTextChar">
    <w:name w:val="Footnote Text Char"/>
    <w:basedOn w:val="DefaultParagraphFont"/>
    <w:link w:val="FootnoteText"/>
    <w:rsid w:val="00D41D2D"/>
  </w:style>
  <w:style w:type="character" w:styleId="FootnoteReference">
    <w:name w:val="footnote reference"/>
    <w:unhideWhenUsed/>
    <w:rsid w:val="00D41D2D"/>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C71F42"/>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roadmaps/docs/2016_empl_020_evaluation_agenc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87245F2E.dotm</Template>
  <TotalTime>0</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LOPS Maria Arcangela</dc:creator>
  <cp:keywords/>
  <dc:description/>
  <cp:lastModifiedBy>PONTIGGIA Luca Maria</cp:lastModifiedBy>
  <cp:revision>2</cp:revision>
  <cp:lastPrinted>2004-10-28T11:33:00Z</cp:lastPrinted>
  <dcterms:created xsi:type="dcterms:W3CDTF">2017-02-16T16:08:00Z</dcterms:created>
  <dcterms:modified xsi:type="dcterms:W3CDTF">2017-02-16T16:08:00Z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1115160</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\\eiciLUXpr1\pdocep$\DocEP\TRANSFIL\IT\PA_NonLeg.IT(26/05/2015 06:31:07)</vt:lpwstr>
  </property>
  <property fmtid="{D5CDD505-2E9C-101B-9397-08002B2CF9AE}" pid="8" name="&lt;Model&gt;">
    <vt:lpwstr>PA_NonLeg</vt:lpwstr>
  </property>
  <property fmtid="{D5CDD505-2E9C-101B-9397-08002B2CF9AE}" pid="9" name="FooterPath">
    <vt:lpwstr>AD\1115160IT.docx</vt:lpwstr>
  </property>
  <property fmtid="{D5CDD505-2E9C-101B-9397-08002B2CF9AE}" pid="10" name="PE Number">
    <vt:lpwstr>592.095</vt:lpwstr>
  </property>
  <property fmtid="{D5CDD505-2E9C-101B-9397-08002B2CF9AE}" pid="11" name="SubscribeElise">
    <vt:lpwstr/>
  </property>
  <property fmtid="{D5CDD505-2E9C-101B-9397-08002B2CF9AE}" pid="12" name="Bookout">
    <vt:lpwstr>OK - 2017/02/16 17:08</vt:lpwstr>
  </property>
  <property fmtid="{D5CDD505-2E9C-101B-9397-08002B2CF9AE}" pid="13" name="SDLStudio">
    <vt:lpwstr>YES</vt:lpwstr>
  </property>
  <property fmtid="{D5CDD505-2E9C-101B-9397-08002B2CF9AE}" pid="14" name="&lt;Extension&gt;">
    <vt:lpwstr>IT</vt:lpwstr>
  </property>
</Properties>
</file>