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 -->
  <w:body>
    <w:tbl>
      <w:tblPr>
        <w:jc w:val="center"/>
        <w:tblLayout w:type="fixed"/>
        <w:tblCellMar>
          <w:top w:w="0" w:type="dxa"/>
          <w:left w:w="108" w:type="dxa"/>
          <w:bottom w:w="0" w:type="dxa"/>
          <w:right w:w="108" w:type="dxa"/>
        </w:tblCellMar>
      </w:tblPr>
      <w:tblGrid>
        <w:gridCol w:w="6804"/>
        <w:gridCol w:w="2268"/>
      </w:tblGrid>
      <w:tr>
        <w:tblPrEx>
          <w:jc w:val="center"/>
          <w:tblLayout w:type="fixed"/>
          <w:tblCellMar>
            <w:top w:w="0" w:type="dxa"/>
            <w:left w:w="108" w:type="dxa"/>
            <w:bottom w:w="0" w:type="dxa"/>
            <w:right w:w="108" w:type="dxa"/>
          </w:tblCellMar>
        </w:tblPrEx>
        <w:trPr>
          <w:trHeight w:hRule="exact" w:val="1417"/>
          <w:jc w:val="center"/>
        </w:trPr>
        <w:tc>
          <w:tcPr>
            <w:vAlign w:val="center"/>
          </w:tcPr>
          <w:p w:rsidR="00A77B3E">
            <w:pPr>
              <w:pStyle w:val="EPName"/>
            </w:pPr>
            <w:r>
              <w:t>European Parliament</w:t>
            </w:r>
          </w:p>
          <w:p>
            <w:pPr>
              <w:pStyle w:val="EPTerm"/>
            </w:pPr>
            <w:r>
              <w:t>2014-2019</w:t>
            </w:r>
          </w:p>
        </w:tc>
        <w:tc>
          <w:tcPr/>
          <w:p>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51.02pt;width:91.56pt">
                  <v:imagedata r:id="rId4" o:title=""/>
                </v:shape>
              </w:pict>
            </w:r>
          </w:p>
        </w:tc>
      </w:tr>
    </w:tbl>
    <w:p w:rsidR="00A77B3E">
      <w:pPr>
        <w:pStyle w:val="LineTop"/>
      </w:pPr>
    </w:p>
    <w:p>
      <w:pPr>
        <w:pStyle w:val="ZCommittee"/>
      </w:pPr>
      <w:r>
        <w:rPr>
          <w:rStyle w:val="HideTWBExt"/>
        </w:rPr>
        <w:t>&lt;</w:t>
      </w:r>
      <w:r>
        <w:rPr>
          <w:rStyle w:val="HideTWBExt"/>
        </w:rPr>
        <w:t>Commission</w:t>
      </w:r>
      <w:r>
        <w:rPr>
          <w:rStyle w:val="HideTWBExt"/>
        </w:rPr>
        <w:t>&gt;</w:t>
      </w:r>
      <w:r>
        <w:rPr>
          <w:rStyle w:val="HideTWBInt"/>
        </w:rPr>
        <w:t>{PECH}</w:t>
      </w:r>
      <w:r>
        <w:t>Committee on Fisheries</w:t>
      </w:r>
      <w:r>
        <w:rPr>
          <w:rStyle w:val="HideTWBExt"/>
        </w:rPr>
        <w:t>&lt;/</w:t>
      </w:r>
      <w:r>
        <w:rPr>
          <w:rStyle w:val="HideTWBExt"/>
        </w:rPr>
        <w:t>Commission</w:t>
      </w:r>
      <w:r>
        <w:rPr>
          <w:rStyle w:val="HideTWBExt"/>
        </w:rPr>
        <w:t>&gt;</w:t>
      </w:r>
    </w:p>
    <w:p>
      <w:pPr>
        <w:pStyle w:val="LineBottom"/>
      </w:pPr>
    </w:p>
    <w:p>
      <w:pPr>
        <w:pStyle w:val="RefProc"/>
      </w:pPr>
      <w:r>
        <w:rPr>
          <w:rStyle w:val="HideTWBExt"/>
        </w:rPr>
        <w:t>&lt;</w:t>
      </w:r>
      <w:r>
        <w:rPr>
          <w:rStyle w:val="HideTWBExt"/>
        </w:rPr>
        <w:t>RefProc</w:t>
      </w:r>
      <w:r>
        <w:rPr>
          <w:rStyle w:val="HideTWBExt"/>
        </w:rPr>
        <w:t>&gt;</w:t>
      </w:r>
      <w:r>
        <w:t>2016/2151</w:t>
      </w:r>
      <w:r>
        <w:rPr>
          <w:rStyle w:val="HideTWBExt"/>
        </w:rPr>
        <w:t>&lt;/</w:t>
      </w:r>
      <w:r>
        <w:rPr>
          <w:rStyle w:val="HideTWBExt"/>
        </w:rPr>
        <w:t>RefProc</w:t>
      </w:r>
      <w:r>
        <w:rPr>
          <w:rStyle w:val="HideTWBExt"/>
        </w:rPr>
        <w:t>&gt;</w:t>
      </w:r>
      <w:r>
        <w:rPr>
          <w:rStyle w:val="HideTWBExt"/>
        </w:rPr>
        <w:t>&lt;</w:t>
      </w:r>
      <w:r>
        <w:rPr>
          <w:rStyle w:val="HideTWBExt"/>
        </w:rPr>
        <w:t>RefTypeProc</w:t>
      </w:r>
      <w:r>
        <w:rPr>
          <w:rStyle w:val="HideTWBExt"/>
        </w:rPr>
        <w:t>&gt;</w:t>
      </w:r>
      <w:r>
        <w:t>(DEC)</w:t>
      </w:r>
      <w:r>
        <w:rPr>
          <w:rStyle w:val="HideTWBExt"/>
        </w:rPr>
        <w:t>&lt;/</w:t>
      </w:r>
      <w:r>
        <w:rPr>
          <w:rStyle w:val="HideTWBExt"/>
        </w:rPr>
        <w:t>RefTypeProc</w:t>
      </w:r>
      <w:r>
        <w:rPr>
          <w:rStyle w:val="HideTWBExt"/>
        </w:rPr>
        <w:t>&gt;</w:t>
      </w:r>
    </w:p>
    <w:p>
      <w:pPr>
        <w:pStyle w:val="ZDate"/>
      </w:pPr>
      <w:r>
        <w:rPr>
          <w:rStyle w:val="HideTWBExt"/>
        </w:rPr>
        <w:t>&lt;</w:t>
      </w:r>
      <w:r>
        <w:rPr>
          <w:rStyle w:val="HideTWBExt"/>
        </w:rPr>
        <w:t>Date</w:t>
      </w:r>
      <w:r>
        <w:rPr>
          <w:rStyle w:val="HideTWBExt"/>
        </w:rPr>
        <w:t>&gt;</w:t>
      </w:r>
      <w:r>
        <w:rPr>
          <w:rStyle w:val="HideTWBInt"/>
        </w:rPr>
        <w:t>{</w:t>
      </w:r>
      <w:r>
        <w:rPr>
          <w:rStyle w:val="HideTWBInt"/>
        </w:rPr>
        <w:t>12/12/2016</w:t>
      </w:r>
      <w:r>
        <w:rPr>
          <w:rStyle w:val="HideTWBInt"/>
        </w:rPr>
        <w:t>}</w:t>
      </w:r>
      <w:r>
        <w:t>12.12.2016</w:t>
      </w:r>
      <w:r>
        <w:rPr>
          <w:rStyle w:val="HideTWBExt"/>
        </w:rPr>
        <w:t>&lt;/</w:t>
      </w:r>
      <w:r>
        <w:rPr>
          <w:rStyle w:val="HideTWBExt"/>
        </w:rPr>
        <w:t>Date</w:t>
      </w:r>
      <w:r>
        <w:rPr>
          <w:rStyle w:val="HideTWBExt"/>
        </w:rPr>
        <w:t>&gt;</w:t>
      </w:r>
    </w:p>
    <w:p>
      <w:pPr>
        <w:pStyle w:val="TypeDocAM"/>
      </w:pPr>
      <w:r>
        <w:rPr>
          <w:rStyle w:val="HideTWBExt"/>
        </w:rPr>
        <w:t>&lt;</w:t>
      </w:r>
      <w:r>
        <w:rPr>
          <w:rStyle w:val="HideTWBExt"/>
        </w:rPr>
        <w:t>TypeAM</w:t>
      </w:r>
      <w:r>
        <w:rPr>
          <w:rStyle w:val="HideTWBExt"/>
        </w:rPr>
        <w:t>&gt;</w:t>
      </w:r>
      <w:r>
        <w:t>AMENDMENTS</w:t>
      </w:r>
      <w:r>
        <w:rPr>
          <w:rStyle w:val="HideTWBExt"/>
        </w:rPr>
        <w:t>&lt;/</w:t>
      </w:r>
      <w:r>
        <w:rPr>
          <w:rStyle w:val="HideTWBExt"/>
        </w:rPr>
        <w:t>TypeAM</w:t>
      </w:r>
      <w:r>
        <w:rPr>
          <w:rStyle w:val="HideTWBExt"/>
        </w:rPr>
        <w:t>&gt;</w:t>
      </w:r>
    </w:p>
    <w:p>
      <w:pPr>
        <w:pStyle w:val="NRAMS"/>
      </w:pPr>
      <w:r>
        <w:rPr>
          <w:rStyle w:val="HideTWBExt"/>
        </w:rPr>
        <w:t>&lt;</w:t>
      </w:r>
      <w:r>
        <w:rPr>
          <w:rStyle w:val="HideTWBExt"/>
        </w:rPr>
        <w:t>RangeAM</w:t>
      </w:r>
      <w:r>
        <w:rPr>
          <w:rStyle w:val="HideTWBExt"/>
        </w:rPr>
        <w:t>&gt;</w:t>
      </w:r>
      <w:r>
        <w:t>1</w:t>
      </w:r>
      <w:r>
        <w:t xml:space="preserve"> - </w:t>
      </w:r>
      <w:r>
        <w:t>15</w:t>
      </w:r>
      <w:r>
        <w:rPr>
          <w:rStyle w:val="HideTWBExt"/>
        </w:rPr>
        <w:t>&lt;/</w:t>
      </w:r>
      <w:r>
        <w:rPr>
          <w:rStyle w:val="HideTWBExt"/>
        </w:rPr>
        <w:t>RangeAM</w:t>
      </w:r>
      <w:r>
        <w:rPr>
          <w:rStyle w:val="HideTWBExt"/>
        </w:rPr>
        <w:t>&gt;</w:t>
      </w:r>
    </w:p>
    <w:p>
      <w:pPr>
        <w:pStyle w:val="CoverBold"/>
      </w:pPr>
      <w:r>
        <w:rPr>
          <w:rStyle w:val="HideTWBExt"/>
        </w:rPr>
        <w:t>&lt;</w:t>
      </w:r>
      <w:r>
        <w:rPr>
          <w:rStyle w:val="HideTWBExt"/>
        </w:rPr>
        <w:t>TitreType</w:t>
      </w:r>
      <w:r>
        <w:rPr>
          <w:rStyle w:val="HideTWBExt"/>
        </w:rPr>
        <w:t>&gt;</w:t>
      </w:r>
      <w:r>
        <w:t>Draft opinion</w:t>
      </w:r>
      <w:r>
        <w:rPr>
          <w:rStyle w:val="HideTWBExt"/>
        </w:rPr>
        <w:t>&lt;/</w:t>
      </w:r>
      <w:r>
        <w:rPr>
          <w:rStyle w:val="HideTWBExt"/>
        </w:rPr>
        <w:t>TitreType</w:t>
      </w:r>
      <w:r>
        <w:rPr>
          <w:rStyle w:val="HideTWBExt"/>
        </w:rPr>
        <w:t>&gt;</w:t>
      </w:r>
    </w:p>
    <w:p>
      <w:pPr>
        <w:pStyle w:val="CoverBold"/>
      </w:pPr>
      <w:r>
        <w:rPr>
          <w:rStyle w:val="HideTWBExt"/>
        </w:rPr>
        <w:t>&lt;</w:t>
      </w:r>
      <w:r>
        <w:rPr>
          <w:rStyle w:val="HideTWBExt"/>
        </w:rPr>
        <w:t>Rapporteur</w:t>
      </w:r>
      <w:r>
        <w:rPr>
          <w:rStyle w:val="HideTWBExt"/>
        </w:rPr>
        <w:t>&gt;</w:t>
      </w:r>
      <w:r>
        <w:t>Alain Cadec</w:t>
      </w:r>
      <w:r>
        <w:rPr>
          <w:rStyle w:val="HideTWBExt"/>
        </w:rPr>
        <w:t>&lt;/</w:t>
      </w:r>
      <w:r>
        <w:rPr>
          <w:rStyle w:val="HideTWBExt"/>
        </w:rPr>
        <w:t>Rapporteur</w:t>
      </w:r>
      <w:r>
        <w:rPr>
          <w:rStyle w:val="HideTWBExt"/>
        </w:rPr>
        <w:t>&gt;</w:t>
      </w:r>
    </w:p>
    <w:p>
      <w:pPr>
        <w:pStyle w:val="Cover24"/>
      </w:pPr>
      <w:r>
        <w:t>(</w:t>
      </w:r>
      <w:r>
        <w:t>PE592.309v01-00</w:t>
      </w:r>
      <w:r>
        <w:t>)</w:t>
      </w:r>
    </w:p>
    <w:p>
      <w:pPr>
        <w:pStyle w:val="CoverNormal"/>
      </w:pPr>
      <w:r>
        <w:rPr>
          <w:rStyle w:val="HideTWBExt"/>
        </w:rPr>
        <w:t>&lt;</w:t>
      </w:r>
      <w:r>
        <w:rPr>
          <w:rStyle w:val="HideTWBExt"/>
        </w:rPr>
        <w:t>Titre</w:t>
      </w:r>
      <w:r>
        <w:rPr>
          <w:rStyle w:val="HideTWBExt"/>
        </w:rPr>
        <w:t>&gt;</w:t>
      </w:r>
      <w:r>
        <w:t>Discharge 2015: General budget of the EU - European Commission</w:t>
      </w:r>
      <w:r>
        <w:rPr>
          <w:rStyle w:val="HideTWBExt"/>
        </w:rPr>
        <w:t>&lt;/</w:t>
      </w:r>
      <w:r>
        <w:rPr>
          <w:rStyle w:val="HideTWBExt"/>
        </w:rPr>
        <w:t>Titre</w:t>
      </w:r>
      <w:r>
        <w:rPr>
          <w:rStyle w:val="HideTWBExt"/>
        </w:rPr>
        <w:t>&gt;</w:t>
      </w:r>
    </w:p>
    <w:p>
      <w:pPr>
        <w:pStyle w:val="Cover24"/>
      </w:pPr>
      <w:r>
        <w:rPr>
          <w:rStyle w:val="HideTWBExt"/>
        </w:rPr>
        <w:t>&lt;</w:t>
      </w:r>
      <w:r>
        <w:rPr>
          <w:rStyle w:val="HideTWBExt"/>
        </w:rPr>
        <w:t>DocRef</w:t>
      </w:r>
      <w:r>
        <w:rPr>
          <w:rStyle w:val="HideTWBExt"/>
        </w:rPr>
        <w:t>&gt;</w:t>
      </w:r>
      <w:r>
        <w:t>(</w:t>
      </w:r>
      <w:r>
        <w:t>2016/2151(DEC)</w:t>
      </w:r>
      <w:r>
        <w:t>)</w:t>
      </w:r>
      <w:r>
        <w:rPr>
          <w:rStyle w:val="HideTWBExt"/>
        </w:rPr>
        <w:t>&lt;/</w:t>
      </w:r>
      <w:r>
        <w:rPr>
          <w:rStyle w:val="HideTWBExt"/>
        </w:rPr>
        <w:t>DocRef</w:t>
      </w:r>
      <w:r>
        <w:rPr>
          <w:rStyle w:val="HideTWBExt"/>
        </w:rPr>
        <w:t>&gt;</w:t>
      </w:r>
    </w:p>
    <w:p>
      <w:r>
        <w:br w:type="page"/>
      </w:r>
      <w:r>
        <w:t>AM_Com_NonLegOpinion</w:t>
      </w:r>
    </w:p>
    <w:p>
      <w:pPr>
        <w:pStyle w:val="AMNumberTabs"/>
      </w:pPr>
      <w:r>
        <w:br w:type="page"/>
      </w:r>
      <w:r>
        <w:rPr>
          <w:rStyle w:val="HideTWBExt"/>
        </w:rPr>
        <w:t>&lt;</w:t>
      </w:r>
      <w:r>
        <w:rPr>
          <w:rStyle w:val="HideTWBExt"/>
        </w:rPr>
        <w:t>RepeatBlock-Amend</w:t>
      </w:r>
      <w:r>
        <w:rPr>
          <w:rStyle w:val="HideTWBExt"/>
        </w:rPr>
        <w:t>&gt;</w:t>
      </w: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Blanco López</w:t>
      </w:r>
      <w:r>
        <w:t xml:space="preserve">, </w:t>
      </w:r>
      <w:r>
        <w:t>Daciana Octavia Sârbu</w:t>
      </w:r>
      <w:r>
        <w:t xml:space="preserve">, </w:t>
      </w:r>
      <w:r>
        <w:t>Nicola Caputo</w:t>
      </w:r>
      <w:r>
        <w:t xml:space="preserve">, </w:t>
      </w:r>
      <w:r>
        <w:t>Clara Eugenia Aguilera García</w:t>
      </w:r>
      <w:r>
        <w:t xml:space="preserve">, </w:t>
      </w:r>
      <w:r>
        <w:t>Isabelle Thomas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w:t>
            </w:r>
            <w:r>
              <w:tab/>
            </w:r>
            <w:r>
              <w:t>Takes note of the opinions of the Court of Auditors on the legality and regularity of the transactions underlying the accounts; notes the adverse opinion of the Court of Auditors on payment appropriations, in respect of which the overall error rate was 3.8 %, but lower than in 2014 and with no specific error rate concerning fisheries; calls for fisheries to be dealt with separately and not merged with agriculture, in order to guarantee greater transparency in the area of fisheries;</w:t>
            </w:r>
          </w:p>
        </w:tc>
        <w:tc>
          <w:tcPr/>
          <w:p>
            <w:pPr>
              <w:pStyle w:val="Normal6"/>
            </w:pPr>
            <w:r>
              <w:t>2.</w:t>
            </w:r>
            <w:r>
              <w:tab/>
            </w:r>
            <w:r>
              <w:t xml:space="preserve">Takes note of the opinions of the Court of Auditors on the legality and regularity of the transactions underlying the accounts; </w:t>
            </w:r>
            <w:r>
              <w:rPr>
                <w:rFonts w:ascii="Times New Roman" w:eastAsia="Times New Roman" w:hAnsi="Times New Roman" w:cs="Times New Roman"/>
                <w:b/>
                <w:i/>
                <w:strike w:val="0"/>
                <w:color w:val="000000"/>
                <w:sz w:val="24"/>
                <w:highlight w:val="none"/>
                <w:u w:val="none" w:color="auto"/>
              </w:rPr>
              <w:t xml:space="preserve">takes note that the positive trend of recent years in financial management has been maintained, with the accumulated error rate falling to 0.74% in 2015; </w:t>
            </w:r>
            <w:r>
              <w:t>notes the adverse opinion of the Court of Auditors on payment appropriations, in respect of which the overall error rate was 3.8 %, but lower than in 2014 and with no specific error rate concerning fisheries; calls for fisheries to be dealt with separately and not merged with agriculture, in order to guarantee greater transparency in the area of fisheries;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ES</w:t>
      </w:r>
      <w:r>
        <w:rPr>
          <w:rStyle w:val="HideTWBInt"/>
        </w:rPr>
        <w:t>}</w:t>
      </w:r>
      <w:r>
        <w:t>es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Notis Marias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3.</w:t>
            </w:r>
            <w:r>
              <w:tab/>
            </w:r>
            <w:r>
              <w:rPr>
                <w:rFonts w:ascii="Times New Roman" w:eastAsia="Times New Roman" w:hAnsi="Times New Roman" w:cs="Times New Roman"/>
                <w:b/>
                <w:i/>
                <w:strike w:val="0"/>
                <w:color w:val="000000"/>
                <w:sz w:val="24"/>
                <w:highlight w:val="none"/>
                <w:u w:val="none" w:color="auto"/>
              </w:rPr>
              <w:t>Is satisfied to see</w:t>
            </w:r>
            <w:r>
              <w:t xml:space="preserve"> that the follow-up of DG MARE’s reservation made in its 2014 annual report in respect of the management and control system for the EFF programmes (2007-2013) has significantly reduced the number of operational programmes and Member States concerned to only five;</w:t>
            </w:r>
          </w:p>
        </w:tc>
        <w:tc>
          <w:tcPr/>
          <w:p>
            <w:pPr>
              <w:pStyle w:val="Normal6"/>
            </w:pPr>
            <w:r>
              <w:t>3.</w:t>
            </w:r>
            <w:r>
              <w:tab/>
            </w:r>
            <w:r>
              <w:rPr>
                <w:rFonts w:ascii="Times New Roman" w:eastAsia="Times New Roman" w:hAnsi="Times New Roman" w:cs="Times New Roman"/>
                <w:b/>
                <w:i/>
                <w:strike w:val="0"/>
                <w:color w:val="000000"/>
                <w:sz w:val="24"/>
                <w:highlight w:val="none"/>
                <w:u w:val="none" w:color="auto"/>
              </w:rPr>
              <w:t>Stresses</w:t>
            </w:r>
            <w:r>
              <w:t xml:space="preserve"> that the follow-up of DG MARE’s reservation made in its 2014 annual report in respect of the management and control system for the EFF programmes (2007-2013) has significantly reduced the number of operational programmes and Member States concerned to only five;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EL</w:t>
      </w:r>
      <w:r>
        <w:rPr>
          <w:rStyle w:val="HideTWBInt"/>
        </w:rPr>
        <w:t>}</w:t>
      </w:r>
      <w:r>
        <w:t>el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Notis Marias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4.</w:t>
            </w:r>
            <w:r>
              <w:tab/>
            </w:r>
            <w:r>
              <w:rPr>
                <w:rFonts w:ascii="Times New Roman" w:eastAsia="Times New Roman" w:hAnsi="Times New Roman" w:cs="Times New Roman"/>
                <w:b/>
                <w:i/>
                <w:strike w:val="0"/>
                <w:color w:val="000000"/>
                <w:sz w:val="24"/>
                <w:highlight w:val="none"/>
                <w:u w:val="none" w:color="auto"/>
              </w:rPr>
              <w:t>Is reassured</w:t>
            </w:r>
            <w:r>
              <w:t xml:space="preserve"> that the internal control system implemented by DG MARE provides sufficient assurance to adequately manage the risk relating to the legality and regularity of the transactions;</w:t>
            </w:r>
          </w:p>
        </w:tc>
        <w:tc>
          <w:tcPr/>
          <w:p>
            <w:pPr>
              <w:pStyle w:val="Normal6"/>
            </w:pPr>
            <w:r>
              <w:t>4.</w:t>
            </w:r>
            <w:r>
              <w:tab/>
            </w:r>
            <w:r>
              <w:rPr>
                <w:rFonts w:ascii="Times New Roman" w:eastAsia="Times New Roman" w:hAnsi="Times New Roman" w:cs="Times New Roman"/>
                <w:b/>
                <w:i/>
                <w:strike w:val="0"/>
                <w:color w:val="000000"/>
                <w:sz w:val="24"/>
                <w:highlight w:val="none"/>
                <w:u w:val="none" w:color="auto"/>
              </w:rPr>
              <w:t>Stresses</w:t>
            </w:r>
            <w:r>
              <w:t xml:space="preserve"> that the internal control system implemented by DG MARE provides sufficient assurance to adequately manage the risk relating to the legality and regularity of the transactions;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EL</w:t>
      </w:r>
      <w:r>
        <w:rPr>
          <w:rStyle w:val="HideTWBInt"/>
        </w:rPr>
        <w:t>}</w:t>
      </w:r>
      <w:r>
        <w:t>el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Notis Marias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rPr>
                <w:rFonts w:ascii="Times New Roman" w:eastAsia="Times New Roman" w:hAnsi="Times New Roman" w:cs="Times New Roman"/>
                <w:b/>
                <w:i/>
                <w:strike w:val="0"/>
                <w:color w:val="000000"/>
                <w:sz w:val="24"/>
                <w:highlight w:val="none"/>
                <w:u w:val="none" w:color="auto"/>
              </w:rPr>
              <w:t>Expresses regret, however,</w:t>
            </w:r>
            <w:r>
              <w:t xml:space="preserve"> that the vast majority of Member States transmitted their operational programme related to the EMFF very late, </w:t>
            </w:r>
            <w:r>
              <w:rPr>
                <w:rFonts w:ascii="Times New Roman" w:eastAsia="Times New Roman" w:hAnsi="Times New Roman" w:cs="Times New Roman"/>
                <w:b/>
                <w:i/>
                <w:strike w:val="0"/>
                <w:color w:val="000000"/>
                <w:sz w:val="24"/>
                <w:highlight w:val="none"/>
                <w:u w:val="none" w:color="auto"/>
              </w:rPr>
              <w:t>which causes</w:t>
            </w:r>
            <w:r>
              <w:t xml:space="preserve"> long delays in the mobilisation of </w:t>
            </w:r>
            <w:r>
              <w:rPr>
                <w:rFonts w:ascii="Times New Roman" w:eastAsia="Times New Roman" w:hAnsi="Times New Roman" w:cs="Times New Roman"/>
                <w:b/>
                <w:i/>
                <w:strike w:val="0"/>
                <w:color w:val="000000"/>
                <w:sz w:val="24"/>
                <w:highlight w:val="none"/>
                <w:u w:val="none" w:color="auto"/>
              </w:rPr>
              <w:t>funds</w:t>
            </w:r>
            <w:r>
              <w:t>;</w:t>
            </w:r>
          </w:p>
        </w:tc>
        <w:tc>
          <w:tcPr/>
          <w:p>
            <w:pPr>
              <w:pStyle w:val="Normal6"/>
            </w:pPr>
            <w:r>
              <w:t>6.</w:t>
            </w:r>
            <w:r>
              <w:tab/>
            </w:r>
            <w:r>
              <w:rPr>
                <w:rFonts w:ascii="Times New Roman" w:eastAsia="Times New Roman" w:hAnsi="Times New Roman" w:cs="Times New Roman"/>
                <w:b/>
                <w:i/>
                <w:strike w:val="0"/>
                <w:color w:val="000000"/>
                <w:sz w:val="24"/>
                <w:highlight w:val="none"/>
                <w:u w:val="none" w:color="auto"/>
              </w:rPr>
              <w:t>Deplores the fact</w:t>
            </w:r>
            <w:r>
              <w:t> that the vast majority of Member States transmitted their operational programme related to the EMFF very late, </w:t>
            </w:r>
            <w:r>
              <w:rPr>
                <w:rFonts w:ascii="Times New Roman" w:eastAsia="Times New Roman" w:hAnsi="Times New Roman" w:cs="Times New Roman"/>
                <w:b/>
                <w:i/>
                <w:strike w:val="0"/>
                <w:color w:val="000000"/>
                <w:sz w:val="24"/>
                <w:highlight w:val="none"/>
                <w:u w:val="none" w:color="auto"/>
              </w:rPr>
              <w:t>causing</w:t>
            </w:r>
            <w:r>
              <w:t xml:space="preserve"> long delays in the mobilisation of </w:t>
            </w:r>
            <w:r>
              <w:rPr>
                <w:rFonts w:ascii="Times New Roman" w:eastAsia="Times New Roman" w:hAnsi="Times New Roman" w:cs="Times New Roman"/>
                <w:b/>
                <w:i/>
                <w:strike w:val="0"/>
                <w:color w:val="000000"/>
                <w:sz w:val="24"/>
                <w:highlight w:val="none"/>
                <w:u w:val="none" w:color="auto"/>
              </w:rPr>
              <w:t>the Fund</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EL</w:t>
      </w:r>
      <w:r>
        <w:rPr>
          <w:rStyle w:val="HideTWBInt"/>
        </w:rPr>
        <w:t>}</w:t>
      </w:r>
      <w:r>
        <w:t>el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Notis Marias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8.</w:t>
            </w:r>
            <w:r>
              <w:tab/>
            </w:r>
            <w:r>
              <w:t>Takes the view that the Member States should improve the instruments and channels they use to transmit information to the Commission;</w:t>
            </w:r>
            <w:r>
              <w:rPr>
                <w:rFonts w:ascii="Times New Roman" w:eastAsia="Times New Roman" w:hAnsi="Times New Roman" w:cs="Times New Roman"/>
                <w:b/>
                <w:i/>
                <w:strike w:val="0"/>
                <w:color w:val="000000"/>
                <w:sz w:val="24"/>
                <w:highlight w:val="none"/>
                <w:u w:val="none" w:color="auto"/>
              </w:rPr>
              <w:t xml:space="preserve"> recommends that the Commission exert greater pressure on Member States to submit reliable data;</w:t>
            </w:r>
          </w:p>
        </w:tc>
        <w:tc>
          <w:tcPr/>
          <w:p>
            <w:pPr>
              <w:pStyle w:val="Normal6"/>
            </w:pPr>
            <w:r>
              <w:t>8.</w:t>
            </w:r>
            <w:r>
              <w:tab/>
            </w:r>
            <w:r>
              <w:t>Takes the view that the Member States should improve the instruments and channels they use to transmit information to the Commission;</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EL</w:t>
      </w:r>
      <w:r>
        <w:rPr>
          <w:rStyle w:val="HideTWBInt"/>
        </w:rPr>
        <w:t>}</w:t>
      </w:r>
      <w:r>
        <w:t>el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Blanco López</w:t>
      </w:r>
      <w:r>
        <w:t xml:space="preserve">, </w:t>
      </w:r>
      <w:r>
        <w:t>Daciana Octavia Sârbu</w:t>
      </w:r>
      <w:r>
        <w:t xml:space="preserve">, </w:t>
      </w:r>
      <w:r>
        <w:t>Nicola Caputo</w:t>
      </w:r>
      <w:r>
        <w:t xml:space="preserve">, </w:t>
      </w:r>
      <w:r>
        <w:t>Clara Eugenia Aguilera García</w:t>
      </w:r>
      <w:r>
        <w:t xml:space="preserve">, </w:t>
      </w:r>
      <w:r>
        <w:t>Isabelle Thomas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8.</w:t>
            </w:r>
            <w:r>
              <w:tab/>
            </w:r>
            <w:r>
              <w:t xml:space="preserve">Takes the view that the </w:t>
            </w:r>
            <w:r>
              <w:rPr>
                <w:rFonts w:ascii="Times New Roman" w:eastAsia="Times New Roman" w:hAnsi="Times New Roman" w:cs="Times New Roman"/>
                <w:b/>
                <w:i/>
                <w:strike w:val="0"/>
                <w:color w:val="000000"/>
                <w:sz w:val="24"/>
                <w:highlight w:val="none"/>
                <w:u w:val="none" w:color="auto"/>
              </w:rPr>
              <w:t>Member States</w:t>
            </w:r>
            <w:r>
              <w:t xml:space="preserve"> should </w:t>
            </w:r>
            <w:r>
              <w:rPr>
                <w:rFonts w:ascii="Times New Roman" w:eastAsia="Times New Roman" w:hAnsi="Times New Roman" w:cs="Times New Roman"/>
                <w:b/>
                <w:i/>
                <w:strike w:val="0"/>
                <w:color w:val="000000"/>
                <w:sz w:val="24"/>
                <w:highlight w:val="none"/>
                <w:u w:val="none" w:color="auto"/>
              </w:rPr>
              <w:t>improve the instruments and channels they use to transmit information to the Commission; recommends that the Commission exert greater pressure on Member States to submit reliable data</w:t>
            </w:r>
            <w:r>
              <w:t>;</w:t>
            </w:r>
          </w:p>
        </w:tc>
        <w:tc>
          <w:tcPr/>
          <w:p>
            <w:pPr>
              <w:pStyle w:val="Normal6"/>
            </w:pPr>
            <w:r>
              <w:t>8.</w:t>
            </w:r>
            <w:r>
              <w:tab/>
            </w:r>
            <w:r>
              <w:t xml:space="preserve">Takes the view that the </w:t>
            </w:r>
            <w:r>
              <w:rPr>
                <w:rFonts w:ascii="Times New Roman" w:eastAsia="Times New Roman" w:hAnsi="Times New Roman" w:cs="Times New Roman"/>
                <w:b/>
                <w:i/>
                <w:strike w:val="0"/>
                <w:color w:val="000000"/>
                <w:sz w:val="24"/>
                <w:highlight w:val="none"/>
                <w:u w:val="none" w:color="auto"/>
              </w:rPr>
              <w:t>Commission</w:t>
            </w:r>
            <w:r>
              <w:t xml:space="preserve"> should </w:t>
            </w:r>
            <w:r>
              <w:rPr>
                <w:rFonts w:ascii="Times New Roman" w:eastAsia="Times New Roman" w:hAnsi="Times New Roman" w:cs="Times New Roman"/>
                <w:b/>
                <w:i/>
                <w:strike w:val="0"/>
                <w:color w:val="000000"/>
                <w:sz w:val="24"/>
                <w:highlight w:val="none"/>
                <w:u w:val="none" w:color="auto"/>
              </w:rPr>
              <w:t>establish a homogeneous and flexible system so that Member States deliver reliable data and improve the instruments and channels they use to transmit information to the Commission</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ES</w:t>
      </w:r>
      <w:r>
        <w:rPr>
          <w:rStyle w:val="HideTWBInt"/>
        </w:rPr>
        <w:t>}</w:t>
      </w:r>
      <w:r>
        <w:t>es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Blanco López</w:t>
      </w:r>
      <w:r>
        <w:t xml:space="preserve">, </w:t>
      </w:r>
      <w:r>
        <w:t>Nicola Caputo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9.</w:t>
            </w:r>
            <w:r>
              <w:tab/>
            </w:r>
            <w:r>
              <w:t>Calls on the Commission to provide all necessary assistance to the Member States to facilitate the transition from direct management to shared management of the EMFF; therefore welcomes the fact that this issue is taken fully into account in the DG MARE audit programme for 2017;</w:t>
            </w:r>
          </w:p>
        </w:tc>
        <w:tc>
          <w:tcPr/>
          <w:p>
            <w:pPr>
              <w:pStyle w:val="Normal6"/>
            </w:pPr>
            <w:r>
              <w:t>9.</w:t>
            </w:r>
            <w:r>
              <w:tab/>
            </w:r>
            <w:r>
              <w:t>Calls on the Commission to provide all necessary assistance to the Member States to facilitate the transition from direct management to shared management of the EMFF</w:t>
            </w:r>
            <w:r>
              <w:rPr>
                <w:rFonts w:ascii="Times New Roman" w:eastAsia="Times New Roman" w:hAnsi="Times New Roman" w:cs="Times New Roman"/>
                <w:b/>
                <w:i/>
                <w:strike w:val="0"/>
                <w:color w:val="000000"/>
                <w:sz w:val="24"/>
                <w:highlight w:val="none"/>
                <w:u w:val="none" w:color="auto"/>
              </w:rPr>
              <w:t xml:space="preserve"> and to ensure that EMFF resources are used properly and fully</w:t>
            </w:r>
            <w:r>
              <w:t>; therefore welcomes the fact that this issue is taken fully into account in the DG MARE audit programme for 2017;</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Notis Marias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11.</w:t>
            </w:r>
            <w:r>
              <w:tab/>
            </w:r>
            <w:r>
              <w:rPr>
                <w:rFonts w:ascii="Times New Roman" w:eastAsia="Times New Roman" w:hAnsi="Times New Roman" w:cs="Times New Roman"/>
                <w:b/>
                <w:i/>
                <w:strike w:val="0"/>
                <w:color w:val="000000"/>
                <w:sz w:val="24"/>
                <w:highlight w:val="none"/>
                <w:u w:val="none" w:color="auto"/>
              </w:rPr>
              <w:t>Welcomes</w:t>
            </w:r>
            <w:r>
              <w:t xml:space="preserve"> the fact that the Commission has accepted and taken account of all the Court’s recommendations;</w:t>
            </w:r>
          </w:p>
        </w:tc>
        <w:tc>
          <w:tcPr/>
          <w:p>
            <w:pPr>
              <w:pStyle w:val="Normal6"/>
            </w:pPr>
            <w:r>
              <w:t>11.</w:t>
            </w:r>
            <w:r>
              <w:tab/>
            </w:r>
            <w:r>
              <w:rPr>
                <w:rFonts w:ascii="Times New Roman" w:eastAsia="Times New Roman" w:hAnsi="Times New Roman" w:cs="Times New Roman"/>
                <w:b/>
                <w:i/>
                <w:strike w:val="0"/>
                <w:color w:val="000000"/>
                <w:sz w:val="24"/>
                <w:highlight w:val="none"/>
                <w:u w:val="none" w:color="auto"/>
              </w:rPr>
              <w:t>Stresses its satisfaction at</w:t>
            </w:r>
            <w:r>
              <w:t xml:space="preserve"> the fact that the Commission has accepted and taken account of all the Court’s recommendations;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EL</w:t>
      </w:r>
      <w:r>
        <w:rPr>
          <w:rStyle w:val="HideTWBInt"/>
        </w:rPr>
        <w:t>}</w:t>
      </w:r>
      <w:r>
        <w:t>el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Notis Marias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12.</w:t>
            </w:r>
            <w:r>
              <w:tab/>
            </w:r>
            <w:r>
              <w:t xml:space="preserve">Underlines </w:t>
            </w:r>
            <w:r>
              <w:rPr>
                <w:rFonts w:ascii="Times New Roman" w:eastAsia="Times New Roman" w:hAnsi="Times New Roman" w:cs="Times New Roman"/>
                <w:b/>
                <w:i/>
                <w:strike w:val="0"/>
                <w:color w:val="000000"/>
                <w:sz w:val="24"/>
                <w:highlight w:val="none"/>
                <w:u w:val="none" w:color="auto"/>
              </w:rPr>
              <w:t xml:space="preserve">and shares, however, the concerns that the Commission’s auditors have expressed with regard to </w:t>
            </w:r>
            <w:r>
              <w:t xml:space="preserve">the need to ensure </w:t>
            </w:r>
            <w:r>
              <w:rPr>
                <w:rFonts w:ascii="Times New Roman" w:eastAsia="Times New Roman" w:hAnsi="Times New Roman" w:cs="Times New Roman"/>
                <w:b/>
                <w:i/>
                <w:strike w:val="0"/>
                <w:color w:val="000000"/>
                <w:sz w:val="24"/>
                <w:highlight w:val="none"/>
                <w:u w:val="none" w:color="auto"/>
              </w:rPr>
              <w:t>that these agreements bring value for money and are economically and environmentally sustainable;</w:t>
            </w:r>
          </w:p>
        </w:tc>
        <w:tc>
          <w:tcPr/>
          <w:p>
            <w:pPr>
              <w:pStyle w:val="Normal6"/>
            </w:pPr>
            <w:r>
              <w:t>12.</w:t>
            </w:r>
            <w:r>
              <w:tab/>
            </w:r>
            <w:r>
              <w:t xml:space="preserve">Underlines the need to ensure </w:t>
            </w:r>
            <w:r>
              <w:rPr>
                <w:rFonts w:ascii="Times New Roman" w:eastAsia="Times New Roman" w:hAnsi="Times New Roman" w:cs="Times New Roman"/>
                <w:b/>
                <w:i/>
                <w:strike w:val="0"/>
                <w:color w:val="000000"/>
                <w:sz w:val="24"/>
                <w:highlight w:val="none"/>
                <w:u w:val="none" w:color="auto"/>
              </w:rPr>
              <w:t>the environmental viability of agreements.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EL</w:t>
      </w:r>
      <w:r>
        <w:rPr>
          <w:rStyle w:val="HideTWBInt"/>
        </w:rPr>
        <w:t>}</w:t>
      </w:r>
      <w:r>
        <w:t>el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Blanco López</w:t>
      </w:r>
      <w:r>
        <w:t xml:space="preserve">, </w:t>
      </w:r>
      <w:r>
        <w:t>Nicola Caputo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12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12a.</w:t>
            </w:r>
            <w:r>
              <w:tab/>
            </w:r>
            <w:r>
              <w:rPr>
                <w:rFonts w:ascii="Times New Roman" w:eastAsia="Times New Roman" w:hAnsi="Times New Roman" w:cs="Times New Roman"/>
                <w:b/>
                <w:i/>
                <w:strike w:val="0"/>
                <w:color w:val="000000"/>
                <w:sz w:val="24"/>
                <w:highlight w:val="none"/>
                <w:u w:val="none" w:color="auto"/>
              </w:rPr>
              <w:t>Underlines that the information provided by independent ex post evaluations was not always sufficiently complete, consistent or comparable, which reduced its usefulness in the decision-making process and negotiations;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Blanco López</w:t>
      </w:r>
      <w:r>
        <w:t xml:space="preserve">, </w:t>
      </w:r>
      <w:r>
        <w:t>Nicola Caputo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12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12b.</w:t>
            </w:r>
            <w:r>
              <w:tab/>
            </w:r>
            <w:r>
              <w:rPr>
                <w:rFonts w:ascii="Times New Roman" w:eastAsia="Times New Roman" w:hAnsi="Times New Roman" w:cs="Times New Roman"/>
                <w:b/>
                <w:i/>
                <w:strike w:val="0"/>
                <w:color w:val="000000"/>
                <w:sz w:val="24"/>
                <w:highlight w:val="none"/>
                <w:u w:val="none" w:color="auto"/>
              </w:rPr>
              <w:t>Expresses concern at the lack of reliable information on fish stocks and on the fishing effort of domestic fishing fleets, or of other foreign fleets that have also been granted access, as one of the main objectives of the FPAs is only to fish surplus stocks and this was proven as very difficult to implement in practice;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Blanco López</w:t>
      </w:r>
      <w:r>
        <w:t xml:space="preserve">, </w:t>
      </w:r>
      <w:r>
        <w:t>Nicola Caputo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12 c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12c.</w:t>
            </w:r>
            <w:r>
              <w:tab/>
            </w:r>
            <w:r>
              <w:rPr>
                <w:rFonts w:ascii="Times New Roman" w:eastAsia="Times New Roman" w:hAnsi="Times New Roman" w:cs="Times New Roman"/>
                <w:b/>
                <w:i/>
                <w:strike w:val="0"/>
                <w:color w:val="000000"/>
                <w:sz w:val="24"/>
                <w:highlight w:val="none"/>
                <w:u w:val="none" w:color="auto"/>
              </w:rPr>
              <w:t>Urges the Commission to monitor more closely the implementation of sectoral support and takes the view that the trade-related parts of the agreements should ultimately be made conditional upon effective, sufficiently monitored, substantial sectoral support;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Blanco López</w:t>
      </w:r>
      <w:r>
        <w:t xml:space="preserve">, </w:t>
      </w:r>
      <w:r>
        <w:t>Daciana Octavia Sârbu</w:t>
      </w:r>
      <w:r>
        <w:t xml:space="preserve">, </w:t>
      </w:r>
      <w:r>
        <w:t>Nicola Caputo</w:t>
      </w:r>
      <w:r>
        <w:t xml:space="preserve">, </w:t>
      </w:r>
      <w:r>
        <w:t>Clara Eugenia Aguilera García</w:t>
      </w:r>
      <w:r>
        <w:t xml:space="preserve">, </w:t>
      </w:r>
      <w:r>
        <w:t>Isabelle Thomas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13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13a.</w:t>
            </w:r>
            <w:r>
              <w:tab/>
            </w:r>
            <w:r>
              <w:rPr>
                <w:rFonts w:ascii="Times New Roman" w:eastAsia="Times New Roman" w:hAnsi="Times New Roman" w:cs="Times New Roman"/>
                <w:b/>
                <w:i/>
                <w:strike w:val="0"/>
                <w:color w:val="000000"/>
                <w:sz w:val="24"/>
                <w:highlight w:val="none"/>
                <w:u w:val="none" w:color="auto"/>
              </w:rPr>
              <w:t>Calls for additional fiscal effort in the field of international fisheries agreements, in view of the major fishing grounds still awaiting new protocols;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ES</w:t>
      </w:r>
      <w:r>
        <w:rPr>
          <w:rStyle w:val="HideTWBInt"/>
        </w:rPr>
        <w:t>}</w:t>
      </w:r>
      <w:r>
        <w:t>es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Notis Marias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Subheading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Discharge</w:t>
            </w:r>
          </w:p>
        </w:tc>
        <w:tc>
          <w:tcPr/>
          <w:p>
            <w:pPr>
              <w:pStyle w:val="Normal6"/>
            </w:pPr>
            <w:r>
              <w:rPr>
                <w:rFonts w:ascii="Times New Roman" w:eastAsia="Times New Roman" w:hAnsi="Times New Roman" w:cs="Times New Roman"/>
                <w:b/>
                <w:i/>
                <w:strike w:val="0"/>
                <w:color w:val="000000"/>
                <w:sz w:val="24"/>
                <w:highlight w:val="none"/>
                <w:u w:val="none" w:color="auto"/>
              </w:rPr>
              <w:t>deleted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EL</w:t>
      </w:r>
      <w:r>
        <w:rPr>
          <w:rStyle w:val="HideTWBInt"/>
        </w:rPr>
        <w:t>}</w:t>
      </w:r>
      <w:r>
        <w:t>el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 xml:space="preserve"> </w:t>
      </w:r>
      <w:r>
        <w:tab/>
      </w:r>
      <w:r>
        <w:tab/>
      </w:r>
      <w:r>
        <w:rPr>
          <w:rStyle w:val="HideTWBExt"/>
        </w:rPr>
        <w:t>&lt;</w:t>
      </w:r>
      <w:r>
        <w:rPr>
          <w:rStyle w:val="HideTWBExt"/>
        </w:rPr>
        <w:t>NumAm</w:t>
      </w:r>
      <w:r>
        <w:rPr>
          <w:rStyle w:val="HideTWBExt"/>
        </w:rPr>
        <w:t>&gt;</w:t>
      </w:r>
      <w:r>
        <w:t>15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Notis Marias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Draft opinion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14.</w:t>
            </w:r>
            <w:r>
              <w:tab/>
            </w:r>
            <w:r>
              <w:rPr>
                <w:rFonts w:ascii="Times New Roman" w:eastAsia="Times New Roman" w:hAnsi="Times New Roman" w:cs="Times New Roman"/>
                <w:b/>
                <w:i/>
                <w:strike w:val="0"/>
                <w:color w:val="000000"/>
                <w:sz w:val="24"/>
                <w:highlight w:val="none"/>
                <w:u w:val="none" w:color="auto"/>
              </w:rPr>
              <w:t>Proposes, on the basis of the data available, to grant discharge to the Commission in respect of its expenditure in the areas of maritime affairs and fisheries for the financial year 2015.</w:t>
            </w:r>
          </w:p>
        </w:tc>
        <w:tc>
          <w:tcPr/>
          <w:p>
            <w:pPr>
              <w:pStyle w:val="Normal6"/>
            </w:pPr>
            <w:r>
              <w:rPr>
                <w:rFonts w:ascii="Times New Roman" w:eastAsia="Times New Roman" w:hAnsi="Times New Roman" w:cs="Times New Roman"/>
                <w:b/>
                <w:i/>
                <w:strike w:val="0"/>
                <w:color w:val="000000"/>
                <w:sz w:val="24"/>
                <w:highlight w:val="none"/>
                <w:u w:val="none" w:color="auto"/>
              </w:rPr>
              <w:t>deleted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EL</w:t>
      </w:r>
      <w:r>
        <w:rPr>
          <w:rStyle w:val="HideTWBInt"/>
        </w:rPr>
        <w:t>}</w:t>
      </w:r>
      <w:r>
        <w:t>el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r>
        <w:rPr>
          <w:rStyle w:val="HideTWBExt"/>
        </w:rPr>
        <w:t>&lt;/</w:t>
      </w:r>
      <w:r>
        <w:rPr>
          <w:rStyle w:val="HideTWBExt"/>
        </w:rPr>
        <w:t>RepeatBlock-Amend</w:t>
      </w:r>
      <w:r>
        <w:rPr>
          <w:rStyle w:val="HideTWBExt"/>
        </w:rPr>
        <w:t>&gt;</w:t>
      </w:r>
    </w:p>
    <w:sectPr>
      <w:footerReference w:type="even" r:id="rId5"/>
      <w:footerReference w:type="default" r:id="rId6"/>
      <w:footerReference w:type="first" r:id="rId7"/>
      <w:pgSz w:w="11906" w:h="16838"/>
      <w:pgMar w:top="1134" w:right="1417" w:bottom="1417" w:left="1417" w:header="1134" w:footer="567"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PE</w:t>
    </w:r>
    <w:r>
      <w:rPr>
        <w:rStyle w:val="HideTWBExt"/>
      </w:rPr>
      <w:t>&lt;</w:t>
    </w:r>
    <w:r>
      <w:rPr>
        <w:rStyle w:val="HideTWBExt"/>
      </w:rPr>
      <w:t>NoPE</w:t>
    </w:r>
    <w:r>
      <w:rPr>
        <w:rStyle w:val="HideTWBExt"/>
      </w:rPr>
      <w:t>&gt;</w:t>
    </w:r>
    <w:r>
      <w:t>595.625</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r>
      <w:tab/>
    </w:r>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ab/>
    </w:r>
    <w:r>
      <w:rPr>
        <w:rStyle w:val="HideTWBExt"/>
      </w:rPr>
      <w:t>&lt;</w:t>
    </w:r>
    <w:r>
      <w:rPr>
        <w:rStyle w:val="HideTWBExt"/>
      </w:rPr>
      <w:t>PathFdR</w:t>
    </w:r>
    <w:r>
      <w:rPr>
        <w:rStyle w:val="HideTWBExt"/>
      </w:rPr>
      <w:t>&gt;</w:t>
    </w:r>
    <w:r>
      <w:t>AM\1112251EN.docx</w:t>
    </w:r>
    <w:r>
      <w:rPr>
        <w:rStyle w:val="HideTWBExt"/>
      </w:rPr>
      <w:t>&lt;/</w:t>
    </w:r>
    <w:r>
      <w:rPr>
        <w:rStyle w:val="HideTWBExt"/>
      </w:rPr>
      <w:t>PathFdR</w:t>
    </w:r>
    <w:r>
      <w:rPr>
        <w:rStyle w:val="HideTWBExt"/>
      </w:rPr>
      <w:t>&gt;</w:t>
    </w:r>
  </w:p>
  <w:p>
    <w:pPr>
      <w:pStyle w:val="Footer2"/>
    </w:pPr>
    <w:r>
      <w:t>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AM\1112251EN.docx</w:t>
    </w:r>
    <w:r>
      <w:rPr>
        <w:rStyle w:val="HideTWBExt"/>
      </w:rPr>
      <w:t>&lt;/</w:t>
    </w:r>
    <w:r>
      <w:rPr>
        <w:rStyle w:val="HideTWBExt"/>
      </w:rPr>
      <w:t>PathFdR</w:t>
    </w:r>
    <w:r>
      <w:rPr>
        <w:rStyle w:val="HideTWBExt"/>
      </w:rPr>
      <w:t>&gt;</w:t>
    </w:r>
    <w:r>
      <w:tab/>
    </w:r>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ab/>
    </w:r>
    <w:r>
      <w:t>PE</w:t>
    </w:r>
    <w:r>
      <w:rPr>
        <w:rStyle w:val="HideTWBExt"/>
      </w:rPr>
      <w:t>&lt;</w:t>
    </w:r>
    <w:r>
      <w:rPr>
        <w:rStyle w:val="HideTWBExt"/>
      </w:rPr>
      <w:t>NoPE</w:t>
    </w:r>
    <w:r>
      <w:rPr>
        <w:rStyle w:val="HideTWBExt"/>
      </w:rPr>
      <w:t>&gt;</w:t>
    </w:r>
    <w:r>
      <w:t>595.625</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ab/>
    </w:r>
    <w:r>
      <w:tab/>
    </w:r>
    <w:r>
      <w:t>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AM\1112251EN.docx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595.625</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EN</w:t>
    </w:r>
    <w:r>
      <w:tab/>
    </w:r>
    <w:r>
      <w:rPr>
        <w:rStyle w:val="Footer2Middle"/>
      </w:rPr>
      <w:t>United in diversity</w:t>
    </w:r>
    <w:r>
      <w:tab/>
    </w:r>
    <w:r>
      <w:t>EN</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gruik" w:val="value of gruik"/>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13;&#10;{\f34\fbidi \froman\fcharset0\fprq2{\*\panose 02040503050406030204}Cambria Math;}{\flomajor\f31500\fbidi \froman\fcharset0\fprq2{\*\panose 02020603050405020304}Times New Roman;}&#13;&#10;{\fdbmajor\f31501\fbidi \froman\fcharset0\fprq2{\*\panose 02020603050405020304}Times New Roman;}{\fhimajor\f31502\fbidi \froman\fcharset0\fprq2{\*\panose 02040503050406030204}Cambria;}&#13;&#10;{\fbimajor\f31503\fbidi \froman\fcharset0\fprq2{\*\panose 02020603050405020304}Times New Roman;}{\flominor\f31504\fbidi \froman\fcharset0\fprq2{\*\panose 02020603050405020304}Times New Roman;}&#13;&#10;{\fdbminor\f31505\fbidi \froman\fcharset0\fprq2{\*\panose 02020603050405020304}Times New Roman;}{\fhiminor\f31506\fbidi \fswiss\fcharset0\fprq2{\*\panose 020f0502020204030204}Calibri;}&#13;&#10;{\fbiminor\f31507\fbidi \froman\fcharset0\fprq2{\*\panose 02020603050405020304}Times New Roman;}{\f248\fbidi \froman\fcharset238\fprq2 Times New Roman CE;}{\f249\fbidi \froman\fcharset204\fprq2 Times New Roman Cyr;}&#13;&#10;{\f251\fbidi \froman\fcharset161\fprq2 Times New Roman Greek;}{\f252\fbidi \froman\fcharset162\fprq2 Times New Roman Tur;}{\f253\fbidi \froman\fcharset177\fprq2 Times New Roman (Hebrew);}{\f254\fbidi \froman\fcharset178\fprq2 Times New Roman (Arabic);}&#13;&#10;{\f255\fbidi \froman\fcharset186\fprq2 Times New Roman Baltic;}{\f256\fbidi \froman\fcharset163\fprq2 Times New Roman (Vietnamese);}{\f258\fbidi \fswiss\fcharset238\fprq2 Arial CE;}{\f259\fbidi \fswiss\fcharset204\fprq2 Arial Cyr;}&#13;&#10;{\f261\fbidi \fswiss\fcharset161\fprq2 Arial Greek;}{\f262\fbidi \fswiss\fcharset162\fprq2 Arial Tur;}{\f263\fbidi \fswiss\fcharset177\fprq2 Arial (Hebrew);}{\f264\fbidi \fswiss\fcharset178\fprq2 Arial (Arabic);}&#13;&#10;{\f265\fbidi \fswiss\fcharset186\fprq2 Arial Baltic;}{\f266\fbidi \fswiss\fcharset163\fprq2 Arial (Vietnamese);}{\f588\fbidi \froman\fcharset238\fprq2 Cambria Math CE;}{\f589\fbidi \froman\fcharset204\fprq2 Cambria Math Cyr;}&#13;&#10;{\f591\fbidi \froman\fcharset161\fprq2 Cambria Math Greek;}{\f592\fbidi \froman\fcharset162\fprq2 Cambria Math Tur;}{\f595\fbidi \froman\fcharset186\fprq2 Cambria Math Baltic;}{\f596\fbidi \froman\fcharset163\fprq2 Cambria Math (Vietnamese);}&#13;&#10;{\flomajor\f31508\fbidi \froman\fcharset238\fprq2 Times New Roman CE;}{\flomajor\f31509\fbidi \froman\fcharset204\fprq2 Times New Roman Cyr;}{\flomajor\f31511\fbidi \froman\fcharset161\fprq2 Times New Roman Greek;}&#13;&#10;{\flomajor\f31512\fbidi \froman\fcharset162\fprq2 Times New Roman Tur;}{\flomajor\f31513\fbidi \froman\fcharset177\fprq2 Times New Roman (Hebrew);}{\flomajor\f31514\fbidi \froman\fcharset178\fprq2 Times New Roman (Arabic);}&#13;&#10;{\flomajor\f31515\fbidi \froman\fcharset186\fprq2 Times New Roman Baltic;}{\flomajor\f31516\fbidi \froman\fcharset163\fprq2 Times New Roman (Vietnamese);}{\fdbmajor\f31518\fbidi \froman\fcharset238\fprq2 Times New Roman CE;}&#13;&#10;{\fdbmajor\f31519\fbidi \froman\fcharset204\fprq2 Times New Roman Cyr;}{\fdbmajor\f31521\fbidi \froman\fcharset161\fprq2 Times New Roman Greek;}{\fdbmajor\f31522\fbidi \froman\fcharset162\fprq2 Times New Roman Tur;}&#13;&#10;{\fdbmajor\f31523\fbidi \froman\fcharset177\fprq2 Times New Roman (Hebrew);}{\fdbmajor\f31524\fbidi \froman\fcharset178\fprq2 Times New Roman (Arabic);}{\fdbmajor\f31525\fbidi \froman\fcharset186\fprq2 Times New Roman Baltic;}&#13;&#10;{\fdbmajor\f31526\fbidi \froman\fcharset163\fprq2 Times New Roman (Vietnamese);}{\fhimajor\f31528\fbidi \froman\fcharset238\fprq2 Cambria CE;}{\fhimajor\f31529\fbidi \froman\fcharset204\fprq2 Cambria Cyr;}&#13;&#10;{\fhimajor\f31531\fbidi \froman\fcharset161\fprq2 Cambria Greek;}{\fhimajor\f31532\fbidi \froman\fcharset162\fprq2 Cambria Tur;}{\fhimajor\f31535\fbidi \froman\fcharset186\fprq2 Cambria Baltic;}&#13;&#10;{\fhimajor\f31536\fbidi \froman\fcharset163\fprq2 Cambria (Vietnamese);}{\fbimajor\f31538\fbidi \froman\fcharset238\fprq2 Times New Roman CE;}{\fbimajor\f31539\fbidi \froman\fcharset204\fprq2 Times New Roman Cyr;}&#13;&#10;{\fbimajor\f31541\fbidi \froman\fcharset161\fprq2 Times New Roman Greek;}{\fbimajor\f31542\fbidi \froman\fcharset162\fprq2 Times New Roman Tur;}{\fbimajor\f31543\fbidi \froman\fcharset177\fprq2 Times New Roman (Hebrew);}&#13;&#10;{\fbimajor\f31544\fbidi \froman\fcharset178\fprq2 Times New Roman (Arabic);}{\fbimajor\f31545\fbidi \froman\fcharset186\fprq2 Times New Roman Baltic;}{\fbimajor\f31546\fbidi \froman\fcharset163\fprq2 Times New Roman (Vietnamese);}&#13;&#10;{\flominor\f31548\fbidi \froman\fcharset238\fprq2 Times New Roman CE;}{\flominor\f31549\fbidi \froman\fcharset204\fprq2 Times New Roman Cyr;}{\flominor\f31551\fbidi \froman\fcharset161\fprq2 Times New Roman Greek;}&#13;&#10;{\flominor\f31552\fbidi \froman\fcharset162\fprq2 Times New Roman Tur;}{\flominor\f31553\fbidi \froman\fcharset177\fprq2 Times New Roman (Hebrew);}{\flominor\f31554\fbidi \froman\fcharset178\fprq2 Times New Roman (Arabic);}&#13;&#10;{\flominor\f31555\fbidi \froman\fcharset186\fprq2 Times New Roman Baltic;}{\flominor\f31556\fbidi \froman\fcharset163\fprq2 Times New Roman (Vietnamese);}{\fdbminor\f31558\fbidi \froman\fcharset238\fprq2 Times New Roman CE;}&#13;&#10;{\fdbminor\f31559\fbidi \froman\fcharset204\fprq2 Times New Roman Cyr;}{\fdbminor\f31561\fbidi \froman\fcharset161\fprq2 Times New Roman Greek;}{\fdbminor\f31562\fbidi \froman\fcharset162\fprq2 Times New Roman Tur;}&#13;&#10;{\fdbminor\f31563\fbidi \froman\fcharset177\fprq2 Times New Roman (Hebrew);}{\fdbminor\f31564\fbidi \froman\fcharset178\fprq2 Times New Roman (Arabic);}{\fdbminor\f31565\fbidi \froman\fcharset186\fprq2 Times New Roman Baltic;}&#13;&#10;{\fdbminor\f31566\fbidi \froman\fcharset163\fprq2 Times New Roman (Vietnamese);}{\fhiminor\f31568\fbidi \fswiss\fcharset238\fprq2 Calibri CE;}{\fhiminor\f31569\fbidi \fswiss\fcharset204\fprq2 Calibri Cyr;}&#13;&#10;{\fhiminor\f31571\fbidi \fswiss\fcharset161\fprq2 Calibri Greek;}{\fhiminor\f31572\fbidi \fswiss\fcharset162\fprq2 Calibri Tur;}{\fhiminor\f31575\fbidi \fswiss\fcharset186\fprq2 Calibri Baltic;}&#13;&#10;{\fhiminor\f31576\fbidi \fswiss\fcharset163\fprq2 Calibri (Vietnamese);}{\fbiminor\f31578\fbidi \froman\fcharset238\fprq2 Times New Roman CE;}{\fbiminor\f31579\fbidi \froman\fcharset204\fprq2 Times New Roman Cyr;}&#13;&#10;{\fbiminor\f31581\fbidi \froman\fcharset161\fprq2 Times New Roman Greek;}{\fbiminor\f31582\fbidi \froman\fcharset162\fprq2 Times New Roman Tur;}{\fbiminor\f31583\fbidi \froman\fcharset177\fprq2 Times New Roman (Hebrew);}&#13;&#10;{\fbiminor\f31584\fbidi \froman\fcharset178\fprq2 Times New Roman (Arabic);}{\fbiminor\f31585\fbidi \froman\fcharset186\fprq2 Times New Roman Baltic;}{\fbiminor\f31586\fbidi \froman\fcharset163\fprq2 Times New Roman (Vietnamese);}}&#13;&#10;{\colortbl;\red0\green0\blue0;\red0\green0\blue255;\red0\green255\blue255;\red0\green255\blue0;\red255\green0\blue255;\red255\green0\blue0;\red255\green255\blue0;\red255\green255\blue255;\red0\green0\blue128;\red0\green128\blue128;\red0\green128\blue0;&#13;&#10;\red128\green0\blue128;\red128\green0\blue0;\red128\green128\blue0;\red128\green128\blue128;\red192\green192\blue192;}{\*\defchp }{\*\defpap \ql \li0\ri0\widctlpar\wrapdefault\aspalpha\aspnum\faauto\adjustright\rin0\lin0\itap0 }\noqfpromote {\stylesheet{&#13;&#10;\ql \li0\ri0\widctlpar\wrapdefault\aspalpha\aspnum\faauto\adjustright\rin0\lin0\itap0 \rtlch\fcs1 \af0\afs20\alang1025 \ltrch\fcs0 \fs24\lang2057\langfe2057\cgrid\langnp2057\langfenp2057 \snext0 \sqformat \spriority0 Normal;}{\*\cs10 \additive &#13;&#10;\ssemihidden \spriority0 Default Paragraph Font;}{\*\ts11\tsrowd\trftsWidthB3\trpaddl108\trpaddr108\trpaddfl3\trpaddft3\trpaddfb3\trpaddfr3\tblind0\tblindtype3\tsvertalt\tsbrdrt\tsbrdrl\tsbrdrb\tsbrdrr\tsbrdrdgl\tsbrdrdgr\tsbrdrh\tsbrdrv &#13;&#10;\ql \li0\ri0\widctlpar\wrapdefault\aspalpha\aspnum\faauto\adjustright\rin0\lin0\itap0 \rtlch\fcs1 \af0\afs20\alang1025 \ltrch\fcs0 \fs20\lang1043\langfe1043\cgrid\langnp1043\langfenp1043 \snext11 \ssemihidden \spriority0 Normal Table;}{\*\cs15 \additive &#13;&#10;\v\f1\fs20\cf9\lang1024\langfe1024\noproof \spriority0 \styrsid3105041 HideTWBExt;}{\s16\qr \li0\ri0\sb240\sa240\nowidctlpar\wrapdefault\aspalpha\aspnum\faauto\adjustright\rin0\lin0\itap0 \rtlch\fcs1 \af0\afs20\alang1025 \ltrch\fcs0 &#13;&#10;\fs24\lang1024\langfe1024\cgrid\noproof\langnp2057\langfenp2057 \sbasedon0 \snext16 \spriority0 \styrsid3105041 Olang;}{\s17\ql \li0\ri0\sa120\nowidctlpar\wrapdefault\aspalpha\aspnum\faauto\adjustright\rin0\lin0\itap0 \rtlch\fcs1 \af0\afs20\alang1025 &#13;&#10;\ltrch\fcs0 \fs24\lang1024\langfe1024\cgrid\noproof\langnp2057\langfenp2057 \sbasedon0 \snext17 \slink18 \spriority0 \styrsid3105041 Normal6;}{\*\cs18 \additive \fs24\lang1024\langfe1024\noproof\langnp2057\langfenp2057 &#13;&#10;\slink17 \slocked \spriority0 \styrsid3105041 Normal6 Char;}{\s19\ql \li0\ri0\nowidctlpar\wrapdefault\aspalpha\aspnum\faauto\adjustright\rin0\lin0\itap0 \rtlch\fcs1 \af0\afs20\alang1025 \ltrch\fcs0 &#13;&#10;\b\fs24\lang2057\langfe2057\cgrid\langnp2057\langfenp2057 \sbasedon0 \snext19 \slink20 \spriority0 \styrsid3105041 NormalBold;}{\*\cs20 \additive \b\fs24\lang2057\langfe2057\langnp2057\langfenp2057 \slink19 \slocked \spriority0 \styrsid3105041 &#13;&#10;NormalBold Char;}{\s21\qc \li0\ri0\sa240\nowidctlpar\wrapdefault\aspalpha\aspnum\faauto\adjustright\rin0\lin0\itap0 \rtlch\fcs1 \af0\afs20\alang1025 \ltrch\fcs0 \i\fs24\lang2057\langfe2057\cgrid\langnp2057\langfenp2057 &#13;&#10;\sbasedon0 \snext21 \spriority0 \styrsid3105041 ColumnHeading;}{\s22\ql \li0\ri0\sb240\nowidctlpar&#13;&#10;\tx879\tx936\tx1021\tx1077\tx1134\tx1191\tx1247\tx1304\tx1361\tx1418\tx1474\tx1531\tx1588\tx1644\tx1701\tx1758\tx1814\tx1871\tx2070\tx2126\tx3374\tx3430\wrapdefault\aspalpha\aspnum\faauto\adjustright\rin0\lin0\itap0 \rtlch\fcs1 \af0\afs20\alang1025 &#13;&#10;\ltrch\fcs0 \b\fs24\lang2057\langfe2057\cgrid\langnp2057\langfenp2057 \sbasedon0 \snext22 \spriority0 \styrsid3105041 AMNumberTabs;}}{\*\rsidtbl \rsid24658\rsid735077\rsid2892074\rsid3105041\rsid4666813\rsid6641733\rsid9636012\rsid11215221\rsid12154954&#13;&#10;\rsid14424199\rsid15204470\rsid15285974\rsid15950462\rsid15992473\rsid16324206\rsid16662270}{\mmathPr\mmathFont34\mbrkBin0\mbrkBinSub0\msmallFrac0\mdispDef1\mlMargin0\mrMargin0\mdefJc1\mwrapIndent1440\mintLim0\mnaryLim1}{\info{\author FELIX Karina}&#13;&#10;{\operator FELIX Karina}{\creatim\yr2015\mo5\dy8\hr15\min29}{\revtim\yr2015\mo5\dy8\hr15\min29}{\version1}{\edmins0}{\nofpages1}{\nofwords48}{\nofchars268}{\*\company European Parliament}{\nofcharsws315}{\vern49165}}{\*\xmlnstbl {\xmlns1 http://schemas.mi&#13;&#10;crosoft.com/office/word/2003/wordml}}\paperw11906\paperh16838\margl1418\margr1418\margt1134\margb1418\gutter0\ltrsect &#13;&#10;\facingp\widowctrl\ftnbj\aenddoc\ftnrstpg\trackmoves0\trackformatting1\donotembedsysfont1\relyonvml0\donotembedlingdata0\grfdocevents0\validatexml1\showplaceholdtext0\ignoremixedcontent0\saveinvalidxml0&#13;&#10;\showxmlerrors1\margmirror\noxlattoyen\expshrtn\noultrlspc\dntblnsbdb\nospaceforul\formshade\horzdoc\dghspace180\dgvspace180\dghorigin1701\dgvorigin1984\dghshow0\dgvshow0&#13;&#10;\jexpand\viewkind1\viewscale90\pgbrdrhead\pgbrdrfoot\nolnhtadjtbl\nojkernpunct\rsidroot3105041\utinl \fet0{\*\wgrffmtfilter 013f}\ilfomacatclnup0{\*\template C:\\Users\\kfelix\\AppData\\Local\\Temp\\Blank1.dot}{\*\ftnsep \ltrpar \pard\plain \ltrpar&#13;&#10;\ql \li0\ri0\widctlpar\wrapdefault\aspalpha\aspnum\faauto\adjustright\rin0\lin0\itap0 \rtlch\fcs1 \af0\afs20\alang1025 \ltrch\fcs0 \fs24\lang2057\langfe2057\cgrid\langnp2057\langfenp2057 {\rtlch\fcs1 \af0 \ltrch\fcs0 \insrsid15992473 \chftnsep &#13;&#10;\par }}{\*\ftnsepc \ltrpar \pard\plain \ltrpar\ql \li0\ri0\widctlpar\wrapdefault\aspalpha\aspnum\faauto\adjustright\rin0\lin0\itap0 \rtlch\fcs1 \af0\afs20\alang1025 \ltrch\fcs0 \fs24\lang2057\langfe2057\cgrid\langnp2057\langfenp2057 {\rtlch\fcs1 \af0 &#13;&#10;\ltrch\fcs0 \insrsid15992473 \chftnsepc &#13;&#10;\par }}{\*\aftnsep \ltrpar \pard\plain \ltrpar\ql \li0\ri0\widctlpar\wrapdefault\aspalpha\aspnum\faauto\adjustright\rin0\lin0\itap0 \rtlch\fcs1 \af0\afs20\alang1025 \ltrch\fcs0 \fs24\lang2057\langfe2057\cgrid\langnp2057\langfenp2057 {\rtlch\fcs1 \af0 &#13;&#10;\ltrch\fcs0 \insrsid15992473 \chftnsep &#13;&#10;\par }}{\*\aftnsepc \ltrpar \pard\plain \ltrpar\ql \li0\ri0\widctlpar\wrapdefault\aspalpha\aspnum\faauto\adjustright\rin0\lin0\itap0 \rtlch\fcs1 \af0\afs20\alang1025 \ltrch\fcs0 \fs24\lang2057\langfe2057\cgrid\langnp2057\langfenp2057 {\rtlch\fcs1 \af0 &#13;&#10;\ltrch\fcs0 \insrsid15992473 \chftnsepc &#13;&#10;\par }}\ltrpar \sectd \ltrsect\psz9\linex0\headery1134\footery505\endnhere\titlepg\sectdefaultcl\sectrsid14424199\sftnbj\sftnrstpg {\*\pnseclvl1\pnucrm\pnstart1\pnindent720\pnhang {\pntxta .}}{\*\pnseclvl2\pnucltr\pnstart1\pnindent720\pnhang {\pntxta .}}&#13;&#10;{\*\pnseclvl3\pndec\pnstart1\pnindent720\pnhang {\pntxta .}}{\*\pnseclvl4\pnlcltr\pnstart1\pnindent720\pnhang {\pntxta )}}{\*\pnseclvl5\pndec\pnstart1\pnindent720\pnhang {\pntxtb (}{\pntxta )}}{\*\pnseclvl6\pnlcltr\pnstart1\pnindent720\pnhang {\pntxtb (}&#13;&#10;{\pntxta )}}{\*\pnseclvl7\pnlcrm\pnstart1\pnindent720\pnhang {\pntxtb (}{\pntxta )}}{\*\pnseclvl8\pnlcltr\pnstart1\pnindent720\pnhang {\pntxtb (}{\pntxta )}}{\*\pnseclvl9\pnlcrm\pnstart1\pnindent720\pnhang {\pntxtb (}{\pntxta )}}\pard\plain \ltrpar&#13;&#10;\s22\ql \li0\ri0\sb240\keepn\nowidctlpar\tx879\tx936\tx1021\tx1077\tx1134\tx1191\tx1247\tx1304\tx1361\tx1418\tx1474\tx1531\tx1588\tx1644\tx1701\tx1758\tx1814\tx1871\tx2070\tx2126\tx3374\tx3430\wrapdefault\aspalpha\aspnum\faauto\adjustright\rin0&#13;&#10;\lin0\itap0\pararsid13646180 \rtlch\fcs1 \af0\afs20\alang1025 \ltrch\fcs0 \b\fs24\lang2057\langfe2057\cgrid\langnp2057\langfenp2057 {\rtlch\fcs1 \af0 \ltrch\fcs0 \cs15\b0\v\f1\fs20\cf9\lang1024\langfe1024\noproof\insrsid3105041\charrsid4417459 &#13;&#10;{\*\bkmkstart restart}&lt;Amend&gt;}{\rtlch\fcs1 \af0 \ltrch\fcs0 \insrsid3105041\charrsid1799708 [ZAMENDMENT]}{\rtlch\fcs1 \af0 \ltrch\fcs0 \insrsid3105041 \tab \tab }{\rtlch\fcs1 \af0 \ltrch\fcs0 &#13;&#10;\cs15\b0\v\f1\fs20\cf9\lang1024\langfe1024\noproof\insrsid3105041\charrsid4417459 &lt;NumAm&gt;}{\rtlch\fcs1 \af0 \ltrch\fcs0 \insrsid3105041\charrsid1799708 [ZNRAM]}{\rtlch\fcs1 \af0 \ltrch\fcs0 &#13;&#10;\cs15\b0\v\f1\fs20\cf9\lang1024\langfe1024\noproof\insrsid3105041\charrsid4417459 &lt;/NumAm&gt;}{\rtlch\fcs1 \af0 \ltrch\fcs0 \insrsid3105041\charrsid4080556 &#13;&#10;\par }\pard\plain \ltrpar\s19\ql \li0\ri0\nowidctlpar\wrapdefault\aspalpha\aspnum\faauto\adjustright\rin0\lin0\itap0\pararsid3025377 \rtlch\fcs1 \af0\afs20\alang1025 \ltrch\fcs0 \b\fs24\lang2057\langfe2057\cgrid\langnp2057\langfenp2057 {\rtlch\fcs1 \af0 &#13;&#10;\ltrch\fcs0 \cs15\b0\v\f1\fs20\cf9\lang1024\langfe1024\noproof\insrsid3105041\charrsid14699840 &lt;RepeatBlock-By&gt;}{\rtlch\fcs1 \af0 \ltrch\fcs0 \lang1024\langfe1024\noproof\insrsid3105041\charrsid14699840 [RepeatMembers]}{\rtlch\fcs1 \af0 \ltrch\fcs0 &#13;&#10;\cs15\b0\v\f1\fs20\cf9\lang1024\langfe1024\noproof\insrsid3105041\charrsid14699840 &lt;Members&gt;}{\rtlch\fcs1 \af0 \ltrch\fcs0 \insrsid3105041\charrsid14699840 [ZMEMBERS]}{\rtlch\fcs1 \af0 \ltrch\fcs0 &#13;&#10;\cs15\b0\v\f1\fs20\cf9\lang1024\langfe1024\noproof\insrsid3105041\charrsid14699840 &lt;/Members&gt;}{\rtlch\fcs1 \af0 \ltrch\fcs0 \insrsid3105041\charrsid14699840 &#13;&#10;\par }\pard\plain \ltrpar\ql \li0\ri0\widctlpar\wrapdefault\aspalpha\aspnum\faauto\adjustright\rin0\lin0\itap0\pararsid3025377 \rtlch\fcs1 \af0\afs20\alang1025 \ltrch\fcs0 \fs24\lang2057\langfe2057\cgrid\langnp2057\langfenp2057 {\rtlch\fcs1 \af0 \ltrch\fcs0 &#13;&#10;\cs15\v\f1\fs20\cf9\lang1024\langfe1024\noproof\insrsid3105041\charrsid14699840 &lt;AuNomDe&gt;&lt;OptDel&gt;}{\rtlch\fcs1 \af0 \ltrch\fcs0 \insrsid3105041\charrsid14699840 [ZONBEHALF]}{\rtlch\fcs1 \af0 \ltrch\fcs0 &#13;&#10;\cs15\v\f1\fs20\cf9\lang1024\langfe1024\noproof\insrsid3105041\charrsid14699840 &lt;/OptDel&gt;&lt;/AuNomDe&gt;}{\rtlch\fcs1 \af0 \ltrch\fcs0 \insrsid3105041\charrsid14699840 &#13;&#10;\par &lt;&lt;&lt;}{\rtlch\fcs1 \af0 \ltrch\fcs0 \cs15\v\f1\fs20\cf9\lang1024\langfe1024\noproof\insrsid3105041\charrsid14699840 &lt;/RepeatBlock-By&gt;}{\rtlch\fcs1 \af0 \ltrch\fcs0 \insrsid3105041\charrsid14699840 &#13;&#10;\par }\pard\plain \ltrpar\s19\ql \li0\ri0\nowidctlpar\wrapdefault\aspalpha\aspnum\faauto\adjustright\rin0\lin0\itap0\pararsid3025377 \rtlch\fcs1 \af0\afs20\alang1025 \ltrch\fcs0 \b\fs24\lang2057\langfe2057\cgrid\langnp2057\langfenp2057 {\rtlch\fcs1 \af0 &#13;&#10;\ltrch\fcs0 \cs15\b0\v\f1\fs20\cf9\lang1024\langfe1024\noproof\insrsid3105041\charrsid4737239 &lt;DocAmend&gt;}{\rtlch\fcs1 \af0 \ltrch\fcs0 \insrsid3105041\charrsid1799708 [Z}{\rtlch\fcs1 \af0 \ltrch\fcs0 \insrsid3105041 AMDOC}{\rtlch\fcs1 \af0 \ltrch\fcs0 &#13;&#10;\insrsid3105041\charrsid1799708 ]}{\rtlch\fcs1 \af0 \ltrch\fcs0 \cs15\b0\v\f1\fs20\cf9\lang1024\langfe1024\noproof\insrsid3105041\charrsid4737239 &lt;/DocAmend&gt;}{\rtlch\fcs1 \af0 \ltrch\fcs0 \insrsid3105041\charrsid1799708 &#13;&#10;\par }\pard \ltrpar\s19\ql \li0\ri0\nowidctlpar\wrapdefault\aspalpha\aspnum\faauto\adjustright\rin0\lin0\itap0\pararsid14055546 {\rtlch\fcs1 \af0 \ltrch\fcs0 \cs15\b0\v\f1\fs20\cf9\lang1024\langfe1024\noproof\insrsid3105041\charrsid1799708 &lt;Article&gt;}{&#13;&#10;\rtlch\fcs1 \af0 \ltrch\fcs0 \insrsid3105041\charrsid1799708 [ZAMPART]}{\rtlch\fcs1 \af0 \ltrch\fcs0 \cs15\b0\v\f1\fs20\cf9\lang1024\langfe1024\noproof\insrsid3105041\charrsid1799708 &lt;/Article&gt;}{\rtlch\fcs1 \af0 \ltrch\fcs0 &#13;&#10;\insrsid3105041\charrsid1799708 &#13;&#10;\par \ltrrow}\trowd \ltrrow\ts11\trqc\trgaph340\trleft-340\trftsWidth3\trwWidth9752\trftsWidthB3\trftsWidthA3\trpaddl340\trpaddr340\trpaddfl3\trpaddfr3\tblrsid14055546\tblind0\tblindtype3 \clvertalt\clbrdrt\brdrtbl \clbrdrl\brdrtbl \clbrdrb\brdrtbl \clbrdrr&#13;&#10;\brdrtbl \cltxlrtb\clftsWidth3\clwWidth9752\clshdrawnil \cellx9412\pard\plain \ltrpar\ql \li0\ri0\keepn\widctlpar\intbl\wrapdefault\aspalpha\aspnum\faauto\adjustright\rin0\lin0\pararsid10708565 \rtlch\fcs1 \af0\afs20\alang1025 \ltrch\fcs0 &#13;&#10;\fs24\lang2057\langfe2057\cgrid\langnp2057\langfenp2057 {\rtlch\fcs1 \af0 \ltrch\fcs0 \insrsid3105041\charrsid1799708 \cell }\pard \ltrpar\ql \li0\ri0\widctlpar\intbl\wrapdefault\aspalpha\aspnum\faauto\adjustright\rin0\lin0 {\rtlch\fcs1 \af0 \ltrch\fcs0 &#13;&#10;\insrsid3105041\charrsid1799708 \trowd \ltrrow\ts11\trqc\trgaph340\trleft-340\trftsWidth3\trwWidth9752\trftsWidthB3\trftsWidthA3\trpaddl340\trpaddr340\trpaddfl3\trpaddfr3\tblrsid14055546\tblind0\tblindtype3 \clvertalt\clbrdrt\brdrtbl \clbrdrl\brdrtbl &#13;&#10;\clbrdrb\brdrtbl \clbrdrr\brdrtbl \cltxlrtb\clftsWidth3\clwWidth9752\clshdrawnil \cellx9412\row \ltrrow}\trowd \ltrrow&#13;&#10;\ts11\trqc\trgaph340\trleft-340\trftsWidth3\trwWidth9752\trftsWidthB3\trftsWidthA3\trpaddl340\trpaddr340\trpaddfl3\trpaddfr3\tblrsid14055546\tblind0\tblindtype3 \clvertalt\clbrdrt\brdrtbl \clbrdrl\brdrtbl \clbrdrb\brdrtbl \clbrdrr\brdrtbl &#13;&#10;\cltxlrtb\clftsWidth3\clwWidth4876\clshdrawnil \cellx4536\clvertalt\clbrdrt\brdrtbl \clbrdrl\brdrtbl \clbrdrb\brdrtbl \clbrdrr\brdrtbl \cltxlrtb\clftsWidth3\clwWidth4876\clshdrawnil \cellx9412\pard\plain \ltrpar&#13;&#10;\s21\qc \li0\ri0\sa240\keepn\nowidctlpar\intbl\wrapdefault\aspalpha\aspnum\faauto\adjustright\rin0\lin0\pararsid10708565 \rtlch\fcs1 \af0\afs20\alang1025 \ltrch\fcs0 \i\fs24\lang2057\langfe2057\cgrid\langnp2057\langfenp2057 {\rtlch\fcs1 \af0 \ltrch\fcs0 &#13;&#10;\insrsid3105041\charrsid1799708 [ZLEFT]\cell [ZRIGHT]\cell }\pard\plain \ltrpar\ql \li0\ri0\widctlpar\intbl\wrapdefault\aspalpha\aspnum\faauto\adjustright\rin0\lin0 \rtlch\fcs1 \af0\afs20\alang1025 \ltrch\fcs0 &#13;&#10;\fs24\lang2057\langfe2057\cgrid\langnp2057\langfenp2057 {\rtlch\fcs1 \af0 \ltrch\fcs0 \insrsid3105041\charrsid1799708 \trowd \ltrrow&#13;&#10;\ts11\trqc\trgaph340\trleft-340\trftsWidth3\trwWidth9752\trftsWidthB3\trftsWidthA3\trpaddl340\trpaddr340\trpaddfl3\trpaddfr3\tblrsid14055546\tblind0\tblindtype3 \clvertalt\clbrdrt\brdrtbl \clbrdrl\brdrtbl \clbrdrb\brdrtbl \clbrdrr\brdrtbl &#13;&#10;\cltxlrtb\clftsWidth3\clwWidth4876\clshdrawnil \cellx4536\clvertalt\clbrdrt\brdrtbl \clbrdrl\brdrtbl \clbrdrb\brdrtbl \clbrdrr\brdrtbl \cltxlrtb\clftsWidth3\clwWidth4876\clshdrawnil \cellx9412\row \ltrrow}\pard\plain \ltrpar&#13;&#10;\s17\ql \li0\ri0\sa120\nowidctlpar\intbl\wrapdefault\aspalpha\aspnum\faauto\adjustright\rin0\lin0\pararsid14055546 \rtlch\fcs1 \af0\afs20\alang1025 \ltrch\fcs0 \fs24\lang1024\langfe1024\cgrid\noproof\langnp2057\langfenp2057 {\rtlch\fcs1 \af0 \ltrch\fcs0 &#13;&#10;\insrsid3105041\charrsid1799708 [ZTEXTL]\cell [ZTEXTR]}{\rtlch\fcs1 \af0\afs24 \ltrch\fcs0 \insrsid3105041\charrsid1799708 \cell }\pard\plain \ltrpar\ql \li0\ri0\widctlpar\intbl\wrapdefault\aspalpha\aspnum\faauto\adjustright\rin0\lin0 \rtlch\fcs1 &#13;&#10;\af0\afs20\alang1025 \ltrch\fcs0 \fs24\lang2057\langfe2057\cgrid\langnp2057\langfenp2057 {\rtlch\fcs1 \af0 \ltrch\fcs0 \insrsid3105041\charrsid1799708 \trowd \lastrow \ltrrow&#13;&#10;\ts11\trqc\trgaph340\trleft-340\trftsWidth3\trwWidth9752\trftsWidthB3\trftsWidthA3\trpaddl340\trpaddr340\trpaddfl3\trpaddfr3\tblrsid14055546\tblind0\tblindtype3 \clvertalt\clbrdrt\brdrtbl \clbrdrl\brdrtbl \clbrdrb\brdrtbl \clbrdrr\brdrtbl &#13;&#10;\cltxlrtb\clftsWidth3\clwWidth4876\clshdrawnil \cellx4536\clvertalt\clbrdrt\brdrtbl \clbrdrl\brdrtbl \clbrdrb\brdrtbl \clbrdrr\brdrtbl \cltxlrtb\clftsWidth3\clwWidth4876\clshdrawnil \cellx9412\row }\pard\plain \ltrpar&#13;&#10;\s16\qr \li0\ri0\sb240\sa240\nowidctlpar\wrapdefault\aspalpha\aspnum\faauto\adjustright\rin0\lin0\itap0\pararsid14055546 \rtlch\fcs1 \af0\afs20\alang1025 \ltrch\fcs0 \fs24\lang1024\langfe1024\cgrid\noproof\langnp2057\langfenp2057 {\rtlch\fcs1 \af0 &#13;&#10;\ltrch\fcs0 \noproof0\insrsid3105041\charrsid1799708 Or. }{\rtlch\fcs1 \af0 \ltrch\fcs0 \cs15\v\f1\fs20\cf9\noproof0\insrsid3105041\charrsid1799708 &lt;Original&gt;}{\rtlch\fcs1 \af0 \ltrch\fcs0 \noproof0\insrsid3105041\charrsid1799708 [ZORLANG]}{\rtlch\fcs1 &#13;&#10;\af0 \ltrch\fcs0 \cs15\v\f1\fs20\cf9\noproof0\insrsid3105041\charrsid1799708 &lt;/Original&gt;}{\rtlch\fcs1 \af0 \ltrch\fcs0 \noproof0\insrsid3105041\charrsid1799708 &#13;&#10;\par }\pard\plain \ltrpar\ql \li0\ri0\widctlpar\wrapdefault\aspalpha\aspnum\faauto\adjustright\rin0\lin0\itap0\pararsid16324206 \rtlch\fcs1 \af0\afs20\alang1025 \ltrch\fcs0 \fs24\lang2057\langfe2057\cgrid\langnp2057\langfenp2057 {\rtlch\fcs1 \af0 \ltrch\fcs0 &#13;&#10;\cs15\v\f1\fs20\cf9\lang1024\langfe1024\noproof\insrsid3105041\charrsid1799708 &lt;/Amend&gt;}{\rtlch\fcs1 \af0 \ltrch\fcs0 \insrsid24658\charrsid16324206 {\*\bkmkend restart}&#13;&#10;\par }{\*\themedata 504b030414000600080000002100e9de0fbfff0000001c020000130000005b436f6e74656e745f54797065735d2e786d6cac91cb4ec3301045f748fc83e52d4a&#13;&#10;9cb2400825e982c78ec7a27cc0c8992416c9d8b2a755fbf74cd25442a820166c2cd933f79e3be372bd1f07b5c3989ca74aaff2422b24eb1b475da5df374fd9ad&#13;&#10;5689811a183c61a50f98f4babebc2837878049899a52a57be670674cb23d8e90721f90a4d2fa3802cb35762680fd800ecd7551dc18eb899138e3c943d7e503b6&#13;&#10;b01d583deee5f99824e290b4ba3f364eac4a430883b3c092d4eca8f946c916422ecab927f52ea42b89a1cd59c254f919b0e85e6535d135a8de20f20b8c12c3b0&#13;&#10;0c895fcf6720192de6bf3b9e89ecdbd6596cbcdd8eb28e7c365ecc4ec1ff1460f53fe813d3cc7f5b7f020000ffff0300504b030414000600080000002100a5d6&#13;&#10;a7e7c0000000360100000b0000005f72656c732f2e72656c73848fcf6ac3300c87ef85bd83d17d51d2c31825762fa590432fa37d00e1287f68221bdb1bebdb4f&#13;&#10;c7060abb0884a4eff7a93dfeae8bf9e194e720169aaa06c3e2433fcb68e1763dbf7f82c985a4a725085b787086a37bdbb55fbc50d1a33ccd311ba548b6309512&#13;&#10;0f88d94fbc52ae4264d1c910d24a45db3462247fa791715fd71f989e19e0364cd3f51652d73760ae8fa8c9ffb3c330cc9e4fc17faf2ce545046e37944c69e462&#13;&#10;a1a82fe353bd90a865aad41ed0b5b8f9d6fd010000ffff0300504b0304140006000800000021006b799616830000008a0000001c0000007468656d652f746865&#13;&#10;6d652f7468656d654d616e616765722e786d6c0ccc4d0ac3201040e17da17790d93763bb284562b2cbaebbf600439c1a41c7a0d29fdbd7e5e38337cedf14d59b&#13;&#10;4b0d592c9c070d8a65cd2e88b7f07c2ca71ba8da481cc52c6ce1c715e6e97818c9b48d13df49c873517d23d59085adb5dd20d6b52bd521ef2cdd5eb9246a3d8b&#13;&#10;4757e8d3f729e245eb2b260a0238fd010000ffff0300504b03041400060008000000210030dd4329a8060000a41b0000160000007468656d652f7468656d652f&#13;&#10;7468656d65312e786d6cec594f6fdb3614bf0fd87720746f6327761a07758ad8b19b2d4d1bc46e871e698996d850a240d2497d1bdae38001c3ba618715d86d87&#13;&#10;615b8116d8a5fb34d93a6c1dd0afb0475292c5585e9236d88aad3e2412f9e3fbff1e1fa9abd7eec70c1d1221294fda5efd72cd4324f1794093b0eddd1ef62fad&#13;&#10;79482a9c0498f184b4bd2991deb58df7dfbb8ad755446282607d22d771db8b944ad79796a40fc3585ee62949606ecc458c15bc8a702910f808e8c66c69b9565b&#13;&#10;5d8a314d3c94e018c8de1a8fa94fd05093f43672e23d06af89927ac06762a049136785c10607758d9053d965021d62d6f6804fc08f86e4bef210c352c144dbab&#13;&#10;999fb7b4717509af678b985ab0b6b4ae6f7ed9ba6c4170b06c788a705430adf71bad2b5b057d03606a1ed7ebf5babd7a41cf00b0ef83a6569632cd467faddec9&#13;&#10;699640f6719e76b7d6ac355c7c89feca9cccad4ea7d36c65b258a206641f1b73f8b5da6a6373d9c11b90c537e7f08dce66b7bbeae00dc8e257e7f0fd2badd586&#13;&#10;8b37a088d1e4600ead1ddaef67d40bc898b3ed4af81ac0d76a197c86826828a24bb318f3442d8ab518dfe3a20f000d6458d104a9694ac6d88728eee2782428d6&#13;&#10;0cf03ac1a5193be4cbb921cd0b495fd054b5bd0f530c1931a3f7eaf9f7af9e3f45c70f9e1d3ff8e9f8e1c3e3073f5a42ceaa6d9c84e5552fbffdeccfc71fa33f&#13;&#10;9e7ef3f2d117d57859c6fffac327bffcfc793510d26726ce8b2f9ffcf6ecc98baf3efdfdbb4715f04d814765f890c644a29be408edf3181433567125272371be&#13;&#10;15c308d3f28acd249438c19a4b05fd9e8a1cf4cd296699771c393ac4b5e01d01e5a30a787d72cf1178108989a2159c77a2d801ee72ce3a5c545a6147f32a9979&#13;&#10;3849c26ae66252c6ed637c58c5bb8b13c7bfbd490a75330f4b47f16e441c31f7184e140e494214d273fc80900aedee52ead87597fa824b3e56e82e451d4c2b4d&#13;&#10;32a423279a668bb6690c7e9956e90cfe766cb37b077538abd27a8b1cba48c80acc2a841f12e698f13a9e281c57911ce298950d7e03aba84ac8c154f8655c4f2a&#13;&#10;f074481847bd804859b5e696007d4b4edfc150b12addbecba6b18b148a1e54d1bc81392f23b7f84137c2715a851dd0242a633f900710a218ed715505dfe56e86&#13;&#10;e877f0034e16bafb0e258ebb4faf06b769e888340b103d331115bebc4eb813bf83291b63624a0d1475a756c734f9bbc2cd28546ecbe1e20a3794ca175f3fae90&#13;&#10;fb6d2dd99bb07b55e5ccf68942bd0877b23c77b908e8db5f9db7f024d9239010f35bd4bbe2fcae387bfff9e2bc289f2fbe24cfaa301468dd8bd846dbb4ddf1c2&#13;&#10;ae7b4c191ba8292337a469bc25ec3d411f06f53a73e224c5292c8de0516732307070a1c0660d125c7d44553488700a4d7bddd3444299910e254ab984c3a219ae&#13;&#10;a4adf1d0f82b7bd46cea4388ad1c12ab5d1ed8e1153d9c9f350a3246aad01c6873462b9ac05999ad5cc988826eafc3acae853a33b7ba11cd1445875ba1b236b1&#13;&#10;399483c90bd560b0b0263435085a21b0f22a9cf9356b38ec6046026d77eba3dc2dc60b17e92219e180643ed27acffba86e9c94c7ca9c225a0f1b0cfae0788ad5&#13;&#10;4adc5a9aec1b703b8b93caec1a0bd8e5de7b132fe5113cf312503b998e2c2927274bd051db6b35979b1ef271daf6c6704e86c73805af4bdd476216c26593af84&#13;&#10;0dfb5393d964f9cc9bad5c313709ea70f561ed3ea7b053075221d51696910d0d339585004b34272bff7213cc7a510a5454a3b349b1b206c1f0af490176745d4b&#13;&#10;c663e2abb2b34b23da76f6352ba57ca2881844c1111ab189d8c7e07e1daaa04f40255c77988aa05fe06e4e5bdb4cb9c5394bbaf28d98c1d971ccd20867e556a7&#13;&#10;689ec9166e0a522183792b8907ba55ca6e943bbf2a26e52f48957218ffcf54d1fb09dc3eac04da033e5c0d0b8c74a6b43d2e54c4a10aa511f5fb021a07533b20&#13;&#10;5ae07e17a621a8e082dafc17e450ffb739676998b48643a4daa7211214f623150942f6a02c99e83b85583ddbbb2c4996113211551257a656ec1139246ca86be0&#13;&#10;aadedb3d1441a89b6a929501833b197fee7b9641a3503739e57c732a59b1f7da1cf8a73b1f9bcca0945b874d4393dbbf10b1680f66bbaa5d6f96e77b6f59113d&#13;&#10;316bb31a795600b3d256d0cad2fe354538e7566b2bd69cc6cbcd5c38f0e2bcc63058344429dc2121fd07f63f2a7c66bf76e80d75c8f7a1b622f878a18941d840&#13;&#10;545fb28d07d205d20e8ea071b283369834296bdaac75d256cb37eb0bee740bbe278cad253b8bbfcf69eca23973d939b97891c6ce2cecd8da8e2d343578f6648a&#13;&#10;c2d0383fc818c798cf64e52f597c740f1cbd05df0c264c49134cf09d4a60e8a107260f20f92d47b374e32f000000ffff0300504b030414000600080000002100&#13;&#10;0dd1909fb60000001b010000270000007468656d652f7468656d652f5f72656c732f7468656d654d616e616765722e786d6c2e72656c73848f4d0ac2301484f7&#13;&#10;8277086f6fd3ba109126dd88d0add40384e4350d363f2451eced0dae2c082e8761be9969bb979dc9136332de3168aa1a083ae995719ac16db8ec8e4052164e89&#13;&#10;d93b64b060828e6f37ed1567914b284d262452282e3198720e274a939cd08a54f980ae38a38f56e422a3a641c8bbd048f7757da0f19b017cc524bd62107bd500&#13;&#10;1996509affb3fd381a89672f1f165dfe514173d9850528a2c6cce0239baa4c04ca5bbabac4df000000ffff0300504b01022d0014000600080000002100e9de0f&#13;&#10;bfff0000001c0200001300000000000000000000000000000000005b436f6e74656e745f54797065735d2e786d6c504b01022d0014000600080000002100a5d6&#13;&#10;a7e7c0000000360100000b00000000000000000000000000300100005f72656c732f2e72656c73504b01022d00140006000800000021006b799616830000008a&#13;&#10;0000001c00000000000000000000000000190200007468656d652f7468656d652f7468656d654d616e616765722e786d6c504b01022d00140006000800000021&#13;&#10;0030dd4329a8060000a41b00001600000000000000000000000000d60200007468656d652f7468656d652f7468656d65312e786d6c504b01022d001400060008&#13;&#10;00000021000dd1909fb60000001b0100002700000000000000000000000000b20900007468656d652f7468656d652f5f72656c732f7468656d654d616e616765722e786d6c2e72656c73504b050600000000050005005d010000ad0a00000000}&#13;&#10;{\*\colorschememapping 3c3f786d6c2076657273696f6e3d22312e302220656e636f64696e673d225554462d3822207374616e64616c6f6e653d22796573223f3e0d0a3c613a636c724d&#13;&#10;617020786d6c6e733a613d22687474703a2f2f736368656d61732e6f70656e786d6c666f726d6174732e6f72672f64726177696e676d6c2f323030362f6d6169&#13;&#10;6e22206267313d226c743122207478313d22646b3122206267323d226c743222207478323d22646b322220616363656e74313d22616363656e74312220616363&#13;&#10;656e74323d22616363656e74322220616363656e74333d22616363656e74332220616363656e74343d22616363656e74342220616363656e74353d22616363656e74352220616363656e74363d22616363656e74362220686c696e6b3d22686c696e6b2220666f6c486c696e6b3d22666f6c486c696e6b222f3e}&#13;&#10;{\*\latentstyles\lsdstimax267\lsdlockeddef0\lsdsemihiddendef0\lsdunhideuseddef0\lsdqformatdef0\lsdprioritydef0{\lsdlockedexcept \lsdqformat1 \lsdlocked0 Normal;\lsdqformat1 \lsdlocked0 heading 1;&#13;&#10;\lsdsemihidden1 \lsdunhideused1 \lsdqformat1 \lsdlocked0 heading 2;\lsdsemihidden1 \lsdunhideused1 \lsdqformat1 \lsdlocked0 heading 3;\lsdsemihidden1 \lsdunhideused1 \lsdqformat1 \lsdlocked0 heading 4;&#13;&#10;\lsdsemihidden1 \lsdunhideused1 \lsdqformat1 \lsdlocked0 heading 5;\lsdsemihidden1 \lsdunhideused1 \lsdqformat1 \lsdlocked0 heading 6;\lsdsemihidden1 \lsdunhideused1 \lsdqformat1 \lsdlocked0 heading 7;&#13;&#10;\lsdsemihidden1 \lsdunhideused1 \lsdqformat1 \lsdlocked0 heading 8;\lsdsemihidden1 \lsdunhideused1 \lsdqformat1 \lsdlocked0 heading 9;\lsdsemihidden1 \lsdunhideused1 \lsdqformat1 \lsdlocked0 caption;\lsdqformat1 \lsdlocked0 Title;&#13;&#10;\lsdqformat1 \lsdlocked0 Subtitle;\lsdqformat1 \lsdlocked0 Strong;\lsdqformat1 \lsdlocked0 Emphasis;\lsdsemihidden1 \lsdpriority99 \lsdlocked0 Placeholder Text;\lsdqformat1 \lsdpriority1 \lsdlocked0 No Spacing;\lsdpriority60 \lsdlocked0 Light Shading;&#13;&#10;\lsdpriority61 \lsdlocked0 Light List;\lsdpriority62 \lsdlocked0 Light Grid;\lsdpriority63 \lsdlocked0 Medium Shading 1;\lsdpriority64 \lsdlocked0 Medium Shading 2;\lsdpriority65 \lsdlocked0 Medium List 1;\lsdpriority66 \lsdlocked0 Medium List 2;&#13;&#10;\lsdpriority67 \lsdlocked0 Medium Grid 1;\lsdpriority68 \lsdlocked0 Medium Grid 2;\lsdpriority69 \lsdlocked0 Medium Grid 3;\lsdpriority70 \lsdlocked0 Dark List;\lsdpriority71 \lsdlocked0 Colorful Shading;\lsdpriority72 \lsdlocked0 Colorful List;&#13;&#10;\lsdpriority73 \lsdlocked0 Colorful Grid;\lsdpriority60 \lsdlocked0 Light Shading Accent 1;\lsdpriority61 \lsdlocked0 Light List Accent 1;\lsdpriority62 \lsdlocked0 Light Grid Accent 1;\lsdpriority63 \lsdlocked0 Medium Shading 1 Accent 1;&#13;&#10;\lsdpriority64 \lsdlocked0 Medium Shading 2 Accent 1;\lsdpriority65 \lsdlocked0 Medium List 1 Accent 1;\lsdsemihidden1 \lsdpriority99 \lsdlocked0 Revision;\lsdqformat1 \lsdpriority34 \lsdlocked0 List Paragraph;&#13;&#10;\lsdqformat1 \lsdpriority29 \lsdlocked0 Quote;\lsdqformat1 \lsdpriority30 \lsdlocked0 Intense Quote;\lsdpriority66 \lsdlocked0 Medium List 2 Accent 1;\lsdpriority67 \lsdlocked0 Medium Grid 1 Accent 1;\lsdpriority68 \lsdlocked0 Medium Grid 2 Accent 1;&#13;&#10;\lsdpriority69 \lsdlocked0 Medium Grid 3 Accent 1;\lsdpriority70 \lsdlocked0 Dark List Accent 1;\lsdpriority71 \lsdlocked0 Colorful Shading Accent 1;\lsdpriority72 \lsdlocked0 Colorful List Accent 1;\lsdpriority73 \lsdlocked0 Colorful Grid Accent 1;&#13;&#10;\lsdpriority60 \lsdlocked0 Light Shading Accent 2;\lsdpriority61 \lsdlocked0 Light List Accent 2;\lsdpriority62 \lsdlocked0 Light Grid Accent 2;\lsdpriority63 \lsdlocked0 Medium Shading 1 Accent 2;\lsdpriority64 \lsdlocked0 Medium Shading 2 Accent 2;&#13;&#10;\lsdpriority65 \lsdlocked0 Medium List 1 Accent 2;\lsdpriority66 \lsdlocked0 Medium List 2 Accent 2;\lsdpriority67 \lsdlocked0 Medium Grid 1 Accent 2;\lsdpriority68 \lsdlocked0 Medium Grid 2 Accent 2;\lsdpriority69 \lsdlocked0 Medium Grid 3 Accent 2;&#13;&#10;\lsdpriority70 \lsdlocked0 Dark List Accent 2;\lsdpriority71 \lsdlocked0 Colorful Shading Accent 2;\lsdpriority72 \lsdlocked0 Colorful List Accent 2;\lsdpriority73 \lsdlocked0 Colorful Grid Accent 2;\lsdpriority60 \lsdlocked0 Light Shading Accent 3;&#13;&#10;\lsdpriority61 \lsdlocked0 Light List Accent 3;\lsdpriority62 \lsdlocked0 Light Grid Accent 3;\lsdpriority63 \lsdlocked0 Medium Shading 1 Accent 3;\lsdpriority64 \lsdlocked0 Medium Shading 2 Accent 3;\lsdpriority65 \lsdlocked0 Medium List 1 Accent 3;&#13;&#10;\lsdpriority66 \lsdlocked0 Medium List 2 Accent 3;\lsdpriority67 \lsdlocked0 Medium Grid 1 Accent 3;\lsdpriority68 \lsdlocked0 Medium Grid 2 Accent 3;\lsdpriority69 \lsdlocked0 Medium Grid 3 Accent 3;\lsdpriority70 \lsdlocked0 Dark List Accent 3;&#13;&#10;\lsdpriority71 \lsdlocked0 Colorful Shading Accent 3;\lsdpriority72 \lsdlocked0 Colorful List Accent 3;\lsdpriority73 \lsdlocked0 Colorful Grid Accent 3;\lsdpriority60 \lsdlocked0 Light Shading Accent 4;\lsdpriority61 \lsdlocked0 Light List Accent 4;&#13;&#10;\lsdpriority62 \lsdlocked0 Light Grid Accent 4;\lsdpriority63 \lsdlocked0 Medium Shading 1 Accent 4;\lsdpriority64 \lsdlocked0 Medium Shading 2 Accent 4;\lsdpriority65 \lsdlocked0 Medium List 1 Accent 4;\lsdpriority66 \lsdlocked0 Medium List 2 Accent 4;&#13;&#10;\lsdpriority67 \lsdlocked0 Medium Grid 1 Accent 4;\lsdpriority68 \lsdlocked0 Medium Grid 2 Accent 4;\lsdpriority69 \lsdlocked0 Medium Grid 3 Accent 4;\lsdpriority70 \lsdlocked0 Dark List Accent 4;\lsdpriority71 \lsdlocked0 Colorful Shading Accent 4;&#13;&#10;\lsdpriority72 \lsdlocked0 Colorful List Accent 4;\lsdpriority73 \lsdlocked0 Colorful Grid Accent 4;\lsdpriority60 \lsdlocked0 Light Shading Accent 5;\lsdpriority61 \lsdlocked0 Light List Accent 5;\lsdpriority62 \lsdlocked0 Light Grid Accent 5;&#13;&#10;\lsdpriority63 \lsdlocked0 Medium Shading 1 Accent 5;\lsdpriority64 \lsdlocked0 Medium Shading 2 Accent 5;\lsdpriority65 \lsdlocked0 Medium List 1 Accent 5;\lsdpriority66 \lsdlocked0 Medium List 2 Accent 5;&#13;&#10;\lsdpriority67 \lsdlocked0 Medium Grid 1 Accent 5;\lsdpriority68 \lsdlocked0 Medium Grid 2 Accent 5;\lsdpriority69 \lsdlocked0 Medium Grid 3 Accent 5;\lsdpriority70 \lsdlocked0 Dark List Accent 5;\lsdpriority71 \lsdlocked0 Colorful Shading Accent 5;&#13;&#10;\lsdpriority72 \lsdlocked0 Colorful List Accent 5;\lsdpriority73 \lsdlocked0 Colorful Grid Accent 5;\lsdpriority60 \lsdlocked0 Light Shading Accent 6;\lsdpriority61 \lsdlocked0 Light List Accent 6;\lsdpriority62 \lsdlocked0 Light Grid Accent 6;&#13;&#10;\lsdpriority63 \lsdlocked0 Medium Shading 1 Accent 6;\lsdpriority64 \lsdlocked0 Medium Shading 2 Accent 6;\lsdpriority65 \lsdlocked0 Medium List 1 Accent 6;\lsdpriority66 \lsdlocked0 Medium List 2 Accent 6;&#13;&#10;\lsdpriority67 \lsdlocked0 Medium Grid 1 Accent 6;\lsdpriority68 \lsdlocked0 Medium Grid 2 Accent 6;\lsdpriority69 \lsdlocked0 Medium Grid 3 Accent 6;\lsdpriority70 \lsdlocked0 Dark List Accent 6;\lsdpriority71 \lsdlocked0 Colorful Shading Accent 6;&#13;&#10;\lsdpriority72 \lsdlocked0 Colorful List Accent 6;\lsdpriority73 \lsdlocked0 Colorful Grid Accent 6;\lsdqformat1 \lsdpriority19 \lsdlocked0 Subtle Emphasis;\lsdqformat1 \lsdpriority21 \lsdlocked0 Intense Emphasis;&#13;&#10;\lsdqformat1 \lsdpriority31 \lsdlocked0 Subtle Reference;\lsdqformat1 \lsdpriority32 \lsdlocked0 Intense Reference;\lsdqformat1 \lsdpriority33 \lsdlocked0 Book Title;\lsdsemihidden1 \lsdunhideused1 \lsdpriority37 \lsdlocked0 Bibliography;&#13;&#10;\lsdsemihidden1 \lsdunhideused1 \lsdqformat1 \lsdpriority39 \lsdlocked0 TOC Heading;}}{\*\datastore 0105000002000000180000004d73786d6c322e534158584d4c5265616465722e362e3000000000000000000000060000&#13;&#10;d0cf11e0a1b11ae1000000000000000000000000000000003e000300feff090006000000000000000000000001000000010000000000000000100000feffffff00000000feffffff0000000000000000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dfffffffe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52006f006f007400200045006e00740072007900000000000000000000000000000000000000000000000000000000000000000000000000000000000000000016000500ffffffffffffffffffffffff0c6ad98892f1d411a65f0040963251e500000000000000000000000040b8&#13;&#10;88089389d001feffffff00000000000000000000000000000000000000000000000000000000000000000000000000000000000000000000000000000000000000000000000000000000000000000000000000000000ffffffffffffffffffffffff00000000000000000000000000000000000000000000000000000000&#13;&#10;00000000000000000000000000000000000000000000000000000000000000000000000000000000000000000000000000000000000000000000000000000000000000000000000000000000000000000000000000000000ffffffffffffffffffffffff0000000000000000000000000000000000000000000000000000&#13;&#10;000000000000000000000000000000000000000000000000000000000000000000000000000000000000000000000000000000000000000000000000000000000000000000000000000000000000000000000000000000000000ffffffffffffffffffffffff000000000000000000000000000000000000000000000000&#13;&#10;0000000000000000000000000000000000000000000000000105000000000000}}"/>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sz w:val="24"/>
      <w:szCs w:val="24"/>
    </w:rPr>
  </w:style>
  <w:style w:type="paragraph" w:styleId="BalloonText">
    <w:name w:val="Balloon Text"/>
    <w:basedOn w:val="Normal"/>
    <w:link w:val="BalloonTextChar"/>
    <w:rsid w:val="00D7732B"/>
    <w:rPr>
      <w:rFonts w:ascii="Tahoma" w:hAnsi="Tahoma" w:cs="Tahoma"/>
      <w:sz w:val="16"/>
      <w:szCs w:val="16"/>
    </w:rPr>
  </w:style>
  <w:style w:type="character" w:customStyle="1" w:styleId="BalloonTextChar">
    <w:name w:val="Balloon Text Char"/>
    <w:basedOn w:val="DefaultParagraphFont"/>
    <w:link w:val="BalloonText"/>
    <w:rsid w:val="00D7732B"/>
    <w:rPr>
      <w:rFonts w:ascii="Tahoma" w:hAnsi="Tahoma" w:cs="Tahoma"/>
      <w:sz w:val="16"/>
      <w:szCs w:val="16"/>
    </w:rPr>
  </w:style>
  <w:style w:type="character" w:customStyle="1" w:styleId="BalloonTextChar0">
    <w:name w:val="Balloon Text Char_0"/>
    <w:basedOn w:val="DefaultParagraphFont"/>
    <w:link w:val="BalloonText0"/>
    <w:rsid w:val="00D7732B"/>
    <w:rPr>
      <w:rFonts w:ascii="Tahoma" w:hAnsi="Tahoma" w:cs="Tahoma"/>
      <w:sz w:val="16"/>
      <w:szCs w:val="16"/>
    </w:rPr>
  </w:style>
  <w:style w:type="paragraph" w:customStyle="1" w:styleId="BalloonText0">
    <w:name w:val="Balloon Text_0"/>
    <w:basedOn w:val="Normal"/>
    <w:link w:val="BalloonTextChar0"/>
    <w:rsid w:val="00D7732B"/>
    <w:rPr>
      <w:rFonts w:ascii="Tahoma" w:hAnsi="Tahoma" w:cs="Tahoma"/>
      <w:sz w:val="16"/>
      <w:szCs w:val="16"/>
    </w:rPr>
  </w:style>
  <w:style w:type="character" w:customStyle="1" w:styleId="Bold">
    <w:name w:val="Bold"/>
    <w:uiPriority w:val="1"/>
    <w:qFormat/>
    <w:rsid w:val="001F3CAD"/>
    <w:rPr>
      <w:rFonts w:ascii="Times New Roman" w:hAnsi="Times New Roman"/>
      <w:b/>
      <w:sz w:val="24"/>
      <w:lang w:val="fr-FR"/>
    </w:rPr>
  </w:style>
  <w:style w:type="character" w:customStyle="1" w:styleId="BoldItalic">
    <w:name w:val="BoldItalic"/>
    <w:uiPriority w:val="1"/>
    <w:qFormat/>
    <w:rsid w:val="00BF36FD"/>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sz w:val="24"/>
      <w:szCs w:val="24"/>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sz w:val="24"/>
      <w:szCs w:val="24"/>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next w:val="DefaultParagraphFont"/>
    <w:uiPriority w:val="1"/>
    <w:semiHidden/>
    <w:unhideWhenUsed/>
  </w:style>
  <w:style w:type="paragraph" w:customStyle="1" w:styleId="EPLogo">
    <w:name w:val="EPLogo"/>
    <w:basedOn w:val="Normal"/>
    <w:qFormat/>
    <w:rsid w:val="00D7732B"/>
    <w:pPr>
      <w:widowControl w:val="0"/>
      <w:jc w:val="right"/>
    </w:pPr>
    <w:rPr>
      <w:sz w:val="24"/>
      <w:szCs w:val="20"/>
    </w:rPr>
  </w:style>
  <w:style w:type="paragraph" w:customStyle="1" w:styleId="EPName">
    <w:name w:val="EPName"/>
    <w:basedOn w:val="Normal"/>
    <w:rsid w:val="00D7732B"/>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D7732B"/>
    <w:pPr>
      <w:widowControl w:val="0"/>
      <w:spacing w:after="80"/>
    </w:pPr>
    <w:rPr>
      <w:rFonts w:ascii="Arial" w:hAnsi="Arial" w:cs="Arial"/>
      <w:sz w:val="20"/>
      <w:szCs w:val="22"/>
      <w:lang w:val="fr-FR"/>
    </w:rPr>
  </w:style>
  <w:style w:type="character" w:customStyle="1" w:styleId="FootNoteMarker">
    <w:name w:val="FootNoteMarker"/>
    <w:rPr>
      <w:color w:val="000000"/>
      <w:vertAlign w:val="superscript"/>
    </w:rPr>
  </w:style>
  <w:style w:type="paragraph" w:styleId="Footer">
    <w:name w:val="footer"/>
    <w:rsid w:val="00EC60CE"/>
    <w:pPr>
      <w:tabs>
        <w:tab w:val="center" w:pos="4536"/>
        <w:tab w:val="right" w:pos="9072"/>
      </w:tabs>
      <w:spacing w:before="0" w:after="0"/>
    </w:pPr>
    <w:rPr>
      <w:color w:val="000000"/>
      <w:sz w:val="22"/>
      <w:szCs w:val="24"/>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rsid w:val="00A801F5"/>
    <w:pPr>
      <w:tabs>
        <w:tab w:val="center" w:pos="4535"/>
        <w:tab w:val="right" w:pos="9923"/>
      </w:tabs>
      <w:spacing w:after="240"/>
      <w:ind w:left="-851"/>
    </w:pPr>
    <w:rPr>
      <w:rFonts w:ascii="Arial" w:eastAsia="Arial" w:hAnsi="Arial" w:cs="Arial"/>
      <w:b/>
      <w:color w:val="000000"/>
      <w:sz w:val="48"/>
      <w:szCs w:val="24"/>
    </w:rPr>
  </w:style>
  <w:style w:type="paragraph" w:customStyle="1" w:styleId="Footer2Landscape">
    <w:name w:val="Footer2Landscape"/>
    <w:qFormat/>
    <w:rsid w:val="00126EF9"/>
    <w:pPr>
      <w:tabs>
        <w:tab w:val="center" w:pos="4535"/>
        <w:tab w:val="center" w:pos="6804"/>
        <w:tab w:val="clear" w:pos="9923"/>
        <w:tab w:val="center" w:pos="13608"/>
      </w:tabs>
      <w:spacing w:after="240"/>
      <w:ind w:left="-851"/>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C75EBA"/>
    <w:pPr>
      <w:tabs>
        <w:tab w:val="clear" w:pos="4536"/>
        <w:tab w:val="center" w:pos="6804"/>
        <w:tab w:val="clear" w:pos="9072"/>
        <w:tab w:val="center" w:pos="13608"/>
      </w:tabs>
      <w:spacing w:before="0" w:after="0"/>
    </w:pPr>
    <w:rPr>
      <w:color w:val="000000"/>
      <w:sz w:val="22"/>
      <w:szCs w:val="24"/>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b w:val="0"/>
      <w:caps w:val="0"/>
      <w:vanish/>
      <w:color w:val="808080"/>
      <w:sz w:val="24"/>
    </w:rPr>
  </w:style>
  <w:style w:type="character" w:customStyle="1" w:styleId="Italic">
    <w:name w:val="Italic"/>
    <w:uiPriority w:val="1"/>
    <w:qFormat/>
    <w:rsid w:val="004576CA"/>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szCs w:val="24"/>
    </w:rPr>
  </w:style>
  <w:style w:type="paragraph" w:customStyle="1" w:styleId="LineTop">
    <w:name w:val="LineTop"/>
    <w:basedOn w:val="Normal"/>
    <w:pPr>
      <w:pBdr>
        <w:top w:val="single" w:sz="4" w:space="0" w:color="auto"/>
      </w:pBdr>
      <w:jc w:val="center"/>
    </w:pPr>
    <w:rPr>
      <w:rFonts w:ascii="Arial" w:eastAsia="Arial" w:hAnsi="Arial" w:cs="Arial"/>
      <w:color w:val="000000"/>
      <w:sz w:val="16"/>
      <w:szCs w:val="24"/>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sid w:val="00EC60CE"/>
    <w:rPr>
      <w:sz w:val="24"/>
      <w:szCs w:val="24"/>
    </w:rPr>
  </w:style>
  <w:style w:type="paragraph" w:customStyle="1" w:styleId="Normal12">
    <w:name w:val="Normal12"/>
    <w:basedOn w:val="Normal"/>
    <w:pPr>
      <w:spacing w:after="240"/>
    </w:pPr>
    <w:rPr>
      <w:color w:val="000000"/>
      <w:sz w:val="24"/>
      <w:szCs w:val="24"/>
    </w:rPr>
  </w:style>
  <w:style w:type="paragraph" w:customStyle="1" w:styleId="Normal12Italic">
    <w:name w:val="Normal12Italic"/>
    <w:pPr>
      <w:spacing w:after="240"/>
    </w:pPr>
    <w:rPr>
      <w:i/>
      <w:color w:val="000000"/>
      <w:sz w:val="24"/>
      <w:szCs w:val="24"/>
    </w:rPr>
  </w:style>
  <w:style w:type="paragraph" w:customStyle="1" w:styleId="Normal12a12b">
    <w:name w:val="Normal12a12b"/>
    <w:basedOn w:val="Normal"/>
    <w:pPr>
      <w:spacing w:before="240" w:after="240"/>
    </w:pPr>
    <w:rPr>
      <w:color w:val="000000"/>
      <w:sz w:val="24"/>
      <w:szCs w:val="24"/>
    </w:rPr>
  </w:style>
  <w:style w:type="paragraph" w:customStyle="1" w:styleId="Normal24">
    <w:name w:val="Normal24"/>
    <w:basedOn w:val="Normal"/>
    <w:pPr>
      <w:spacing w:after="480"/>
    </w:pPr>
    <w:rPr>
      <w:color w:val="000000"/>
      <w:sz w:val="24"/>
      <w:szCs w:val="24"/>
    </w:rPr>
  </w:style>
  <w:style w:type="paragraph" w:customStyle="1" w:styleId="Normal6">
    <w:name w:val="Normal6"/>
    <w:basedOn w:val="Normal"/>
    <w:pPr>
      <w:spacing w:after="120"/>
    </w:pPr>
    <w:rPr>
      <w:color w:val="000000"/>
      <w:sz w:val="24"/>
      <w:szCs w:val="24"/>
    </w:rPr>
  </w:style>
  <w:style w:type="paragraph" w:customStyle="1" w:styleId="Normal6Italic">
    <w:name w:val="Normal6Italic"/>
    <w:basedOn w:val="Normal"/>
    <w:pPr>
      <w:spacing w:after="120"/>
    </w:pPr>
    <w:rPr>
      <w:i/>
      <w:color w:val="000000"/>
      <w:sz w:val="24"/>
      <w:szCs w:val="24"/>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sz w:val="24"/>
      <w:szCs w:val="24"/>
    </w:rPr>
  </w:style>
  <w:style w:type="paragraph" w:customStyle="1" w:styleId="NormalBold12b">
    <w:name w:val="NormalBold12b"/>
    <w:basedOn w:val="Normal"/>
    <w:pPr>
      <w:spacing w:before="240"/>
    </w:pPr>
    <w:rPr>
      <w:b/>
      <w:color w:val="000000"/>
      <w:sz w:val="24"/>
      <w:szCs w:val="24"/>
    </w:rPr>
  </w:style>
  <w:style w:type="paragraph" w:customStyle="1" w:styleId="Olang">
    <w:name w:val="Olang"/>
    <w:pPr>
      <w:spacing w:before="240" w:after="240"/>
      <w:jc w:val="right"/>
    </w:pPr>
    <w:rPr>
      <w:color w:val="000000"/>
      <w:sz w:val="24"/>
      <w:szCs w:val="24"/>
    </w:rPr>
  </w:style>
  <w:style w:type="paragraph" w:customStyle="1" w:styleId="RefPE">
    <w:name w:val="RefPE"/>
    <w:basedOn w:val="Normal"/>
    <w:rsid w:val="00A92086"/>
    <w:pPr>
      <w:spacing w:after="240"/>
      <w:jc w:val="right"/>
    </w:pPr>
    <w:rPr>
      <w:rFonts w:ascii="Arial" w:hAnsi="Arial"/>
      <w:b/>
      <w:sz w:val="24"/>
      <w:szCs w:val="24"/>
    </w:rPr>
  </w:style>
  <w:style w:type="paragraph" w:customStyle="1" w:styleId="RefProc">
    <w:name w:val="RefProc"/>
    <w:basedOn w:val="Normal"/>
    <w:pPr>
      <w:spacing w:after="240"/>
      <w:jc w:val="right"/>
    </w:pPr>
    <w:rPr>
      <w:rFonts w:ascii="Arial" w:eastAsia="Arial" w:hAnsi="Arial" w:cs="Arial"/>
      <w:b/>
      <w:caps/>
      <w:color w:val="000000"/>
      <w:sz w:val="22"/>
      <w:szCs w:val="24"/>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b w:val="0"/>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ypeDocAM">
    <w:name w:val="TypeDocAM"/>
    <w:basedOn w:val="Normal"/>
    <w:pPr>
      <w:ind w:left="1418"/>
    </w:pPr>
    <w:rPr>
      <w:rFonts w:ascii="Arial" w:eastAsia="Arial" w:hAnsi="Arial" w:cs="Arial"/>
      <w:b/>
      <w:color w:val="000000"/>
      <w:sz w:val="48"/>
      <w:szCs w:val="24"/>
    </w:rPr>
  </w:style>
  <w:style w:type="character" w:customStyle="1" w:styleId="Underline">
    <w:name w:val="Underline"/>
    <w:uiPriority w:val="1"/>
    <w:qFormat/>
    <w:rsid w:val="001F3CAD"/>
    <w:rPr>
      <w:rFonts w:ascii="Times New Roman" w:hAnsi="Times New Roman"/>
      <w:sz w:val="24"/>
      <w:u w:val="single"/>
    </w:rPr>
  </w:style>
  <w:style w:type="paragraph" w:customStyle="1" w:styleId="ZCommittee">
    <w:name w:val="ZCommittee"/>
    <w:basedOn w:val="Normal"/>
    <w:next w:val="Normal"/>
    <w:pPr>
      <w:spacing w:line="220" w:lineRule="auto"/>
      <w:jc w:val="center"/>
    </w:pPr>
    <w:rPr>
      <w:rFonts w:ascii="Arial" w:eastAsia="Arial" w:hAnsi="Arial" w:cs="Arial"/>
      <w:i/>
      <w:color w:val="000000"/>
      <w:sz w:val="22"/>
      <w:szCs w:val="24"/>
    </w:rPr>
  </w:style>
  <w:style w:type="paragraph" w:customStyle="1" w:styleId="ZDate">
    <w:name w:val="ZDate"/>
    <w:basedOn w:val="Normal"/>
    <w:pPr>
      <w:spacing w:after="168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AM_Com_NonLegOpinion</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1112251</vt:lpwstr>
  </property>
  <property fmtid="{D5CDD505-2E9C-101B-9397-08002B2CF9AE}" pid="4" name="&lt;FooterPath&gt;">
    <vt:lpwstr>AM\1112251EN.doc</vt:lpwstr>
  </property>
  <property fmtid="{D5CDD505-2E9C-101B-9397-08002B2CF9AE}" pid="5" name="&lt;Model&gt;">
    <vt:lpwstr>AM_Com_NonLegOpinion</vt:lpwstr>
  </property>
  <property fmtid="{D5CDD505-2E9C-101B-9397-08002B2CF9AE}" pid="6" name="&lt;Type&gt;">
    <vt:lpwstr>AM</vt:lpwstr>
  </property>
  <property fmtid="{D5CDD505-2E9C-101B-9397-08002B2CF9AE}" pid="7" name="DMXMLUID">
    <vt:lpwstr>20161221-111750-159081-950178</vt:lpwstr>
  </property>
  <property fmtid="{D5CDD505-2E9C-101B-9397-08002B2CF9AE}" pid="8" name="PE Number">
    <vt:lpwstr>595.625</vt:lpwstr>
  </property>
  <property fmtid="{D5CDD505-2E9C-101B-9397-08002B2CF9AE}" pid="9" name="UID">
    <vt:lpwstr>eu.europa.europarl-DIN1-2016-0000085471_02.00-en-01.00_text-xml</vt:lpwstr>
  </property>
</Properties>
</file>