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17"/>
          <w:jc w:val="center"/>
        </w:trPr>
        <w:tc>
          <w:tcPr>
            <w:vAlign w:val="center"/>
          </w:tcPr>
          <w:p w:rsidR="00A77B3E">
            <w:pPr>
              <w:pStyle w:val="EPName"/>
            </w:pPr>
            <w:r>
              <w:t>Parlament Ewropew</w:t>
            </w:r>
          </w:p>
          <w:p>
            <w:pPr>
              <w:pStyle w:val="EPTerm"/>
            </w:pPr>
            <w:r>
              <w:t>2014-2019</w:t>
            </w:r>
          </w:p>
        </w:tc>
        <w:tc>
          <w:tcPr/>
          <w:p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51.02pt;width:91.56pt">
                  <v:imagedata r:id="rId4" o:title=""/>
                </v:shape>
              </w:pict>
            </w:r>
          </w:p>
        </w:tc>
      </w:tr>
    </w:tbl>
    <w:p w:rsidR="00A77B3E">
      <w:pPr>
        <w:pStyle w:val="LineTop"/>
      </w:pPr>
    </w:p>
    <w:p>
      <w:pPr>
        <w:pStyle w:val="ZCommittee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{TRAN}</w:t>
      </w:r>
      <w:r>
        <w:t>Kumitat għat-Trasport u t-Turiżmu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RefProc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2016/2195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(DEC)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Z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06/02/2017</w:t>
      </w:r>
      <w:r>
        <w:rPr>
          <w:rStyle w:val="HideTWBInt"/>
        </w:rPr>
        <w:t>}</w:t>
      </w:r>
      <w:r>
        <w:t>6.2.2017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TypeDocAM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EMENDI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NRAMS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</w:t>
      </w:r>
      <w:r>
        <w:t xml:space="preserve"> - 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Claudia Schmidt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24"/>
      </w:pPr>
      <w:r>
        <w:t>(</w:t>
      </w:r>
      <w:r>
        <w:t>PE595.623v01-00</w:t>
      </w:r>
      <w:r>
        <w:t>)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Kwittanza 2015: Impriża konġunta - is-Sikurezza fin-Navigazzjoni bl-Ajru (SESAR)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2016/2195(DEC)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Pavel Telička</w:t>
      </w:r>
      <w:r>
        <w:t xml:space="preserve">, </w:t>
      </w:r>
      <w:r>
        <w:t>Dominique Riquet</w:t>
      </w:r>
      <w:r>
        <w:t xml:space="preserve">, </w:t>
      </w:r>
      <w:r>
        <w:t>Jozo Radoš</w:t>
      </w:r>
      <w:r>
        <w:t xml:space="preserve">, </w:t>
      </w:r>
      <w:r>
        <w:t>Matthijs van Miltenburg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4a.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Jirrimarka li biex tiġi żgurata l-implimentazzjoni xierqa tal-proġett SESAR, u fl-interess li tinkiseb l-interoperabbiltà globali, għandu jiġi allokat baġit speċifiku u ambizzjuż, apparti l-Faċilità Nikkollegaw l-Ewropa (CEF), għall-implimentazzjoni tagħha;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Jill Seymour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5.</w:t>
            </w:r>
            <w:r>
              <w:tab/>
            </w:r>
            <w:r>
              <w:t>Jiddispjaċih ħafna li, peress li l-ftehim imġedded Eurocontrol/Impriża Konġunta SESAR ma ġiex iffirmat fl-2015, ma kienx possibbli li jintwera baġit għal kontributi in natura, baġit pluriennali dettaljat jew rapport dwar l-implimentazzjoni tiegħu minbarra l-kontribuzzjoni tal-Unjoni ta' EUR 585 miljun kif stabbilit fl-emenda tal-2014 tar-Regolament dwar l-Impriża;</w:t>
            </w:r>
          </w:p>
        </w:tc>
        <w:tc>
          <w:tcPr/>
          <w:p>
            <w:pPr>
              <w:pStyle w:val="Normal6"/>
            </w:pPr>
            <w:r>
              <w:t>5.</w:t>
            </w:r>
            <w:r>
              <w:tab/>
            </w:r>
            <w:r>
              <w:t xml:space="preserve">Jiddispjaċih ħafna li, peress li l-ftehim imġedded Eurocontrol/Impriża Konġunta SESAR ma ġiex iffirmat fl-2015, ma kienx possibbli li jintwera baġit għal kontributi in natura, baġit pluriennali dettaljat jew rapport dwar l-implimentazzjoni tiegħu minbarra l-kontribuzzjoni tal-Unjoni ta' EUR 585 miljun kif stabbilit fl-emenda tal-2014 tar-Regolament dwar l-Impriża;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jinsisti li tiġi ppreżentata lill-Parlament minnufih, raġuni għaliex il-ftehim imġedded tal-Eurocontrol/ Impriża Konġunta SESAR ma ġiex iffirmat;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Marie-Christine Arnautu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Jilqa' l-fatt</w:t>
            </w:r>
            <w:r>
              <w:t xml:space="preserve"> li l-Impriża fl-2015 ħolqot strateġija tagħha stess kontra l-frodi, f'konformità mal-metodoloġija pprovduta mill-Kummissjoni Ewropea, kif ukoll pjan ta' azzjoni li jqis ir-riżultati tal-valutazzjoni tar-riskju kontra l-frodi mwettqa fl-2015;</w:t>
            </w:r>
          </w:p>
        </w:tc>
        <w:tc>
          <w:tcPr/>
          <w:p>
            <w:pPr>
              <w:pStyle w:val="Normal6"/>
            </w:pPr>
            <w:r>
              <w:t>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Jinnota</w:t>
            </w:r>
            <w:r>
              <w:t xml:space="preserve"> li l-Impriża fl-2015 ħolqot strateġija tagħha stess kontra l-frodi, f'konformità mal-metodoloġija pprovduta mill-Kummissjoni Ewropea, kif ukoll pjan ta' azzjoni li jqis ir-riżultati tal-valutazzjoni tar-riskju kontra l-frodi mwettqa fl-2015;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jiddispjaċih li l-Qorti tal-Awdituri ma tagħtix dettalji dwar it-tip u l-effikaċja tal-proċedura stbbbilita;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Marie-Christine Arnautu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7.</w:t>
            </w:r>
            <w:r>
              <w:tab/>
            </w:r>
            <w:r>
              <w:t>Jinnota li l-Bord Amministrattiv adotta f'Diċembru 2015 il-Pjan Regolatorju tal-ATM (Edizzjoni tal-2015) li jkopri kemm l-iżvilupp kif ukoll l-implimentazzjoni ta' SESAR; jilqa' l-iżvilupp ta' viżjoni 2035 + għal SESAR, li tistabbilixxi ambizzjonijiet aspirazzjonali tal-prestazzjoni u prospetti kummerċjali preliminari;</w:t>
            </w:r>
          </w:p>
        </w:tc>
        <w:tc>
          <w:tcPr/>
          <w:p>
            <w:pPr>
              <w:pStyle w:val="Normal6"/>
            </w:pPr>
            <w:r>
              <w:t>7.</w:t>
            </w:r>
            <w:r>
              <w:tab/>
            </w:r>
            <w:r>
              <w:t>Jinnota li l-Bord Amministrattiv adotta f'Diċembru 2015 il-Pjan Regolatorju tal-ATM (Edizzjoni tal-2015) li jkopri kemm l-iżvilupp kif ukoll l-implimentazzjoni ta' SESAR; jilqa' l-iżvilupp ta' viżjoni 2035 + għal SESAR, li tistabbilixxi ambizzjonijiet aspirazzjonali tal-prestazzjoni u prospetti kummerċjali preliminari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fit-tul, iżda jibqa' mħasseb dwar il-konsegwenzi soċjali ta' deċiżjonijiet meħuda fil-livell Ewropew li jaffettwaw kategoriji okkupazzjonali fi ħdan in-navigazzjoni bl-ajru, b'mod partikolari l-kontrolluri tat-traffiku; jilmenta dwar il-fatt li r-rapport dwar l-impatt soċjoekonomiku tas-SESAR, mitlub mill-Parlament fl-2015 u l-2016, għadu biss fl-istadju ta' abbozz; jistieden lill-Impriża Konġunta tippreżenta lill-awtorità ta' kwittanza r-rapport imsemmi hawn fuq</w:t>
            </w:r>
            <w:r>
              <w:t>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Marie-Christine Arnautu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Jilqa'</w:t>
            </w:r>
            <w:r>
              <w:t xml:space="preserve"> t-twettiq b'suċċess tal-ħidma mitluba mill-Kummissjoni Ewropea fir-rigward tal-fażi tad-definizzjoni tas-Sistemi ta' Inġenji tal-Ajru Ppilotati mill-Bogħod (RPAS); jenfasizza l-importanza ta' ftehim preliminari mal-industrija tal-avjazzjoni f'livell usa' fuq l-integrazzjoni sikura tad-drones fl-ispazju tal-ajru ċivili; jinnota wkoll li f'Diċembru 2015 beda x-xogħol fuq "Drones Outlook Study" (studju dwar il-prospetti tad-drones) li hu maħsub biex jifforma l-bażi għall-kopertura xierqa tal-attivitajiet tal-RPAS fil-Pjan Regolatorju tal-ATM;</w:t>
            </w:r>
          </w:p>
        </w:tc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Jinnota</w:t>
            </w:r>
            <w:r>
              <w:t xml:space="preserve"> t-twettiq b'suċċess tal-ħidma mitluba mill-Kummissjoni Ewropea fir-rigward tal-fażi tad-definizzjoni tas-Sistemi ta' Inġenji tal-Ajru Ppilotati mill-Bogħod (RPAS); jenfasizza l-importanza ta' ftehim preliminari mal-industrija tal-avjazzjoni f'livell usa'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u l-awtoritajiet ta' konformità nazzjonali</w:t>
            </w:r>
            <w:r>
              <w:t xml:space="preserve"> fuq l-integrazzjoni sikura tad-drones fl-ispazju tal-ajru ċivili; jinnota wkoll li f'Diċembru 2015 beda x-xogħol fuq "Drones Outlook Study" (studju dwar il-prospetti tad-drones) li hu maħsub biex jifforma l-bażi għall-kopertura xierqa tal-attivitajiet tal-RPAS fil-Pjan Regolatorju tal-ATM;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Pavel Telička</w:t>
      </w:r>
      <w:r>
        <w:t xml:space="preserve">, </w:t>
      </w:r>
      <w:r>
        <w:t>Dominique Riquet</w:t>
      </w:r>
      <w:r>
        <w:t xml:space="preserve">, </w:t>
      </w:r>
      <w:r>
        <w:t>Jozo Radoš</w:t>
      </w:r>
      <w:r>
        <w:t xml:space="preserve">, </w:t>
      </w:r>
      <w:r>
        <w:t>Matthijs van Miltenburg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t xml:space="preserve">Jilqa' t-twettiq b'suċċess tal-ħidma mitluba mill-Kummissjoni Ewropea fir-rigward tal-fażi tad-definizzjoni tas-Sistemi ta' Inġenji tal-Ajru Ppilotati mill-Bogħod (RPAS); jenfasizza l-importanza ta' ftehim preliminari mal-industrija tal-avjazzjoni f'livell usa' fuq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l-integrazzjoni</w:t>
            </w:r>
            <w:r>
              <w:t xml:space="preserve"> sikura tad-drones fl-ispazju tal-ajru ċivili; jinnota wkoll li f'Diċembru 2015 beda x-xogħol fuq "Drones Outlook Study" (studju dwar il-prospetti tad-drones) li hu maħsub biex jifforma l-bażi għall-kopertura xierqa tal-attivitajiet tal-RPAS fil-Pjan Regolatorju tal-ATM;</w:t>
            </w:r>
          </w:p>
        </w:tc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t xml:space="preserve">Jilqa' t-twettiq b'suċċess tal-ħidma mitluba mill-Kummissjoni Ewropea fir-rigward tal-fażi tad-definizzjoni tas-Sistemi ta' Inġenji tal-Ajru Ppilotati mill-Bogħod (RPAS); jenfasizza l-importanza ta' ftehim preliminari mal-industrija tal-avjazzjoni f'livell usa' fuq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il-kundizzjonijiet ta' integrazzjoni</w:t>
            </w:r>
            <w:r>
              <w:t xml:space="preserve"> sikura tad-drones fl-ispazju tal-ajru ċivili; jinnota wkoll li f'Diċembru 2015 beda x-xogħol fuq "Drones Outlook Study" (studju dwar il-prospetti tad-drones) li hu maħsub biex jifforma l-bażi għall-kopertura xierqa tal-attivitajiet tal-RPAS fil-Pjan Regolatorju tal-ATM;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Karima Delli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9.</w:t>
            </w:r>
            <w:r>
              <w:tab/>
            </w:r>
            <w:r>
              <w:t>Jilqa' l-fatt li fl-2015 l-Impriża adottat approċċ multidimensjonali biex tagħmel rieżami, tiġġestixxi u timmitiga r-riskji b'mod effettiv u li għandha mekkaniżmi ta' verifika li jippermettu l-prevenzjoni u l-ġestjoni xierqa tal-kunflitti ta' interess;</w:t>
            </w:r>
          </w:p>
        </w:tc>
        <w:tc>
          <w:tcPr/>
          <w:p>
            <w:pPr>
              <w:pStyle w:val="Normal6"/>
            </w:pPr>
            <w:r>
              <w:t>9.</w:t>
            </w:r>
            <w:r>
              <w:tab/>
            </w:r>
            <w:r>
              <w:t>Jilqa' l-fatt li fl-2015 l-Impriża adottat approċċ multidimensjonali biex tagħmel rieżami, tiġġestixxi u timmitiga r-riskji b'mod effettiv u li għandha mekkaniżmi ta' verifika li jippermettu l-prevenzjoni u l-ġestjoni xierqa tal-kunflitti ta' interess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u jistenna li l-Parlament Ewropew, il-Kunsill u l-pubbliku jiġu infurmati kull sena bir-riżultati u s-segwitu ta' dawn il-miżuri</w:t>
            </w:r>
            <w:r>
              <w:t>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Marie-Christine Arnautu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Jilqa'</w:t>
            </w:r>
            <w:r>
              <w:t xml:space="preserve"> l-fatt li fl-2015 l-Impriża adottat approċċ multidimensjonali biex tagħmel rieżami, tiġġestixxi u timmitiga r-riskji b'mod effettiv u li għandha mekkaniżmi ta' verifika li jippermettu l-prevenzjoni u l-ġestjoni xierqa tal-kunflitti ta' interess;</w:t>
            </w:r>
          </w:p>
        </w:tc>
        <w:tc>
          <w:tcPr/>
          <w:p>
            <w:pPr>
              <w:pStyle w:val="Normal6"/>
            </w:pPr>
            <w:r>
              <w:t>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Jinnota</w:t>
            </w:r>
            <w:r>
              <w:t xml:space="preserve"> l-fatt li fl-2015 l-Impriża adottat approċċ multidimensjonali biex tagħmel rieżami, tiġġestixxi u timmitiga r-riskji b'mod effettiv u li għandha mekkaniżmi ta' verifika li jippermettu l-prevenzjoni u l-ġestjoni xierqa tal-kunflitti ta' interess;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jiddispjaċih, madankollu, li l-Qorti tal-Awdituri għadha evażiva fejn jidħlu l-miżuri li ttieħdu, u l-bidliet mistennija, f'dak il-qasam;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Claudia Schmidt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11.</w:t>
            </w:r>
            <w:r>
              <w:tab/>
            </w:r>
            <w:r>
              <w:t xml:space="preserve">Jinnota r-riżultati tal-eżerċizzju ta' valutazzjoni komparattiva tar-Riżorsi Umani tal-2015: 54 % karigi operazzjonali,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47</w:t>
            </w:r>
            <w:r>
              <w:t> % karigi amministrattivi u 2 % karigi newtrali;</w:t>
            </w:r>
          </w:p>
        </w:tc>
        <w:tc>
          <w:tcPr/>
          <w:p>
            <w:pPr>
              <w:pStyle w:val="Normal6"/>
            </w:pPr>
            <w:r>
              <w:t>11.</w:t>
            </w:r>
            <w:r>
              <w:tab/>
            </w:r>
            <w:r>
              <w:t xml:space="preserve">Jinnota r-riżultati tal-eżerċizzju ta' valutazzjoni komparattiva tar-Riżorsi Umani tal-2015: 54 % karigi operazzjonali,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44</w:t>
            </w:r>
            <w:r>
              <w:t> % karigi amministrattivi u 2 % karigi newtrali;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DE</w:t>
      </w:r>
      <w:r>
        <w:rPr>
          <w:rStyle w:val="HideTWBInt"/>
        </w:rPr>
        <w:t>}</w:t>
      </w:r>
      <w:r>
        <w:t>de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Marie-Christine Arnautu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Abbozz ta' opinjoni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12.</w:t>
            </w:r>
            <w:r>
              <w:tab/>
            </w:r>
            <w:r>
              <w:t xml:space="preserve">Jenfasizza r-rwol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kruċjali</w:t>
            </w:r>
            <w:r>
              <w:t xml:space="preserve"> tal-Impriża fil-koordinazzjoni u l-implimentazzjoni tar-riċerka fil-proġett SESAR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li huwa proġett pilastru tal-Ajru Uniku</w:t>
            </w:r>
            <w:r>
              <w:t xml:space="preserve"> Ewropew;</w:t>
            </w:r>
          </w:p>
        </w:tc>
        <w:tc>
          <w:tcPr/>
          <w:p>
            <w:pPr>
              <w:pStyle w:val="Normal6"/>
            </w:pPr>
            <w:r>
              <w:t>12.</w:t>
            </w:r>
            <w:r>
              <w:tab/>
            </w:r>
            <w:r>
              <w:t xml:space="preserve">Jenfasizza r-rwol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importanti</w:t>
            </w:r>
            <w:r>
              <w:t xml:space="preserve"> tal-Impriża fil-koordinazzjoni u l-implimentazzjoni tar-riċerka fil-proġett SESAR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sabiex tiġi żgurata ġestjoni bla xkiel tal-ajru</w:t>
            </w:r>
            <w:r>
              <w:t xml:space="preserve"> Ewropew;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599.583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AM\1116319MT.docx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Footer2"/>
    </w:pPr>
    <w:r>
      <w:t>MT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AM\1116319MT.docx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599.583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ab/>
    </w:r>
    <w:r>
      <w:tab/>
    </w:r>
    <w:r>
      <w:t>MT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AM\1116319MT.docx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599.583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MT</w:t>
    </w:r>
    <w:r>
      <w:tab/>
    </w:r>
    <w:r>
      <w:rPr>
        <w:rStyle w:val="Footer2Middle"/>
      </w:rPr>
      <w:t>Magħquda fid-diversità</w:t>
    </w:r>
    <w:r>
      <w:tab/>
    </w:r>
    <w:r>
      <w:t>MT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ruik" w:val="value of gruik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248\fbidi \froman\fcharset238\fprq2 Times New Roman CE;}{\f249\fbidi \froman\fcharset204\fprq2 Times New Roman Cyr;}&#13;&#10;{\f251\fbidi \froman\fcharset161\fprq2 Times New Roman Greek;}{\f252\fbidi \froman\fcharset162\fprq2 Times New Roman Tur;}{\f253\fbidi \froman\fcharset177\fprq2 Times New Roman (Hebrew);}{\f254\fbidi \froman\fcharset178\fprq2 Times New Roman (Arabic);}&#13;&#10;{\f255\fbidi \froman\fcharset186\fprq2 Times New Roman Baltic;}{\f256\fbidi \froman\fcharset163\fprq2 Times New Roman (Vietnamese);}{\f258\fbidi \fswiss\fcharset238\fprq2 Arial CE;}{\f259\fbidi \fswiss\fcharset204\fprq2 Arial Cyr;}&#13;&#10;{\f261\fbidi \fswiss\fcharset161\fprq2 Arial Greek;}{\f262\fbidi \fswiss\fcharset162\fprq2 Arial Tur;}{\f263\fbidi \fswiss\fcharset177\fprq2 Arial (Hebrew);}{\f264\fbidi \fswiss\fcharset178\fprq2 Arial (Arabic);}&#13;&#10;{\f265\fbidi \fswiss\fcharset186\fprq2 Arial Baltic;}{\f266\fbidi \fswiss\fcharset163\fprq2 Arial (Vietnamese);}{\f588\fbidi \froman\fcharset238\fprq2 Cambria Math CE;}{\f589\fbidi \froman\fcharset204\fprq2 Cambria Math Cyr;}&#13;&#10;{\f591\fbidi \froman\fcharset161\fprq2 Cambria Math Greek;}{\f592\fbidi \froman\fcharset162\fprq2 Cambria Math Tur;}{\f595\fbidi \froman\fcharset186\fprq2 Cambria Math Baltic;}{\f596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3105041 HideTWBExt;}{\s16\qr \li0\ri0\sb240\sa240\nowidctlpar\wrapdefault\aspalpha\aspnum\faauto\adjustright\rin0\lin0\itap0 \rtlch\fcs1 \af0\afs20\alang1025 \ltrch\fcs0 &#13;&#10;\fs24\lang1024\langfe1024\cgrid\noproof\langnp2057\langfenp2057 \sbasedon0 \snext16 \spriority0 \styrsid3105041 Olang;}{\s17\ql \li0\ri0\sa120\nowidctlpar\wrapdefault\aspalpha\aspnum\faauto\adjustright\rin0\lin0\itap0 \rtlch\fcs1 \af0\afs20\alang1025 &#13;&#10;\ltrch\fcs0 \fs24\lang1024\langfe1024\cgrid\noproof\langnp2057\langfenp2057 \sbasedon0 \snext17 \slink18 \spriority0 \styrsid3105041 Normal6;}{\*\cs18 \additive \fs24\lang1024\langfe1024\noproof\langnp2057\langfenp2057 &#13;&#10;\slink17 \slocked \spriority0 \styrsid3105041 Normal6 Char;}{\s19\ql \li0\ri0\nowidctlpar\wrapdefault\aspalpha\aspnum\faauto\adjustright\rin0\lin0\itap0 \rtlch\fcs1 \af0\afs20\alang1025 \ltrch\fcs0 &#13;&#10;\b\fs24\lang2057\langfe2057\cgrid\langnp2057\langfenp2057 \sbasedon0 \snext19 \slink20 \spriority0 \styrsid3105041 NormalBold;}{\*\cs20 \additive \b\fs24\lang2057\langfe2057\langnp2057\langfenp2057 \slink19 \slocked \spriority0 \styrsid3105041 &#13;&#10;NormalBold Char;}{\s21\qc \li0\ri0\sa240\nowidctlpar\wrapdefault\aspalpha\aspnum\faauto\adjustright\rin0\lin0\itap0 \rtlch\fcs1 \af0\afs20\alang1025 \ltrch\fcs0 \i\fs24\lang2057\langfe2057\cgrid\langnp2057\langfenp2057 &#13;&#10;\sbasedon0 \snext21 \spriority0 \styrsid3105041 ColumnHeading;}{\s22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2 \spriority0 \styrsid3105041 AMNumberTabs;}}{\*\rsidtbl \rsid24658\rsid735077\rsid2892074\rsid3105041\rsid4666813\rsid6641733\rsid9636012\rsid11215221\rsid12154954&#13;&#10;\rsid14424199\rsid15204470\rsid15285974\rsid15950462\rsid15992473\rsid16324206\rsid16662270}{\mmathPr\mmathFont34\mbrkBin0\mbrkBinSub0\msmallFrac0\mdispDef1\mlMargin0\mrMargin0\mdefJc1\mwrapIndent1440\mintLim0\mnaryLim1}{\info{\author FELIX Karina}&#13;&#10;{\operator FELIX Karina}{\creatim\yr2015\mo5\dy8\hr15\min29}{\revtim\yr2015\mo5\dy8\hr15\min29}{\version1}{\edmins0}{\nofpages1}{\nofwords48}{\nofchars268}{\*\company European Parliament}{\nofcharsws315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3105041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5992473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2\ql \li0\ri0\sb240\keepn\nowidctlpar\tx879\tx936\tx1021\tx1077\tx1134\tx1191\tx1247\tx1304\tx1361\tx1418\tx1474\tx1531\tx1588\tx1644\tx1701\tx1758\tx1814\tx1871\tx2070\tx2126\tx3374\tx3430\wrapdefault\aspalpha\aspnum\faauto\adjustright\rin0&#13;&#10;\lin0\itap0\pararsid13646180 \rtlch\fcs1 \af0\afs20\alang1025 \ltrch\fcs0 \b\fs24\lang2057\langfe2057\cgrid\langnp2057\langfenp2057 {\rtlch\fcs1 \af0 \ltrch\fcs0 \cs15\b0\v\f1\fs20\cf9\lang1024\langfe1024\noproof\insrsid3105041\charrsid4417459 &#13;&#10;{\*\bkmkstart restart}&lt;Amend&gt;}{\rtlch\fcs1 \af0 \ltrch\fcs0 \insrsid3105041\charrsid1799708 [ZAMENDMENT]}{\rtlch\fcs1 \af0 \ltrch\fcs0 \insrsid3105041 \tab \tab }{\rtlch\fcs1 \af0 \ltrch\fcs0 &#13;&#10;\cs15\b0\v\f1\fs20\cf9\lang1024\langfe1024\noproof\insrsid3105041\charrsid4417459 &lt;NumAm&gt;}{\rtlch\fcs1 \af0 \ltrch\fcs0 \insrsid3105041\charrsid1799708 [ZNRAM]}{\rtlch\fcs1 \af0 \ltrch\fcs0 &#13;&#10;\cs15\b0\v\f1\fs20\cf9\lang1024\langfe1024\noproof\insrsid3105041\charrsid4417459 &lt;/NumAm&gt;}{\rtlch\fcs1 \af0 \ltrch\fcs0 \insrsid3105041\charrsid4080556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14699840 &lt;RepeatBlock-By&gt;}{\rtlch\fcs1 \af0 \ltrch\fcs0 \lang1024\langfe1024\noproof\insrsid3105041\charrsid14699840 [RepeatMembers]}{\rtlch\fcs1 \af0 \ltrch\fcs0 &#13;&#10;\cs15\b0\v\f1\fs20\cf9\lang1024\langfe1024\noproof\insrsid3105041\charrsid14699840 &lt;Members&gt;}{\rtlch\fcs1 \af0 \ltrch\fcs0 \insrsid3105041\charrsid14699840 [ZMEMBERS]}{\rtlch\fcs1 \af0 \ltrch\fcs0 &#13;&#10;\cs15\b0\v\f1\fs20\cf9\lang1024\langfe1024\noproof\insrsid3105041\charrsid14699840 &lt;/Members&gt;}{\rtlch\fcs1 \af0 \ltrch\fcs0 \insrsid3105041\charrsid14699840 &#13;&#10;\par }\pard\plain \ltrpar\ql \li0\ri0\widctlpar\wrapdefault\aspalpha\aspnum\faauto\adjustright\rin0\lin0\itap0\pararsid3025377 \rtlch\fcs1 \af0\afs20\alang1025 \ltrch\fcs0 \fs24\lang2057\langfe2057\cgrid\langnp2057\langfenp2057 {\rtlch\fcs1 \af0 \ltrch\fcs0 &#13;&#10;\cs15\v\f1\fs20\cf9\lang1024\langfe1024\noproof\insrsid3105041\charrsid14699840 &lt;AuNomDe&gt;&lt;OptDel&gt;}{\rtlch\fcs1 \af0 \ltrch\fcs0 \insrsid3105041\charrsid14699840 [ZONBEHALF]}{\rtlch\fcs1 \af0 \ltrch\fcs0 &#13;&#10;\cs15\v\f1\fs20\cf9\lang1024\langfe1024\noproof\insrsid3105041\charrsid14699840 &lt;/OptDel&gt;&lt;/AuNomDe&gt;}{\rtlch\fcs1 \af0 \ltrch\fcs0 \insrsid3105041\charrsid14699840 &#13;&#10;\par &lt;&lt;&lt;}{\rtlch\fcs1 \af0 \ltrch\fcs0 \cs15\v\f1\fs20\cf9\lang1024\langfe1024\noproof\insrsid3105041\charrsid14699840 &lt;/RepeatBlock-By&gt;}{\rtlch\fcs1 \af0 \ltrch\fcs0 \insrsid3105041\charrsid14699840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4737239 &lt;DocAmend&gt;}{\rtlch\fcs1 \af0 \ltrch\fcs0 \insrsid3105041\charrsid1799708 [Z}{\rtlch\fcs1 \af0 \ltrch\fcs0 \insrsid3105041 AMDOC}{\rtlch\fcs1 \af0 \ltrch\fcs0 &#13;&#10;\insrsid3105041\charrsid1799708 ]}{\rtlch\fcs1 \af0 \ltrch\fcs0 \cs15\b0\v\f1\fs20\cf9\lang1024\langfe1024\noproof\insrsid3105041\charrsid4737239 &lt;/DocAmend&gt;}{\rtlch\fcs1 \af0 \ltrch\fcs0 \insrsid3105041\charrsid1799708 &#13;&#10;\par }\pard \ltrpar\s19\ql \li0\ri0\nowidctlpar\wrapdefault\aspalpha\aspnum\faauto\adjustright\rin0\lin0\itap0\pararsid14055546 {\rtlch\fcs1 \af0 \ltrch\fcs0 \cs15\b0\v\f1\fs20\cf9\lang1024\langfe1024\noproof\insrsid3105041\charrsid1799708 &lt;Article&gt;}{&#13;&#10;\rtlch\fcs1 \af0 \ltrch\fcs0 \insrsid3105041\charrsid1799708 [ZAMPART]}{\rtlch\fcs1 \af0 \ltrch\fcs0 \cs15\b0\v\f1\fs20\cf9\lang1024\langfe1024\noproof\insrsid3105041\charrsid1799708 &lt;/Article&gt;}{\rtlch\fcs1 \af0 \ltrch\fcs0 &#13;&#10;\insrsid3105041\charrsid1799708 &#13;&#10;\par \ltrrow}\trowd \ltrrow\ts11\trqc\trgaph340\trleft-340\trftsWidth3\trwWidth9752\trftsWidthB3\trftsWidthA3\trpaddl340\trpaddr340\trpaddfl3\trpaddfr3\tblrsid14055546\tblind0\tblindtype3 \clvertalt\clbrdrt\brdrtbl \clbrdrl\brdrtbl \clbrdrb\brdrtbl \clbrdrr&#13;&#10;\brdrtbl \cltxlrtb\clftsWidth3\clwWidth9752\clshdrawnil \cellx9412\pard\plain \ltrpar\ql \li0\ri0\keepn\widctlpar\intbl\wrapdefault\aspalpha\aspnum\faauto\adjustright\rin0\lin0\pararsid10708565 \rtlch\fcs1 \af0\afs20\alang1025 \ltrch\fcs0 &#13;&#10;\fs24\lang2057\langfe2057\cgrid\langnp2057\langfenp2057 {\rtlch\fcs1 \af0 \ltrch\fcs0 \insrsid3105041\charrsid1799708 \cell }\pard \ltrpar\ql \li0\ri0\widctlpar\intbl\wrapdefault\aspalpha\aspnum\faauto\adjustright\rin0\lin0 {\rtlch\fcs1 \af0 \ltrch\fcs0 &#13;&#10;\insrsid3105041\charrsid1799708 \trowd \ltrrow\ts11\trqc\trgaph340\trleft-340\trftsWidth3\trwWidth9752\trftsWidthB3\trftsWidthA3\trpaddl340\trpaddr340\trpaddfl3\trpaddfr3\tblrsid14055546\tblind0\tblindtype3 \clvertalt\clbrdrt\brdrtbl \clbrdrl\brdrtbl &#13;&#10;\clbrdrb\brdrtbl \clbrdrr\brdrtbl \cltxlrtb\clftsWidth3\clwWidth9752\clshdrawnil \cellx9412\row \ltrrow}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pard\plain \ltrpar&#13;&#10;\s21\qc \li0\ri0\sa240\keepn\nowidctlpar\intbl\wrapdefault\aspalpha\aspnum\faauto\adjustright\rin0\lin0\pararsid10708565 \rtlch\fcs1 \af0\afs20\alang1025 \ltrch\fcs0 \i\fs24\lang2057\langfe2057\cgrid\langnp2057\langfenp2057 {\rtlch\fcs1 \af0 \ltrch\fcs0 &#13;&#10;\insrsid3105041\charrsid1799708 [ZLEFT]\cell [ZRIGHT]\cell }\pard\plain \ltrpar\ql \li0\ri0\widctlpar\intbl\wrapdefault\aspalpha\aspnum\faauto\adjustright\rin0\lin0 \rtlch\fcs1 \af0\afs20\alang1025 \ltrch\fcs0 &#13;&#10;\fs24\lang2057\langfe2057\cgrid\langnp2057\langfenp2057 {\rtlch\fcs1 \af0 \ltrch\fcs0 \insrsid3105041\charrsid1799708 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7\ql \li0\ri0\sa120\nowidctlpar\intbl\wrapdefault\aspalpha\aspnum\faauto\adjustright\rin0\lin0\pararsid14055546 \rtlch\fcs1 \af0\afs20\alang1025 \ltrch\fcs0 \fs24\lang1024\langfe1024\cgrid\noproof\langnp2057\langfenp2057 {\rtlch\fcs1 \af0 \ltrch\fcs0 &#13;&#10;\insrsid3105041\charrsid1799708 [ZTEXTL]\cell [ZTEXTR]}{\rtlch\fcs1 \af0\afs24 \ltrch\fcs0 \insrsid3105041\charrsid1799708 \cell }\pard\plain \ltrpar\ql \li0\ri0\widctlpar\intbl\wrapdefault\aspalpha\aspnum\faauto\adjustright\rin0\lin0 \rtlch\fcs1 &#13;&#10;\af0\afs20\alang1025 \ltrch\fcs0 \fs24\lang2057\langfe2057\cgrid\langnp2057\langfenp2057 {\rtlch\fcs1 \af0 \ltrch\fcs0 \insrsid3105041\charrsid1799708 \trowd \lastrow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16\qr \li0\ri0\sb240\sa240\nowidctlpar\wrapdefault\aspalpha\aspnum\faauto\adjustright\rin0\lin0\itap0\pararsid14055546 \rtlch\fcs1 \af0\afs20\alang1025 \ltrch\fcs0 \fs24\lang1024\langfe1024\cgrid\noproof\langnp2057\langfenp2057 {\rtlch\fcs1 \af0 &#13;&#10;\ltrch\fcs0 \noproof0\insrsid3105041\charrsid1799708 Or. }{\rtlch\fcs1 \af0 \ltrch\fcs0 \cs15\v\f1\fs20\cf9\noproof0\insrsid3105041\charrsid1799708 &lt;Original&gt;}{\rtlch\fcs1 \af0 \ltrch\fcs0 \noproof0\insrsid3105041\charrsid1799708 [ZORLANG]}{\rtlch\fcs1 &#13;&#10;\af0 \ltrch\fcs0 \cs15\v\f1\fs20\cf9\noproof0\insrsid3105041\charrsid1799708 &lt;/Original&gt;}{\rtlch\fcs1 \af0 \ltrch\fcs0 \noproof0\insrsid3105041\charrsid1799708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lang1024\langfe1024\noproof\insrsid3105041\charrsid1799708 &lt;/Amend&gt;}{\rtlch\fcs1 \af0 \ltrch\fcs0 \insrsid24658\charrsid16324206 {\*\bkmkend restart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b8&#13;&#10;880893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fr-FR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 w:val="24"/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6"/>
        <w:tab w:val="right" w:pos="9072"/>
      </w:tabs>
      <w:spacing w:before="0" w:after="0"/>
    </w:pPr>
    <w:rPr>
      <w:color w:val="000000"/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rsid w:val="00A801F5"/>
    <w:pPr>
      <w:tabs>
        <w:tab w:val="center" w:pos="4535"/>
        <w:tab w:val="right" w:pos="9923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lear" w:pos="9923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lear" w:pos="4536"/>
        <w:tab w:val="center" w:pos="6804"/>
        <w:tab w:val="clear" w:pos="9072"/>
        <w:tab w:val="center" w:pos="13608"/>
      </w:tabs>
      <w:spacing w:before="0" w:after="0"/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pPr>
      <w:spacing w:after="240"/>
    </w:pPr>
    <w:rPr>
      <w:color w:val="000000"/>
      <w:sz w:val="24"/>
      <w:szCs w:val="24"/>
    </w:rPr>
  </w:style>
  <w:style w:type="paragraph" w:customStyle="1" w:styleId="Normal12Italic">
    <w:name w:val="Normal12Italic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  <w:szCs w:val="24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1116319</vt:lpwstr>
  </property>
  <property fmtid="{D5CDD505-2E9C-101B-9397-08002B2CF9AE}" pid="4" name="&lt;FooterPath&gt;">
    <vt:lpwstr>AM\1116319MT.doc</vt:lpwstr>
  </property>
  <property fmtid="{D5CDD505-2E9C-101B-9397-08002B2CF9AE}" pid="5" name="&lt;Model&gt;">
    <vt:lpwstr>AM_Com_NonLegOpinion</vt:lpwstr>
  </property>
  <property fmtid="{D5CDD505-2E9C-101B-9397-08002B2CF9AE}" pid="6" name="&lt;Type&gt;">
    <vt:lpwstr>AM</vt:lpwstr>
  </property>
  <property fmtid="{D5CDD505-2E9C-101B-9397-08002B2CF9AE}" pid="7" name="DMXMLUID">
    <vt:lpwstr>20170220-091453-538366-950842</vt:lpwstr>
  </property>
  <property fmtid="{D5CDD505-2E9C-101B-9397-08002B2CF9AE}" pid="8" name="PE Number">
    <vt:lpwstr>599.583</vt:lpwstr>
  </property>
  <property fmtid="{D5CDD505-2E9C-101B-9397-08002B2CF9AE}" pid="9" name="UID">
    <vt:lpwstr>eu.europa.europarl-DIN1-2017-0000011503_02.00-mt-01.00_text-xml</vt:lpwstr>
  </property>
</Properties>
</file>